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EC4" w:rsidRDefault="00FA2EC4" w:rsidP="004A1A11"/>
    <w:tbl>
      <w:tblPr>
        <w:tblW w:w="10314" w:type="dxa"/>
        <w:tblLook w:val="00A0" w:firstRow="1" w:lastRow="0" w:firstColumn="1" w:lastColumn="0" w:noHBand="0" w:noVBand="0"/>
      </w:tblPr>
      <w:tblGrid>
        <w:gridCol w:w="5103"/>
        <w:gridCol w:w="5211"/>
      </w:tblGrid>
      <w:tr w:rsidR="00C13095" w:rsidRPr="00C13095" w:rsidTr="004779C2">
        <w:tc>
          <w:tcPr>
            <w:tcW w:w="5103" w:type="dxa"/>
          </w:tcPr>
          <w:p w:rsidR="00C13095" w:rsidRPr="00C13095" w:rsidRDefault="004779C2" w:rsidP="00943BFB">
            <w:pPr>
              <w:spacing w:before="120" w:line="240" w:lineRule="auto"/>
              <w:ind w:right="1201"/>
              <w:jc w:val="center"/>
              <w:rPr>
                <w:rFonts w:eastAsia="Times New Roman" w:cs="Arial"/>
                <w:sz w:val="22"/>
                <w:lang w:eastAsia="fr-FR"/>
              </w:rPr>
            </w:pPr>
            <w:r>
              <w:rPr>
                <w:rFonts w:eastAsia="Times New Roman" w:cs="Arial"/>
                <w:sz w:val="22"/>
                <w:lang w:eastAsia="fr-FR"/>
              </w:rPr>
              <w:t>QUATRIÈME CHAMBRE</w:t>
            </w:r>
          </w:p>
          <w:p w:rsidR="00C13095" w:rsidRPr="00C13095" w:rsidRDefault="00F02B00" w:rsidP="00943BFB">
            <w:pPr>
              <w:spacing w:line="240" w:lineRule="auto"/>
              <w:ind w:right="1201"/>
              <w:jc w:val="center"/>
              <w:rPr>
                <w:rFonts w:eastAsia="Times New Roman" w:cs="Arial"/>
                <w:b/>
                <w:sz w:val="22"/>
                <w:lang w:eastAsia="fr-FR"/>
              </w:rPr>
            </w:pPr>
            <w:r w:rsidRPr="00C13095">
              <w:rPr>
                <w:rFonts w:eastAsia="Times New Roman" w:cs="Arial"/>
                <w:b/>
                <w:sz w:val="22"/>
                <w:lang w:eastAsia="fr-FR"/>
              </w:rPr>
              <w:t>-------</w:t>
            </w:r>
          </w:p>
          <w:p w:rsidR="00C13095" w:rsidRPr="00C13095" w:rsidRDefault="004779C2" w:rsidP="00943BFB">
            <w:pPr>
              <w:tabs>
                <w:tab w:val="center" w:pos="4819"/>
                <w:tab w:val="right" w:pos="9071"/>
              </w:tabs>
              <w:spacing w:line="240" w:lineRule="auto"/>
              <w:ind w:right="1201"/>
              <w:jc w:val="center"/>
              <w:rPr>
                <w:rFonts w:eastAsia="Times New Roman" w:cs="Arial"/>
                <w:sz w:val="22"/>
                <w:lang w:eastAsia="fr-FR"/>
              </w:rPr>
            </w:pPr>
            <w:r>
              <w:rPr>
                <w:rFonts w:eastAsia="Times New Roman" w:cs="Arial"/>
                <w:sz w:val="22"/>
                <w:lang w:eastAsia="fr-FR"/>
              </w:rPr>
              <w:t>Première</w:t>
            </w:r>
            <w:r w:rsidR="00F02B00" w:rsidRPr="00C13095">
              <w:rPr>
                <w:rFonts w:eastAsia="Times New Roman" w:cs="Arial"/>
                <w:sz w:val="22"/>
                <w:lang w:eastAsia="fr-FR"/>
              </w:rPr>
              <w:t xml:space="preserve"> section</w:t>
            </w:r>
          </w:p>
          <w:p w:rsidR="00C13095" w:rsidRPr="00C13095" w:rsidRDefault="00F02B00" w:rsidP="00943BFB">
            <w:pPr>
              <w:tabs>
                <w:tab w:val="center" w:pos="4819"/>
                <w:tab w:val="right" w:pos="9071"/>
              </w:tabs>
              <w:spacing w:line="240" w:lineRule="auto"/>
              <w:ind w:right="1201"/>
              <w:jc w:val="center"/>
              <w:rPr>
                <w:rFonts w:eastAsia="Times New Roman" w:cs="Arial"/>
                <w:b/>
                <w:sz w:val="22"/>
                <w:lang w:eastAsia="fr-FR"/>
              </w:rPr>
            </w:pPr>
            <w:r w:rsidRPr="00C13095">
              <w:rPr>
                <w:rFonts w:eastAsia="Times New Roman" w:cs="Arial"/>
                <w:b/>
                <w:sz w:val="22"/>
                <w:lang w:eastAsia="fr-FR"/>
              </w:rPr>
              <w:t>-------</w:t>
            </w:r>
          </w:p>
          <w:p w:rsidR="00C13095" w:rsidRPr="00C13095" w:rsidRDefault="00F02B00" w:rsidP="00943BFB">
            <w:pPr>
              <w:tabs>
                <w:tab w:val="center" w:pos="4819"/>
                <w:tab w:val="right" w:pos="9071"/>
              </w:tabs>
              <w:spacing w:line="240" w:lineRule="auto"/>
              <w:ind w:right="1201"/>
              <w:jc w:val="center"/>
              <w:rPr>
                <w:rFonts w:eastAsia="Times New Roman" w:cs="Arial"/>
                <w:sz w:val="22"/>
                <w:lang w:eastAsia="fr-FR"/>
              </w:rPr>
            </w:pPr>
            <w:r w:rsidRPr="00C13095">
              <w:rPr>
                <w:rFonts w:eastAsia="Times New Roman" w:cs="Arial"/>
                <w:sz w:val="22"/>
                <w:lang w:eastAsia="fr-FR"/>
              </w:rPr>
              <w:t xml:space="preserve">Arrêt n° </w:t>
            </w:r>
            <w:r w:rsidR="004D1805">
              <w:rPr>
                <w:rFonts w:eastAsia="Times New Roman" w:cs="Arial"/>
                <w:sz w:val="22"/>
                <w:lang w:eastAsia="fr-FR"/>
              </w:rPr>
              <w:t>72327</w:t>
            </w:r>
          </w:p>
          <w:p w:rsidR="00C13095" w:rsidRPr="00C13095" w:rsidRDefault="005E33A0" w:rsidP="00943BFB">
            <w:pPr>
              <w:tabs>
                <w:tab w:val="center" w:pos="4819"/>
                <w:tab w:val="right" w:pos="9071"/>
              </w:tabs>
              <w:spacing w:line="240" w:lineRule="auto"/>
              <w:ind w:right="1201"/>
              <w:jc w:val="center"/>
              <w:rPr>
                <w:rFonts w:eastAsia="Times New Roman" w:cs="Arial"/>
                <w:sz w:val="22"/>
                <w:lang w:eastAsia="fr-FR"/>
              </w:rPr>
            </w:pPr>
          </w:p>
          <w:p w:rsidR="00C13095" w:rsidRPr="00C13095" w:rsidRDefault="00F02B00" w:rsidP="00943BFB">
            <w:pPr>
              <w:spacing w:line="240" w:lineRule="auto"/>
              <w:ind w:right="1201"/>
              <w:jc w:val="center"/>
              <w:rPr>
                <w:rFonts w:eastAsia="Times New Roman" w:cs="Arial"/>
                <w:sz w:val="22"/>
                <w:lang w:eastAsia="fr-FR"/>
              </w:rPr>
            </w:pPr>
            <w:r w:rsidRPr="00C13095">
              <w:rPr>
                <w:rFonts w:eastAsia="Times New Roman" w:cs="Arial"/>
                <w:sz w:val="22"/>
                <w:lang w:eastAsia="fr-FR"/>
              </w:rPr>
              <w:t xml:space="preserve">Audience publique du </w:t>
            </w:r>
            <w:r w:rsidR="00C67D39">
              <w:rPr>
                <w:rFonts w:eastAsia="Times New Roman" w:cs="Arial"/>
                <w:sz w:val="22"/>
                <w:lang w:eastAsia="fr-FR"/>
              </w:rPr>
              <w:t>16 avril</w:t>
            </w:r>
            <w:r w:rsidR="004779C2">
              <w:rPr>
                <w:rFonts w:eastAsia="Times New Roman" w:cs="Arial"/>
                <w:sz w:val="22"/>
                <w:lang w:eastAsia="fr-FR"/>
              </w:rPr>
              <w:t xml:space="preserve"> 2015</w:t>
            </w:r>
          </w:p>
          <w:p w:rsidR="00C13095" w:rsidRPr="00C13095" w:rsidRDefault="005E33A0" w:rsidP="00943BFB">
            <w:pPr>
              <w:spacing w:line="240" w:lineRule="auto"/>
              <w:ind w:right="1201"/>
              <w:jc w:val="center"/>
              <w:rPr>
                <w:rFonts w:eastAsia="Times New Roman" w:cs="Arial"/>
                <w:sz w:val="22"/>
                <w:lang w:eastAsia="fr-FR"/>
              </w:rPr>
            </w:pPr>
          </w:p>
          <w:p w:rsidR="00C13095" w:rsidRPr="00C13095" w:rsidRDefault="00E90917" w:rsidP="00943BFB">
            <w:pPr>
              <w:spacing w:line="240" w:lineRule="auto"/>
              <w:ind w:right="1201"/>
              <w:jc w:val="center"/>
              <w:rPr>
                <w:rFonts w:eastAsia="Times New Roman" w:cs="Arial"/>
                <w:i/>
                <w:sz w:val="22"/>
                <w:lang w:eastAsia="fr-FR"/>
              </w:rPr>
            </w:pPr>
            <w:r>
              <w:rPr>
                <w:rFonts w:eastAsia="Times New Roman" w:cs="Arial"/>
                <w:sz w:val="22"/>
                <w:lang w:eastAsia="fr-FR"/>
              </w:rPr>
              <w:t xml:space="preserve">Prononcé </w:t>
            </w:r>
            <w:r w:rsidR="00F02B00" w:rsidRPr="00C13095">
              <w:rPr>
                <w:rFonts w:eastAsia="Times New Roman" w:cs="Arial"/>
                <w:sz w:val="22"/>
                <w:lang w:eastAsia="fr-FR"/>
              </w:rPr>
              <w:t xml:space="preserve">du </w:t>
            </w:r>
            <w:r w:rsidR="003D58FB">
              <w:rPr>
                <w:rFonts w:eastAsia="Times New Roman" w:cs="Arial"/>
                <w:sz w:val="22"/>
                <w:lang w:eastAsia="fr-FR"/>
              </w:rPr>
              <w:t>21 mai</w:t>
            </w:r>
            <w:r w:rsidR="004779C2">
              <w:rPr>
                <w:rFonts w:eastAsia="Times New Roman" w:cs="Arial"/>
                <w:sz w:val="22"/>
                <w:lang w:eastAsia="fr-FR"/>
              </w:rPr>
              <w:t xml:space="preserve"> 2015</w:t>
            </w:r>
          </w:p>
          <w:p w:rsidR="00C13095" w:rsidRPr="00C13095" w:rsidRDefault="005E33A0" w:rsidP="00C13095">
            <w:pPr>
              <w:spacing w:line="240" w:lineRule="auto"/>
              <w:ind w:firstLine="851"/>
              <w:rPr>
                <w:rFonts w:eastAsia="Times New Roman" w:cs="Arial"/>
                <w:sz w:val="22"/>
                <w:lang w:eastAsia="fr-FR"/>
              </w:rPr>
            </w:pPr>
          </w:p>
        </w:tc>
        <w:tc>
          <w:tcPr>
            <w:tcW w:w="5211" w:type="dxa"/>
          </w:tcPr>
          <w:p w:rsidR="004D1805" w:rsidRDefault="00B64C77" w:rsidP="00CC7C45">
            <w:pPr>
              <w:spacing w:before="120"/>
              <w:rPr>
                <w:sz w:val="22"/>
              </w:rPr>
            </w:pPr>
            <w:r>
              <w:rPr>
                <w:sz w:val="22"/>
              </w:rPr>
              <w:t>ARR</w:t>
            </w:r>
            <w:r w:rsidR="00CC7C45">
              <w:rPr>
                <w:rFonts w:cs="Arial"/>
                <w:sz w:val="22"/>
              </w:rPr>
              <w:t>Ê</w:t>
            </w:r>
            <w:r>
              <w:rPr>
                <w:sz w:val="22"/>
              </w:rPr>
              <w:t>T</w:t>
            </w:r>
            <w:r w:rsidR="00CC7C45">
              <w:rPr>
                <w:rFonts w:cs="Arial"/>
                <w:sz w:val="22"/>
              </w:rPr>
              <w:t>É</w:t>
            </w:r>
            <w:r w:rsidR="004D1805">
              <w:rPr>
                <w:sz w:val="22"/>
              </w:rPr>
              <w:t xml:space="preserve"> CONSERVATOIRE DE D</w:t>
            </w:r>
            <w:r w:rsidR="00CC7C45">
              <w:rPr>
                <w:rFonts w:cs="Arial"/>
                <w:sz w:val="22"/>
              </w:rPr>
              <w:t>É</w:t>
            </w:r>
            <w:r w:rsidR="004D1805">
              <w:rPr>
                <w:sz w:val="22"/>
              </w:rPr>
              <w:t>BET</w:t>
            </w:r>
          </w:p>
          <w:p w:rsidR="009821CF" w:rsidRDefault="009821CF" w:rsidP="004779C2">
            <w:pPr>
              <w:rPr>
                <w:sz w:val="22"/>
              </w:rPr>
            </w:pPr>
          </w:p>
          <w:p w:rsidR="004779C2" w:rsidRPr="007F76E8" w:rsidRDefault="00B64C77" w:rsidP="004779C2">
            <w:pPr>
              <w:rPr>
                <w:rFonts w:cs="Arial"/>
                <w:sz w:val="22"/>
              </w:rPr>
            </w:pPr>
            <w:r>
              <w:rPr>
                <w:sz w:val="22"/>
              </w:rPr>
              <w:t>CENTRE CULTUREL FRANÇAIS DE</w:t>
            </w:r>
            <w:r w:rsidR="00943BFB">
              <w:rPr>
                <w:sz w:val="22"/>
              </w:rPr>
              <w:t xml:space="preserve"> </w:t>
            </w:r>
            <w:r>
              <w:rPr>
                <w:sz w:val="22"/>
              </w:rPr>
              <w:t>KIGALI (RWANDA)</w:t>
            </w:r>
          </w:p>
          <w:p w:rsidR="007F76E8" w:rsidRDefault="007F76E8" w:rsidP="004779C2">
            <w:pPr>
              <w:rPr>
                <w:rFonts w:cs="Arial"/>
                <w:sz w:val="22"/>
              </w:rPr>
            </w:pPr>
          </w:p>
          <w:p w:rsidR="004779C2" w:rsidRPr="007F76E8" w:rsidRDefault="00B64C77" w:rsidP="004779C2">
            <w:pPr>
              <w:rPr>
                <w:rFonts w:cs="Arial"/>
                <w:sz w:val="22"/>
              </w:rPr>
            </w:pPr>
            <w:r>
              <w:rPr>
                <w:rFonts w:cs="Arial"/>
                <w:sz w:val="22"/>
              </w:rPr>
              <w:t>Exercice 2010</w:t>
            </w:r>
          </w:p>
          <w:p w:rsidR="004779C2" w:rsidRPr="007F76E8" w:rsidRDefault="004779C2" w:rsidP="004779C2">
            <w:pPr>
              <w:rPr>
                <w:rFonts w:cs="Arial"/>
                <w:sz w:val="22"/>
              </w:rPr>
            </w:pPr>
          </w:p>
          <w:p w:rsidR="004779C2" w:rsidRPr="007F76E8" w:rsidRDefault="004779C2" w:rsidP="004779C2">
            <w:pPr>
              <w:rPr>
                <w:rFonts w:cs="Arial"/>
                <w:sz w:val="22"/>
              </w:rPr>
            </w:pPr>
            <w:r w:rsidRPr="007F76E8">
              <w:rPr>
                <w:rFonts w:cs="Arial"/>
                <w:noProof/>
                <w:color w:val="000000"/>
                <w:sz w:val="22"/>
              </w:rPr>
              <w:t>Rapport n° 2015</w:t>
            </w:r>
            <w:r w:rsidR="00DF0D0E">
              <w:rPr>
                <w:rFonts w:cs="Arial"/>
                <w:noProof/>
                <w:color w:val="000000"/>
                <w:sz w:val="22"/>
              </w:rPr>
              <w:t>-147-0</w:t>
            </w:r>
          </w:p>
          <w:p w:rsidR="00C13095" w:rsidRPr="00C13095" w:rsidRDefault="005E33A0" w:rsidP="004779C2">
            <w:pPr>
              <w:spacing w:line="240" w:lineRule="auto"/>
              <w:jc w:val="both"/>
              <w:rPr>
                <w:rFonts w:eastAsia="Times New Roman" w:cs="Arial"/>
                <w:sz w:val="22"/>
                <w:lang w:eastAsia="fr-FR"/>
              </w:rPr>
            </w:pPr>
          </w:p>
        </w:tc>
      </w:tr>
    </w:tbl>
    <w:p w:rsidR="00C13095" w:rsidRPr="00BE6831" w:rsidRDefault="00F02B00" w:rsidP="006B3C58">
      <w:pPr>
        <w:tabs>
          <w:tab w:val="center" w:pos="9072"/>
        </w:tabs>
        <w:spacing w:after="120" w:line="240" w:lineRule="auto"/>
        <w:jc w:val="center"/>
        <w:rPr>
          <w:rFonts w:eastAsia="Times New Roman" w:cs="Arial"/>
          <w:sz w:val="24"/>
          <w:szCs w:val="24"/>
          <w:lang w:eastAsia="fr-FR"/>
        </w:rPr>
      </w:pPr>
      <w:r w:rsidRPr="00BE6831">
        <w:rPr>
          <w:rFonts w:eastAsia="Times New Roman" w:cs="Arial"/>
          <w:sz w:val="24"/>
          <w:szCs w:val="24"/>
          <w:lang w:eastAsia="fr-FR"/>
        </w:rPr>
        <w:t>République Française,</w:t>
      </w:r>
    </w:p>
    <w:p w:rsidR="00C13095" w:rsidRPr="00BE6831" w:rsidRDefault="00F02B00" w:rsidP="00C13095">
      <w:pPr>
        <w:tabs>
          <w:tab w:val="center" w:pos="9072"/>
        </w:tabs>
        <w:spacing w:line="240" w:lineRule="auto"/>
        <w:jc w:val="center"/>
        <w:rPr>
          <w:rFonts w:eastAsia="Times New Roman" w:cs="Arial"/>
          <w:sz w:val="24"/>
          <w:szCs w:val="24"/>
          <w:lang w:eastAsia="fr-FR"/>
        </w:rPr>
      </w:pPr>
      <w:r w:rsidRPr="00BE6831">
        <w:rPr>
          <w:rFonts w:eastAsia="Times New Roman" w:cs="Arial"/>
          <w:sz w:val="24"/>
          <w:szCs w:val="24"/>
          <w:lang w:eastAsia="fr-FR"/>
        </w:rPr>
        <w:t>Au nom du peuple français,</w:t>
      </w:r>
    </w:p>
    <w:p w:rsidR="006B3C58" w:rsidRPr="00BE6831" w:rsidRDefault="006B3C58" w:rsidP="00C13095">
      <w:pPr>
        <w:tabs>
          <w:tab w:val="center" w:pos="9072"/>
        </w:tabs>
        <w:spacing w:line="240" w:lineRule="auto"/>
        <w:jc w:val="center"/>
        <w:rPr>
          <w:rFonts w:eastAsia="Times New Roman" w:cs="Arial"/>
          <w:sz w:val="24"/>
          <w:szCs w:val="24"/>
          <w:lang w:eastAsia="fr-FR"/>
        </w:rPr>
      </w:pPr>
    </w:p>
    <w:p w:rsidR="00C13095" w:rsidRPr="00BE6831" w:rsidRDefault="00F02B00" w:rsidP="00C13095">
      <w:pPr>
        <w:tabs>
          <w:tab w:val="center" w:pos="9072"/>
        </w:tabs>
        <w:spacing w:line="240" w:lineRule="auto"/>
        <w:jc w:val="center"/>
        <w:rPr>
          <w:rFonts w:eastAsia="Times New Roman" w:cs="Arial"/>
          <w:sz w:val="24"/>
          <w:szCs w:val="24"/>
          <w:lang w:eastAsia="fr-FR"/>
        </w:rPr>
      </w:pPr>
      <w:r w:rsidRPr="00BE6831">
        <w:rPr>
          <w:rFonts w:eastAsia="Times New Roman" w:cs="Arial"/>
          <w:sz w:val="24"/>
          <w:szCs w:val="24"/>
          <w:lang w:eastAsia="fr-FR"/>
        </w:rPr>
        <w:t>La Cour,</w:t>
      </w:r>
    </w:p>
    <w:p w:rsidR="007F76E8" w:rsidRDefault="007F76E8" w:rsidP="007F76E8">
      <w:pPr>
        <w:spacing w:after="80"/>
      </w:pPr>
    </w:p>
    <w:p w:rsidR="00C708CF" w:rsidRDefault="003D58FB" w:rsidP="00AE0B7C">
      <w:pPr>
        <w:spacing w:before="240" w:after="240" w:line="240" w:lineRule="auto"/>
        <w:jc w:val="both"/>
        <w:rPr>
          <w:sz w:val="22"/>
        </w:rPr>
      </w:pPr>
      <w:r w:rsidRPr="00365ED7">
        <w:rPr>
          <w:sz w:val="22"/>
        </w:rPr>
        <w:t xml:space="preserve">Vu le réquisitoire </w:t>
      </w:r>
      <w:r w:rsidR="00452150">
        <w:rPr>
          <w:sz w:val="22"/>
        </w:rPr>
        <w:t xml:space="preserve">du Procureur général </w:t>
      </w:r>
      <w:r w:rsidR="00B64C77">
        <w:rPr>
          <w:sz w:val="22"/>
        </w:rPr>
        <w:t xml:space="preserve">à </w:t>
      </w:r>
      <w:r w:rsidR="00AE0B7C">
        <w:rPr>
          <w:sz w:val="22"/>
        </w:rPr>
        <w:t>fin d’instruction de charges n° </w:t>
      </w:r>
      <w:r w:rsidR="00B64C77">
        <w:rPr>
          <w:sz w:val="22"/>
        </w:rPr>
        <w:t>2014</w:t>
      </w:r>
      <w:r w:rsidR="00365ED7" w:rsidRPr="00365ED7">
        <w:rPr>
          <w:sz w:val="22"/>
        </w:rPr>
        <w:t>-</w:t>
      </w:r>
      <w:r w:rsidR="00B64C77">
        <w:rPr>
          <w:sz w:val="22"/>
        </w:rPr>
        <w:t>61</w:t>
      </w:r>
      <w:r w:rsidR="00365ED7" w:rsidRPr="00365ED7">
        <w:rPr>
          <w:sz w:val="22"/>
        </w:rPr>
        <w:t xml:space="preserve"> </w:t>
      </w:r>
      <w:r w:rsidR="00B64C77">
        <w:rPr>
          <w:sz w:val="22"/>
        </w:rPr>
        <w:t xml:space="preserve">RQ-DB </w:t>
      </w:r>
      <w:r w:rsidR="00365ED7">
        <w:rPr>
          <w:sz w:val="22"/>
        </w:rPr>
        <w:t xml:space="preserve">du </w:t>
      </w:r>
      <w:r w:rsidR="00B64C77">
        <w:rPr>
          <w:sz w:val="22"/>
        </w:rPr>
        <w:t>21 mai 2014</w:t>
      </w:r>
      <w:r w:rsidR="00365ED7">
        <w:rPr>
          <w:sz w:val="22"/>
        </w:rPr>
        <w:t> ;</w:t>
      </w:r>
    </w:p>
    <w:p w:rsidR="00365ED7" w:rsidRPr="00BE6831" w:rsidRDefault="00365ED7" w:rsidP="00AE0B7C">
      <w:pPr>
        <w:spacing w:before="240" w:after="240" w:line="240" w:lineRule="auto"/>
        <w:jc w:val="both"/>
        <w:rPr>
          <w:rFonts w:cs="Arial"/>
          <w:sz w:val="22"/>
        </w:rPr>
      </w:pPr>
      <w:r>
        <w:rPr>
          <w:sz w:val="22"/>
        </w:rPr>
        <w:t xml:space="preserve">Vu </w:t>
      </w:r>
      <w:r w:rsidR="00B64C77">
        <w:rPr>
          <w:sz w:val="22"/>
        </w:rPr>
        <w:t xml:space="preserve">la notification dudit réquisitoire à </w:t>
      </w:r>
      <w:r w:rsidR="00943BFB" w:rsidRPr="00943BFB">
        <w:rPr>
          <w:sz w:val="22"/>
        </w:rPr>
        <w:t>M</w:t>
      </w:r>
      <w:r w:rsidR="00943BFB" w:rsidRPr="00943BFB">
        <w:rPr>
          <w:sz w:val="22"/>
          <w:vertAlign w:val="superscript"/>
        </w:rPr>
        <w:t>me</w:t>
      </w:r>
      <w:r w:rsidR="00943BFB">
        <w:rPr>
          <w:sz w:val="22"/>
        </w:rPr>
        <w:t xml:space="preserve"> </w:t>
      </w:r>
      <w:r w:rsidR="00490C10">
        <w:rPr>
          <w:sz w:val="22"/>
        </w:rPr>
        <w:t>X</w:t>
      </w:r>
      <w:r w:rsidR="00B64C77">
        <w:rPr>
          <w:sz w:val="22"/>
        </w:rPr>
        <w:t xml:space="preserve"> qui en a accusé réception le 27 octobre 2014</w:t>
      </w:r>
      <w:r w:rsidR="00452150">
        <w:rPr>
          <w:sz w:val="22"/>
        </w:rPr>
        <w:t> </w:t>
      </w:r>
      <w:r w:rsidRPr="00BE6831">
        <w:rPr>
          <w:rFonts w:cs="Arial"/>
          <w:sz w:val="22"/>
        </w:rPr>
        <w:t>;</w:t>
      </w:r>
    </w:p>
    <w:p w:rsidR="00365ED7" w:rsidRDefault="007F76E8" w:rsidP="00AE0B7C">
      <w:pPr>
        <w:spacing w:before="240" w:after="240" w:line="240" w:lineRule="auto"/>
        <w:jc w:val="both"/>
        <w:rPr>
          <w:rFonts w:cs="Arial"/>
          <w:sz w:val="22"/>
        </w:rPr>
      </w:pPr>
      <w:r w:rsidRPr="00BE6831">
        <w:rPr>
          <w:rFonts w:cs="Arial"/>
          <w:sz w:val="22"/>
        </w:rPr>
        <w:t xml:space="preserve">Vu </w:t>
      </w:r>
      <w:r w:rsidR="00B64C77">
        <w:rPr>
          <w:rFonts w:cs="Arial"/>
          <w:sz w:val="22"/>
        </w:rPr>
        <w:t>l’arrêté conservatoire de débet en date du</w:t>
      </w:r>
      <w:r w:rsidR="00C065C7">
        <w:rPr>
          <w:rFonts w:cs="Arial"/>
          <w:sz w:val="22"/>
        </w:rPr>
        <w:t xml:space="preserve"> 5 août 2013</w:t>
      </w:r>
      <w:r w:rsidR="00B64C77">
        <w:rPr>
          <w:rFonts w:cs="Arial"/>
          <w:sz w:val="22"/>
        </w:rPr>
        <w:t xml:space="preserve">, transmis </w:t>
      </w:r>
      <w:r w:rsidR="00452150">
        <w:rPr>
          <w:rFonts w:cs="Arial"/>
          <w:sz w:val="22"/>
        </w:rPr>
        <w:t xml:space="preserve">au Procureur général </w:t>
      </w:r>
      <w:r w:rsidR="00B64C77">
        <w:rPr>
          <w:rFonts w:cs="Arial"/>
          <w:sz w:val="22"/>
        </w:rPr>
        <w:t>le</w:t>
      </w:r>
      <w:r w:rsidR="00AE0B7C">
        <w:rPr>
          <w:rFonts w:cs="Arial"/>
          <w:sz w:val="22"/>
        </w:rPr>
        <w:t xml:space="preserve"> </w:t>
      </w:r>
      <w:r w:rsidR="00452150">
        <w:rPr>
          <w:rFonts w:cs="Arial"/>
          <w:sz w:val="22"/>
        </w:rPr>
        <w:t>26</w:t>
      </w:r>
      <w:r w:rsidR="00943BFB">
        <w:rPr>
          <w:rFonts w:cs="Arial"/>
          <w:sz w:val="22"/>
        </w:rPr>
        <w:t xml:space="preserve"> </w:t>
      </w:r>
      <w:r w:rsidR="00452150">
        <w:rPr>
          <w:rFonts w:cs="Arial"/>
          <w:sz w:val="22"/>
        </w:rPr>
        <w:t>novembre</w:t>
      </w:r>
      <w:r w:rsidR="00943BFB">
        <w:rPr>
          <w:rFonts w:cs="Arial"/>
          <w:sz w:val="22"/>
        </w:rPr>
        <w:t xml:space="preserve"> </w:t>
      </w:r>
      <w:r w:rsidR="00452150">
        <w:rPr>
          <w:rFonts w:cs="Arial"/>
          <w:sz w:val="22"/>
        </w:rPr>
        <w:t>2013</w:t>
      </w:r>
      <w:r w:rsidR="00B64C77">
        <w:rPr>
          <w:rFonts w:cs="Arial"/>
          <w:sz w:val="22"/>
        </w:rPr>
        <w:t xml:space="preserve"> par lequel le trésorier</w:t>
      </w:r>
      <w:r w:rsidR="004D1805">
        <w:rPr>
          <w:rFonts w:cs="Arial"/>
          <w:sz w:val="22"/>
        </w:rPr>
        <w:t>-</w:t>
      </w:r>
      <w:r w:rsidR="00B64C77">
        <w:rPr>
          <w:rFonts w:cs="Arial"/>
          <w:sz w:val="22"/>
        </w:rPr>
        <w:t>payeur</w:t>
      </w:r>
      <w:r w:rsidR="00C065C7">
        <w:rPr>
          <w:rFonts w:cs="Arial"/>
          <w:sz w:val="22"/>
        </w:rPr>
        <w:t xml:space="preserve"> général pour l’étranger</w:t>
      </w:r>
      <w:r w:rsidR="00AE0B7C">
        <w:rPr>
          <w:rFonts w:cs="Arial"/>
          <w:sz w:val="22"/>
        </w:rPr>
        <w:t>,</w:t>
      </w:r>
      <w:r w:rsidR="00AE0B7C" w:rsidRPr="00AE0B7C">
        <w:t xml:space="preserve"> </w:t>
      </w:r>
      <w:r w:rsidR="00AE0B7C" w:rsidRPr="00AE0B7C">
        <w:rPr>
          <w:rFonts w:cs="Arial"/>
          <w:sz w:val="22"/>
        </w:rPr>
        <w:t>chargé de l’apurement des comptes des établissements de diffusion culturelle à l’étranger</w:t>
      </w:r>
      <w:r w:rsidR="00AE0B7C">
        <w:rPr>
          <w:rFonts w:cs="Arial"/>
          <w:sz w:val="22"/>
        </w:rPr>
        <w:t>,</w:t>
      </w:r>
      <w:r w:rsidR="00C065C7">
        <w:rPr>
          <w:rFonts w:cs="Arial"/>
          <w:sz w:val="22"/>
        </w:rPr>
        <w:t xml:space="preserve"> a mis en jeu la responsabilité de </w:t>
      </w:r>
      <w:r w:rsidR="00943BFB" w:rsidRPr="00943BFB">
        <w:rPr>
          <w:rFonts w:cs="Arial"/>
          <w:sz w:val="22"/>
        </w:rPr>
        <w:t>M</w:t>
      </w:r>
      <w:r w:rsidR="00943BFB" w:rsidRPr="00943BFB">
        <w:rPr>
          <w:rFonts w:cs="Arial"/>
          <w:sz w:val="22"/>
          <w:vertAlign w:val="superscript"/>
        </w:rPr>
        <w:t>me</w:t>
      </w:r>
      <w:r w:rsidR="00943BFB">
        <w:rPr>
          <w:rFonts w:cs="Arial"/>
          <w:sz w:val="22"/>
        </w:rPr>
        <w:t xml:space="preserve"> </w:t>
      </w:r>
      <w:r w:rsidR="00490C10">
        <w:rPr>
          <w:rFonts w:cs="Arial"/>
          <w:sz w:val="22"/>
        </w:rPr>
        <w:t>X</w:t>
      </w:r>
      <w:r w:rsidR="00C065C7">
        <w:rPr>
          <w:rFonts w:cs="Arial"/>
          <w:sz w:val="22"/>
        </w:rPr>
        <w:t xml:space="preserve"> en sa qualité d’agent-comptable du centre culturel français de Kigali au titre de l’exercice 2010 ;</w:t>
      </w:r>
    </w:p>
    <w:p w:rsidR="007F76E8" w:rsidRPr="00BE6831" w:rsidRDefault="007F76E8" w:rsidP="00AE0B7C">
      <w:pPr>
        <w:spacing w:before="240" w:after="240" w:line="240" w:lineRule="auto"/>
        <w:jc w:val="both"/>
        <w:rPr>
          <w:rFonts w:cs="Arial"/>
          <w:sz w:val="22"/>
        </w:rPr>
      </w:pPr>
      <w:r w:rsidRPr="00BE6831">
        <w:rPr>
          <w:rFonts w:cs="Arial"/>
          <w:sz w:val="22"/>
        </w:rPr>
        <w:t xml:space="preserve">Vu </w:t>
      </w:r>
      <w:r w:rsidR="00C065C7">
        <w:rPr>
          <w:rFonts w:cs="Arial"/>
          <w:sz w:val="22"/>
        </w:rPr>
        <w:t>les bordereaux d’observations et ceux d’injonctions du trésorier</w:t>
      </w:r>
      <w:r w:rsidR="004D1805">
        <w:rPr>
          <w:rFonts w:cs="Arial"/>
          <w:sz w:val="22"/>
        </w:rPr>
        <w:t>-</w:t>
      </w:r>
      <w:r w:rsidR="00C065C7">
        <w:rPr>
          <w:rFonts w:cs="Arial"/>
          <w:sz w:val="22"/>
        </w:rPr>
        <w:t>payeur général pour l’étranger</w:t>
      </w:r>
      <w:r w:rsidR="004D1805">
        <w:rPr>
          <w:rFonts w:cs="Arial"/>
          <w:sz w:val="22"/>
        </w:rPr>
        <w:t>,</w:t>
      </w:r>
      <w:r w:rsidR="00C065C7">
        <w:rPr>
          <w:rFonts w:cs="Arial"/>
          <w:sz w:val="22"/>
        </w:rPr>
        <w:t xml:space="preserve"> ensemble les réponses des comptables et les pièces justificatives visées au réquisitoire</w:t>
      </w:r>
      <w:r w:rsidR="00AE0B7C">
        <w:rPr>
          <w:rFonts w:cs="Arial"/>
          <w:sz w:val="22"/>
        </w:rPr>
        <w:t xml:space="preserve"> </w:t>
      </w:r>
      <w:r w:rsidR="00C065C7">
        <w:rPr>
          <w:rFonts w:cs="Arial"/>
          <w:sz w:val="22"/>
        </w:rPr>
        <w:t>du 21 mai 2014</w:t>
      </w:r>
      <w:r w:rsidR="00943BFB">
        <w:rPr>
          <w:rFonts w:cs="Arial"/>
          <w:sz w:val="22"/>
        </w:rPr>
        <w:t> ;</w:t>
      </w:r>
    </w:p>
    <w:p w:rsidR="007F76E8" w:rsidRPr="00BE6831" w:rsidRDefault="007F76E8" w:rsidP="00AE0B7C">
      <w:pPr>
        <w:spacing w:before="240" w:after="240" w:line="240" w:lineRule="auto"/>
        <w:jc w:val="both"/>
        <w:rPr>
          <w:rFonts w:cs="Arial"/>
          <w:sz w:val="22"/>
        </w:rPr>
      </w:pPr>
      <w:r w:rsidRPr="00BE6831">
        <w:rPr>
          <w:rFonts w:cs="Arial"/>
          <w:sz w:val="22"/>
        </w:rPr>
        <w:t>Vu l’article 60 de la loi de finances n°</w:t>
      </w:r>
      <w:r w:rsidR="00411920">
        <w:rPr>
          <w:rFonts w:cs="Arial"/>
          <w:sz w:val="22"/>
        </w:rPr>
        <w:t> </w:t>
      </w:r>
      <w:r w:rsidRPr="00BE6831">
        <w:rPr>
          <w:rFonts w:cs="Arial"/>
          <w:sz w:val="22"/>
        </w:rPr>
        <w:t>63-156 du 23 février 1963 modifiée</w:t>
      </w:r>
      <w:r w:rsidR="00943BFB">
        <w:rPr>
          <w:rFonts w:cs="Arial"/>
          <w:sz w:val="22"/>
        </w:rPr>
        <w:t> ;</w:t>
      </w:r>
    </w:p>
    <w:p w:rsidR="00C04AE1" w:rsidRDefault="00C04AE1" w:rsidP="00AE0B7C">
      <w:pPr>
        <w:spacing w:before="240" w:after="240" w:line="240" w:lineRule="auto"/>
        <w:jc w:val="both"/>
        <w:rPr>
          <w:rFonts w:cs="Arial"/>
          <w:sz w:val="22"/>
        </w:rPr>
      </w:pPr>
      <w:r>
        <w:rPr>
          <w:rFonts w:cs="Arial"/>
          <w:sz w:val="22"/>
        </w:rPr>
        <w:t>Vu le code des juridictions financières et notamment ses articles L. 131-5 et D. 131-29 à</w:t>
      </w:r>
      <w:r>
        <w:rPr>
          <w:rFonts w:cs="Arial"/>
          <w:sz w:val="22"/>
        </w:rPr>
        <w:br/>
        <w:t>D. 131-32 ;</w:t>
      </w:r>
    </w:p>
    <w:p w:rsidR="007F76E8" w:rsidRDefault="007F76E8" w:rsidP="00AE0B7C">
      <w:pPr>
        <w:spacing w:before="240" w:after="240" w:line="240" w:lineRule="auto"/>
        <w:jc w:val="both"/>
        <w:rPr>
          <w:rFonts w:cs="Arial"/>
          <w:sz w:val="22"/>
        </w:rPr>
      </w:pPr>
      <w:r w:rsidRPr="00BE6831">
        <w:rPr>
          <w:rFonts w:cs="Arial"/>
          <w:sz w:val="22"/>
        </w:rPr>
        <w:t>Vu le décret n°</w:t>
      </w:r>
      <w:r w:rsidR="00411920">
        <w:rPr>
          <w:rFonts w:cs="Arial"/>
          <w:sz w:val="22"/>
        </w:rPr>
        <w:t> </w:t>
      </w:r>
      <w:r w:rsidRPr="00BE6831">
        <w:rPr>
          <w:rFonts w:cs="Arial"/>
          <w:sz w:val="22"/>
        </w:rPr>
        <w:t>62-1587 du 29 décembre 1962 modifié portant règlement général sur la comptabilité publique, en vigueur au moment des faits ;</w:t>
      </w:r>
    </w:p>
    <w:p w:rsidR="00C065C7" w:rsidRDefault="00C065C7" w:rsidP="00AE0B7C">
      <w:pPr>
        <w:spacing w:before="240" w:after="240" w:line="240" w:lineRule="auto"/>
        <w:jc w:val="both"/>
        <w:rPr>
          <w:rFonts w:cs="Arial"/>
          <w:sz w:val="22"/>
        </w:rPr>
      </w:pPr>
      <w:r>
        <w:rPr>
          <w:rFonts w:cs="Arial"/>
          <w:sz w:val="22"/>
        </w:rPr>
        <w:t>Vu le décret n°</w:t>
      </w:r>
      <w:r w:rsidR="00B34BEC">
        <w:rPr>
          <w:rFonts w:cs="Arial"/>
          <w:sz w:val="22"/>
        </w:rPr>
        <w:t> </w:t>
      </w:r>
      <w:r>
        <w:rPr>
          <w:rFonts w:cs="Arial"/>
          <w:sz w:val="22"/>
        </w:rPr>
        <w:t>2008-228 du 5 mars 2008 relatif à la constatation et à l’apurement des débets des comptables publics et assimilés ;</w:t>
      </w:r>
    </w:p>
    <w:p w:rsidR="00C065C7" w:rsidRDefault="00C065C7" w:rsidP="00AE0B7C">
      <w:pPr>
        <w:spacing w:before="240" w:after="240" w:line="240" w:lineRule="auto"/>
        <w:jc w:val="both"/>
        <w:rPr>
          <w:rFonts w:cs="Arial"/>
          <w:sz w:val="22"/>
        </w:rPr>
      </w:pPr>
      <w:r>
        <w:rPr>
          <w:rFonts w:cs="Arial"/>
          <w:sz w:val="22"/>
        </w:rPr>
        <w:t>Vu les lois et règlements applicables aux établissements de diffusion culturelle à l’étranger dotés de l’autonomie financière et</w:t>
      </w:r>
      <w:r w:rsidR="00AE0B7C">
        <w:rPr>
          <w:rFonts w:cs="Arial"/>
          <w:sz w:val="22"/>
        </w:rPr>
        <w:t xml:space="preserve"> notamment le décret modifié n° </w:t>
      </w:r>
      <w:r>
        <w:rPr>
          <w:rFonts w:cs="Arial"/>
          <w:sz w:val="22"/>
        </w:rPr>
        <w:t>76-832 du 24 août 1976 relatif à l’organisation financière de certains établissements ou organismes de diffusion culturelle dépendant du ministère des affaires étrangères ou du ministère de la coopération modifié, ainsi que ses textes d’application ;</w:t>
      </w:r>
    </w:p>
    <w:p w:rsidR="00C065C7" w:rsidRPr="00BE6831" w:rsidRDefault="00C065C7" w:rsidP="00AE0B7C">
      <w:pPr>
        <w:spacing w:before="240" w:after="240" w:line="240" w:lineRule="auto"/>
        <w:jc w:val="both"/>
        <w:rPr>
          <w:rFonts w:cs="Arial"/>
          <w:sz w:val="22"/>
        </w:rPr>
      </w:pPr>
      <w:r>
        <w:rPr>
          <w:rFonts w:cs="Arial"/>
          <w:sz w:val="22"/>
        </w:rPr>
        <w:t>Vu l’instruction M</w:t>
      </w:r>
      <w:r w:rsidR="00B34BEC">
        <w:rPr>
          <w:rFonts w:cs="Arial"/>
          <w:sz w:val="22"/>
        </w:rPr>
        <w:t> </w:t>
      </w:r>
      <w:r>
        <w:rPr>
          <w:rFonts w:cs="Arial"/>
          <w:sz w:val="22"/>
        </w:rPr>
        <w:t>9-7 sur l’organisation financière et comptable</w:t>
      </w:r>
      <w:r w:rsidR="00055973">
        <w:rPr>
          <w:rFonts w:cs="Arial"/>
          <w:sz w:val="22"/>
        </w:rPr>
        <w:t xml:space="preserve"> de</w:t>
      </w:r>
      <w:r w:rsidR="00055973" w:rsidRPr="00055973">
        <w:rPr>
          <w:rFonts w:cs="Arial"/>
          <w:sz w:val="22"/>
        </w:rPr>
        <w:t>s établissements ou organismes de diffusion culturelle</w:t>
      </w:r>
      <w:r w:rsidR="00055973">
        <w:rPr>
          <w:rFonts w:cs="Arial"/>
          <w:sz w:val="22"/>
        </w:rPr>
        <w:t xml:space="preserve"> à l’étranger ;</w:t>
      </w:r>
    </w:p>
    <w:p w:rsidR="007F76E8" w:rsidRPr="00BE6831" w:rsidRDefault="007F76E8" w:rsidP="00AE0B7C">
      <w:pPr>
        <w:spacing w:before="240" w:after="240" w:line="240" w:lineRule="auto"/>
        <w:jc w:val="both"/>
        <w:rPr>
          <w:rFonts w:cs="Arial"/>
          <w:sz w:val="22"/>
        </w:rPr>
      </w:pPr>
      <w:r w:rsidRPr="00BE6831">
        <w:rPr>
          <w:rFonts w:cs="Arial"/>
          <w:sz w:val="22"/>
        </w:rPr>
        <w:lastRenderedPageBreak/>
        <w:t xml:space="preserve">Vu le rapport de M. </w:t>
      </w:r>
      <w:r w:rsidR="003D58FB">
        <w:rPr>
          <w:rFonts w:cs="Arial"/>
          <w:sz w:val="22"/>
        </w:rPr>
        <w:t>Yves R</w:t>
      </w:r>
      <w:r w:rsidR="00AE0B7C">
        <w:rPr>
          <w:rFonts w:cs="Arial"/>
          <w:sz w:val="22"/>
        </w:rPr>
        <w:t>OLLAND</w:t>
      </w:r>
      <w:r w:rsidRPr="00BE6831">
        <w:rPr>
          <w:rFonts w:cs="Arial"/>
          <w:sz w:val="22"/>
        </w:rPr>
        <w:t>, conseiller maître ;</w:t>
      </w:r>
    </w:p>
    <w:p w:rsidR="007F76E8" w:rsidRPr="00BE6831" w:rsidRDefault="007F76E8" w:rsidP="00AE0B7C">
      <w:pPr>
        <w:spacing w:before="240" w:after="240" w:line="240" w:lineRule="auto"/>
        <w:jc w:val="both"/>
        <w:rPr>
          <w:rFonts w:cs="Arial"/>
          <w:sz w:val="22"/>
        </w:rPr>
      </w:pPr>
      <w:r w:rsidRPr="00BE6831">
        <w:rPr>
          <w:rFonts w:cs="Arial"/>
          <w:sz w:val="22"/>
        </w:rPr>
        <w:t>V</w:t>
      </w:r>
      <w:r w:rsidR="00CA2B9B">
        <w:rPr>
          <w:rFonts w:cs="Arial"/>
          <w:sz w:val="22"/>
        </w:rPr>
        <w:t>u</w:t>
      </w:r>
      <w:r w:rsidRPr="00BE6831">
        <w:rPr>
          <w:rFonts w:cs="Arial"/>
          <w:sz w:val="22"/>
        </w:rPr>
        <w:t xml:space="preserve"> les conclusions du Procureur général </w:t>
      </w:r>
      <w:r w:rsidR="008F0F94">
        <w:rPr>
          <w:rFonts w:cs="Arial"/>
          <w:sz w:val="22"/>
        </w:rPr>
        <w:t>n°</w:t>
      </w:r>
      <w:r w:rsidR="00AE0B7C">
        <w:rPr>
          <w:rFonts w:cs="Arial"/>
          <w:sz w:val="22"/>
        </w:rPr>
        <w:t xml:space="preserve"> 221 </w:t>
      </w:r>
      <w:r w:rsidR="003D58FB">
        <w:rPr>
          <w:rFonts w:cs="Arial"/>
          <w:sz w:val="22"/>
        </w:rPr>
        <w:t xml:space="preserve">du </w:t>
      </w:r>
      <w:r w:rsidR="00AE0B7C">
        <w:rPr>
          <w:rFonts w:cs="Arial"/>
          <w:sz w:val="22"/>
        </w:rPr>
        <w:t>1</w:t>
      </w:r>
      <w:r w:rsidR="00AE0B7C" w:rsidRPr="00AE0B7C">
        <w:rPr>
          <w:rFonts w:cs="Arial"/>
          <w:sz w:val="22"/>
          <w:vertAlign w:val="superscript"/>
        </w:rPr>
        <w:t>er</w:t>
      </w:r>
      <w:r w:rsidR="003D58FB">
        <w:rPr>
          <w:rFonts w:cs="Arial"/>
          <w:sz w:val="22"/>
        </w:rPr>
        <w:t xml:space="preserve"> avril</w:t>
      </w:r>
      <w:r w:rsidR="008F0F94">
        <w:rPr>
          <w:rFonts w:cs="Arial"/>
          <w:sz w:val="22"/>
        </w:rPr>
        <w:t xml:space="preserve"> 2015</w:t>
      </w:r>
      <w:r w:rsidR="00943BFB">
        <w:rPr>
          <w:rFonts w:cs="Arial"/>
          <w:sz w:val="22"/>
        </w:rPr>
        <w:t> ;</w:t>
      </w:r>
    </w:p>
    <w:p w:rsidR="007F76E8" w:rsidRPr="00BE6831" w:rsidRDefault="007F76E8" w:rsidP="00AE0B7C">
      <w:pPr>
        <w:spacing w:before="240" w:after="240" w:line="240" w:lineRule="auto"/>
        <w:jc w:val="both"/>
        <w:rPr>
          <w:rFonts w:cs="Arial"/>
          <w:sz w:val="22"/>
        </w:rPr>
      </w:pPr>
      <w:r w:rsidRPr="00BE6831">
        <w:rPr>
          <w:rFonts w:cs="Arial"/>
          <w:sz w:val="22"/>
        </w:rPr>
        <w:t>Entendu, lors de l’audience publique de ce jour, M.</w:t>
      </w:r>
      <w:r w:rsidR="00411920">
        <w:rPr>
          <w:rFonts w:cs="Arial"/>
          <w:sz w:val="22"/>
        </w:rPr>
        <w:t> </w:t>
      </w:r>
      <w:r w:rsidR="00AE0B7C">
        <w:rPr>
          <w:rFonts w:cs="Arial"/>
          <w:sz w:val="22"/>
        </w:rPr>
        <w:t>ROLLAND</w:t>
      </w:r>
      <w:r w:rsidRPr="00BE6831">
        <w:rPr>
          <w:rFonts w:cs="Arial"/>
          <w:sz w:val="22"/>
        </w:rPr>
        <w:t xml:space="preserve">, en son rapport, </w:t>
      </w:r>
      <w:r w:rsidR="00DF0D0E">
        <w:rPr>
          <w:rFonts w:cs="Arial"/>
          <w:sz w:val="22"/>
        </w:rPr>
        <w:br/>
      </w:r>
      <w:r w:rsidRPr="0039517C">
        <w:rPr>
          <w:rFonts w:cs="Arial"/>
          <w:sz w:val="22"/>
        </w:rPr>
        <w:t xml:space="preserve">M. </w:t>
      </w:r>
      <w:r w:rsidR="00AE0B7C">
        <w:rPr>
          <w:rFonts w:cs="Arial"/>
          <w:sz w:val="22"/>
        </w:rPr>
        <w:t>Christian MICHAUT</w:t>
      </w:r>
      <w:r w:rsidRPr="0039517C">
        <w:rPr>
          <w:rFonts w:cs="Arial"/>
          <w:sz w:val="22"/>
        </w:rPr>
        <w:t>, avocat général, en les c</w:t>
      </w:r>
      <w:r w:rsidR="00AE0B7C">
        <w:rPr>
          <w:rFonts w:cs="Arial"/>
          <w:sz w:val="22"/>
        </w:rPr>
        <w:t>onclusions du ministère public</w:t>
      </w:r>
      <w:r w:rsidRPr="0039517C">
        <w:rPr>
          <w:rFonts w:cs="Arial"/>
          <w:sz w:val="22"/>
        </w:rPr>
        <w:t> ;</w:t>
      </w:r>
    </w:p>
    <w:p w:rsidR="007F76E8" w:rsidRDefault="007F76E8" w:rsidP="00AE0B7C">
      <w:pPr>
        <w:spacing w:before="240" w:after="240" w:line="240" w:lineRule="auto"/>
        <w:jc w:val="both"/>
        <w:rPr>
          <w:rFonts w:cs="Arial"/>
          <w:sz w:val="22"/>
        </w:rPr>
      </w:pPr>
      <w:r w:rsidRPr="0039517C">
        <w:rPr>
          <w:rFonts w:cs="Arial"/>
          <w:sz w:val="22"/>
        </w:rPr>
        <w:t>Entendu, en délibéré, M.</w:t>
      </w:r>
      <w:r w:rsidR="00B34BEC">
        <w:rPr>
          <w:rFonts w:cs="Arial"/>
          <w:sz w:val="22"/>
        </w:rPr>
        <w:t> </w:t>
      </w:r>
      <w:r w:rsidR="003D58FB">
        <w:rPr>
          <w:rFonts w:cs="Arial"/>
          <w:sz w:val="22"/>
        </w:rPr>
        <w:t>Gérard G</w:t>
      </w:r>
      <w:r w:rsidR="00AE0B7C">
        <w:rPr>
          <w:rFonts w:cs="Arial"/>
          <w:sz w:val="22"/>
        </w:rPr>
        <w:t>ANSER</w:t>
      </w:r>
      <w:r w:rsidR="008F0F94" w:rsidRPr="0039517C">
        <w:rPr>
          <w:rFonts w:cs="Arial"/>
          <w:sz w:val="22"/>
        </w:rPr>
        <w:t>, conseiller</w:t>
      </w:r>
      <w:r w:rsidR="00DF0D0E">
        <w:rPr>
          <w:rFonts w:cs="Arial"/>
          <w:sz w:val="22"/>
        </w:rPr>
        <w:t xml:space="preserve"> </w:t>
      </w:r>
      <w:r w:rsidR="008F0F94" w:rsidRPr="0039517C">
        <w:rPr>
          <w:rFonts w:cs="Arial"/>
          <w:sz w:val="22"/>
        </w:rPr>
        <w:t>maître</w:t>
      </w:r>
      <w:r w:rsidRPr="0039517C">
        <w:rPr>
          <w:rFonts w:cs="Arial"/>
          <w:sz w:val="22"/>
        </w:rPr>
        <w:t>, en ses observations ;</w:t>
      </w:r>
    </w:p>
    <w:p w:rsidR="00AE0B7C" w:rsidRDefault="00AE0B7C" w:rsidP="00AE0B7C">
      <w:pPr>
        <w:spacing w:before="240" w:after="240" w:line="240" w:lineRule="auto"/>
        <w:jc w:val="both"/>
        <w:rPr>
          <w:rFonts w:cs="Arial"/>
          <w:sz w:val="22"/>
        </w:rPr>
      </w:pPr>
    </w:p>
    <w:p w:rsidR="008C2B32" w:rsidRDefault="008C2B32" w:rsidP="008C2B32">
      <w:pPr>
        <w:spacing w:before="240" w:after="240" w:line="240" w:lineRule="auto"/>
        <w:jc w:val="both"/>
        <w:rPr>
          <w:rFonts w:cs="Arial"/>
          <w:sz w:val="22"/>
        </w:rPr>
      </w:pPr>
      <w:r>
        <w:rPr>
          <w:rFonts w:cs="Arial"/>
          <w:sz w:val="22"/>
        </w:rPr>
        <w:t xml:space="preserve">Attendu qu’en application de l’article </w:t>
      </w:r>
      <w:r w:rsidRPr="008C2B32">
        <w:rPr>
          <w:rFonts w:cs="Arial"/>
          <w:sz w:val="22"/>
        </w:rPr>
        <w:t>D</w:t>
      </w:r>
      <w:r w:rsidR="00C04AE1">
        <w:rPr>
          <w:rFonts w:cs="Arial"/>
          <w:sz w:val="22"/>
        </w:rPr>
        <w:t xml:space="preserve">. </w:t>
      </w:r>
      <w:r w:rsidRPr="008C2B32">
        <w:rPr>
          <w:rFonts w:cs="Arial"/>
          <w:sz w:val="22"/>
        </w:rPr>
        <w:t>131-32</w:t>
      </w:r>
      <w:r>
        <w:rPr>
          <w:rFonts w:cs="Arial"/>
          <w:sz w:val="22"/>
        </w:rPr>
        <w:t xml:space="preserve"> du code des juridictions financières, « </w:t>
      </w:r>
      <w:r w:rsidRPr="008C2B32">
        <w:rPr>
          <w:rFonts w:cs="Arial"/>
          <w:i/>
          <w:sz w:val="22"/>
        </w:rPr>
        <w:t xml:space="preserve">Les </w:t>
      </w:r>
      <w:r w:rsidRPr="008C2B32">
        <w:rPr>
          <w:rFonts w:cs="Arial"/>
          <w:sz w:val="22"/>
        </w:rPr>
        <w:t>[…]</w:t>
      </w:r>
      <w:r w:rsidR="00943BFB">
        <w:rPr>
          <w:rFonts w:cs="Arial"/>
          <w:sz w:val="22"/>
        </w:rPr>
        <w:t xml:space="preserve"> </w:t>
      </w:r>
      <w:r w:rsidRPr="008C2B32">
        <w:rPr>
          <w:rFonts w:cs="Arial"/>
          <w:i/>
          <w:sz w:val="22"/>
        </w:rPr>
        <w:t xml:space="preserve">autres comptables supérieurs chargés de l'apurement administratif peuvent enjoindre aux comptables dont ils apurent les comptes de produire, dans le délai d'un mois, les pièces justificatives qui feraient défaut. Ils prennent sur les comptes qui leur sont soumis des décisions administratives établissant que les comptables sont quittes ou en débet. </w:t>
      </w:r>
      <w:r w:rsidRPr="008C2B32">
        <w:rPr>
          <w:rFonts w:cs="Arial"/>
          <w:sz w:val="22"/>
        </w:rPr>
        <w:t>[…].</w:t>
      </w:r>
      <w:r w:rsidRPr="008C2B32">
        <w:rPr>
          <w:rFonts w:cs="Arial"/>
          <w:i/>
          <w:sz w:val="22"/>
        </w:rPr>
        <w:t xml:space="preserve"> Dans le deuxième cas, leurs arrêtés fixent le montant du débet à titre conservatoire. La comptabilité et tous documents nécessaires sont transmis à la Cour. Le jugement de l'affaire obéit aux règles prévues par les articles R.</w:t>
      </w:r>
      <w:r w:rsidR="00B34BEC">
        <w:rPr>
          <w:rFonts w:cs="Arial"/>
          <w:i/>
          <w:sz w:val="22"/>
        </w:rPr>
        <w:t> </w:t>
      </w:r>
      <w:r w:rsidRPr="008C2B32">
        <w:rPr>
          <w:rFonts w:cs="Arial"/>
          <w:i/>
          <w:sz w:val="22"/>
        </w:rPr>
        <w:t>142-4 à R.</w:t>
      </w:r>
      <w:r w:rsidR="00B34BEC">
        <w:rPr>
          <w:rFonts w:cs="Arial"/>
          <w:i/>
          <w:sz w:val="22"/>
        </w:rPr>
        <w:t> </w:t>
      </w:r>
      <w:r w:rsidRPr="008C2B32">
        <w:rPr>
          <w:rFonts w:cs="Arial"/>
          <w:i/>
          <w:sz w:val="22"/>
        </w:rPr>
        <w:t>142-13 </w:t>
      </w:r>
      <w:r>
        <w:rPr>
          <w:rFonts w:cs="Arial"/>
          <w:sz w:val="22"/>
        </w:rPr>
        <w:t>»</w:t>
      </w:r>
      <w:r w:rsidRPr="008C2B32">
        <w:rPr>
          <w:rFonts w:cs="Arial"/>
          <w:sz w:val="22"/>
        </w:rPr>
        <w:t>.</w:t>
      </w:r>
    </w:p>
    <w:p w:rsidR="00760BDB" w:rsidRDefault="00AE0B7C" w:rsidP="00AE0B7C">
      <w:pPr>
        <w:spacing w:before="240" w:after="240" w:line="240" w:lineRule="auto"/>
        <w:jc w:val="both"/>
        <w:rPr>
          <w:rFonts w:cs="Arial"/>
          <w:sz w:val="22"/>
        </w:rPr>
      </w:pPr>
      <w:r>
        <w:rPr>
          <w:rFonts w:cs="Arial"/>
          <w:sz w:val="22"/>
        </w:rPr>
        <w:t>Attendu que par le réquisitoire susvisé le Procureur général considère que la responsabilité pécuniaire personnelle de l’agent-comptable pourrait être mise en jeu au titre d</w:t>
      </w:r>
      <w:r w:rsidR="00760BDB">
        <w:rPr>
          <w:rFonts w:cs="Arial"/>
          <w:sz w:val="22"/>
        </w:rPr>
        <w:t xml:space="preserve">u défaut de régularisation, </w:t>
      </w:r>
      <w:r w:rsidR="00A36FF8">
        <w:rPr>
          <w:rFonts w:cs="Arial"/>
          <w:sz w:val="22"/>
        </w:rPr>
        <w:t>au 31 décembre</w:t>
      </w:r>
      <w:r w:rsidR="00760BDB">
        <w:rPr>
          <w:rFonts w:cs="Arial"/>
          <w:sz w:val="22"/>
        </w:rPr>
        <w:t xml:space="preserve"> 2010, des soldes débiteurs des comptes :</w:t>
      </w:r>
    </w:p>
    <w:p w:rsidR="00760BDB" w:rsidRDefault="00760BDB" w:rsidP="00AE0B7C">
      <w:pPr>
        <w:spacing w:before="240" w:after="240" w:line="240" w:lineRule="auto"/>
        <w:jc w:val="both"/>
        <w:rPr>
          <w:rFonts w:cs="Arial"/>
          <w:sz w:val="22"/>
        </w:rPr>
      </w:pPr>
      <w:r>
        <w:rPr>
          <w:rFonts w:cs="Arial"/>
          <w:sz w:val="22"/>
        </w:rPr>
        <w:t xml:space="preserve">- 41112 </w:t>
      </w:r>
      <w:r w:rsidRPr="00760BDB">
        <w:rPr>
          <w:rFonts w:cs="Arial"/>
          <w:i/>
          <w:sz w:val="22"/>
        </w:rPr>
        <w:t xml:space="preserve">Clients années antérieures </w:t>
      </w:r>
      <w:r w:rsidRPr="00760BDB">
        <w:rPr>
          <w:rFonts w:cs="Arial"/>
          <w:sz w:val="22"/>
        </w:rPr>
        <w:t>(exercice 2007)</w:t>
      </w:r>
      <w:r>
        <w:rPr>
          <w:rFonts w:cs="Arial"/>
          <w:sz w:val="22"/>
        </w:rPr>
        <w:t xml:space="preserve"> d’un montant de 4 508 523,44</w:t>
      </w:r>
      <w:r w:rsidR="00B34BEC">
        <w:rPr>
          <w:rFonts w:cs="Arial"/>
          <w:sz w:val="22"/>
        </w:rPr>
        <w:t> </w:t>
      </w:r>
      <w:r>
        <w:rPr>
          <w:rFonts w:cs="Arial"/>
          <w:sz w:val="22"/>
        </w:rPr>
        <w:t xml:space="preserve">francs rwandais, </w:t>
      </w:r>
      <w:r w:rsidR="00324D69">
        <w:rPr>
          <w:rFonts w:cs="Arial"/>
          <w:sz w:val="22"/>
        </w:rPr>
        <w:t xml:space="preserve">soit </w:t>
      </w:r>
      <w:r w:rsidR="00324D69" w:rsidRPr="00324D69">
        <w:rPr>
          <w:rFonts w:cs="Arial"/>
          <w:sz w:val="22"/>
        </w:rPr>
        <w:t>5</w:t>
      </w:r>
      <w:r w:rsidR="00324D69">
        <w:rPr>
          <w:rFonts w:cs="Arial"/>
          <w:sz w:val="22"/>
        </w:rPr>
        <w:t> </w:t>
      </w:r>
      <w:r w:rsidR="00324D69" w:rsidRPr="00324D69">
        <w:rPr>
          <w:rFonts w:cs="Arial"/>
          <w:sz w:val="22"/>
        </w:rPr>
        <w:t>6</w:t>
      </w:r>
      <w:r w:rsidR="00324D69">
        <w:rPr>
          <w:rFonts w:cs="Arial"/>
          <w:sz w:val="22"/>
        </w:rPr>
        <w:t>80,74</w:t>
      </w:r>
      <w:r w:rsidR="00B34BEC">
        <w:rPr>
          <w:rFonts w:cs="Arial"/>
          <w:sz w:val="22"/>
        </w:rPr>
        <w:t> </w:t>
      </w:r>
      <w:r w:rsidR="00324D69" w:rsidRPr="00324D69">
        <w:rPr>
          <w:rFonts w:cs="Arial"/>
          <w:sz w:val="22"/>
        </w:rPr>
        <w:t>€</w:t>
      </w:r>
      <w:r w:rsidR="00324D69">
        <w:rPr>
          <w:rFonts w:cs="Arial"/>
          <w:sz w:val="22"/>
        </w:rPr>
        <w:t>,</w:t>
      </w:r>
      <w:r w:rsidR="00324D69" w:rsidRPr="00324D69">
        <w:rPr>
          <w:rFonts w:cs="Arial"/>
          <w:sz w:val="22"/>
        </w:rPr>
        <w:t xml:space="preserve"> au taux de chancellerie </w:t>
      </w:r>
      <w:r w:rsidR="00324D69">
        <w:rPr>
          <w:rFonts w:cs="Arial"/>
          <w:sz w:val="22"/>
        </w:rPr>
        <w:t xml:space="preserve">de </w:t>
      </w:r>
      <w:r w:rsidR="00686D20">
        <w:rPr>
          <w:rFonts w:cs="Arial"/>
          <w:sz w:val="22"/>
        </w:rPr>
        <w:t xml:space="preserve">1 </w:t>
      </w:r>
      <w:r w:rsidR="00686D20" w:rsidRPr="00686D20">
        <w:rPr>
          <w:rFonts w:cs="Arial"/>
          <w:sz w:val="22"/>
        </w:rPr>
        <w:t xml:space="preserve">franc rwandais </w:t>
      </w:r>
      <w:r w:rsidR="00324D69">
        <w:rPr>
          <w:rFonts w:cs="Arial"/>
          <w:sz w:val="22"/>
        </w:rPr>
        <w:t xml:space="preserve">pour </w:t>
      </w:r>
      <w:r w:rsidR="00324D69" w:rsidRPr="00324D69">
        <w:rPr>
          <w:rFonts w:cs="Arial"/>
          <w:sz w:val="22"/>
        </w:rPr>
        <w:t>0,00126</w:t>
      </w:r>
      <w:r w:rsidR="00B34BEC">
        <w:rPr>
          <w:rFonts w:cs="Arial"/>
          <w:sz w:val="22"/>
        </w:rPr>
        <w:t> </w:t>
      </w:r>
      <w:r w:rsidR="00324D69" w:rsidRPr="00324D69">
        <w:rPr>
          <w:rFonts w:cs="Arial"/>
          <w:sz w:val="22"/>
        </w:rPr>
        <w:t>€</w:t>
      </w:r>
      <w:r w:rsidR="00686D20">
        <w:rPr>
          <w:rFonts w:cs="Arial"/>
          <w:sz w:val="22"/>
        </w:rPr>
        <w:t>,</w:t>
      </w:r>
      <w:r w:rsidR="00324D69" w:rsidRPr="00324D69">
        <w:rPr>
          <w:rFonts w:cs="Arial"/>
          <w:sz w:val="22"/>
        </w:rPr>
        <w:t xml:space="preserve"> en vigueur </w:t>
      </w:r>
      <w:r w:rsidR="00324D69">
        <w:rPr>
          <w:rFonts w:cs="Arial"/>
          <w:sz w:val="22"/>
        </w:rPr>
        <w:t>au 1</w:t>
      </w:r>
      <w:r w:rsidR="00324D69" w:rsidRPr="00324D69">
        <w:rPr>
          <w:rFonts w:cs="Arial"/>
          <w:sz w:val="22"/>
          <w:vertAlign w:val="superscript"/>
        </w:rPr>
        <w:t>er</w:t>
      </w:r>
      <w:r w:rsidR="00324D69">
        <w:rPr>
          <w:rFonts w:cs="Arial"/>
          <w:sz w:val="22"/>
        </w:rPr>
        <w:t xml:space="preserve"> décembre 2010, selon </w:t>
      </w:r>
      <w:r w:rsidR="00324D69" w:rsidRPr="00324D69">
        <w:rPr>
          <w:rFonts w:cs="Arial"/>
          <w:sz w:val="22"/>
        </w:rPr>
        <w:t xml:space="preserve">l’arrêté conservatoire de débet </w:t>
      </w:r>
      <w:r w:rsidR="00324D69">
        <w:rPr>
          <w:rFonts w:cs="Arial"/>
          <w:sz w:val="22"/>
        </w:rPr>
        <w:t>susvisé</w:t>
      </w:r>
      <w:r w:rsidR="00846EFF">
        <w:rPr>
          <w:rFonts w:cs="Arial"/>
          <w:sz w:val="22"/>
        </w:rPr>
        <w:t xml:space="preserve"> (première présomption de charge)</w:t>
      </w:r>
      <w:r>
        <w:rPr>
          <w:rFonts w:cs="Arial"/>
          <w:sz w:val="22"/>
        </w:rPr>
        <w:t> ;</w:t>
      </w:r>
    </w:p>
    <w:p w:rsidR="00760BDB" w:rsidRPr="00324D69" w:rsidRDefault="00760BDB" w:rsidP="00AE0B7C">
      <w:pPr>
        <w:spacing w:before="240" w:after="240" w:line="240" w:lineRule="auto"/>
        <w:jc w:val="both"/>
        <w:rPr>
          <w:rFonts w:cs="Arial"/>
          <w:sz w:val="22"/>
        </w:rPr>
      </w:pPr>
      <w:r>
        <w:rPr>
          <w:rFonts w:cs="Arial"/>
          <w:sz w:val="22"/>
        </w:rPr>
        <w:t>-</w:t>
      </w:r>
      <w:r w:rsidR="00EC5A61">
        <w:rPr>
          <w:rFonts w:cs="Arial"/>
          <w:sz w:val="22"/>
        </w:rPr>
        <w:t> </w:t>
      </w:r>
      <w:r>
        <w:rPr>
          <w:rFonts w:cs="Arial"/>
          <w:sz w:val="22"/>
        </w:rPr>
        <w:t xml:space="preserve">54120 </w:t>
      </w:r>
      <w:r w:rsidRPr="00760BDB">
        <w:rPr>
          <w:rFonts w:cs="Arial"/>
          <w:i/>
          <w:sz w:val="22"/>
        </w:rPr>
        <w:t>Avances en monnaie étrangère</w:t>
      </w:r>
      <w:r>
        <w:rPr>
          <w:rFonts w:cs="Arial"/>
          <w:sz w:val="22"/>
        </w:rPr>
        <w:t xml:space="preserve"> d’un montant de 39 575 franc rwandais</w:t>
      </w:r>
      <w:r w:rsidRPr="00324D69">
        <w:rPr>
          <w:rFonts w:cs="Arial"/>
          <w:sz w:val="22"/>
        </w:rPr>
        <w:t xml:space="preserve">, soit </w:t>
      </w:r>
      <w:r w:rsidR="00324D69" w:rsidRPr="00324D69">
        <w:rPr>
          <w:rFonts w:cs="Arial"/>
          <w:sz w:val="22"/>
        </w:rPr>
        <w:t>49,86</w:t>
      </w:r>
      <w:r w:rsidR="00B34BEC">
        <w:rPr>
          <w:rFonts w:cs="Arial"/>
          <w:sz w:val="22"/>
        </w:rPr>
        <w:t> </w:t>
      </w:r>
      <w:r w:rsidR="00324D69" w:rsidRPr="00324D69">
        <w:rPr>
          <w:rFonts w:cs="Arial"/>
          <w:sz w:val="22"/>
        </w:rPr>
        <w:t>€</w:t>
      </w:r>
      <w:r w:rsidR="00846EFF" w:rsidRPr="00324D69">
        <w:rPr>
          <w:rFonts w:cs="Arial"/>
          <w:sz w:val="22"/>
        </w:rPr>
        <w:t xml:space="preserve"> </w:t>
      </w:r>
      <w:r w:rsidR="00324D69" w:rsidRPr="00324D69">
        <w:rPr>
          <w:rFonts w:cs="Arial"/>
          <w:sz w:val="22"/>
        </w:rPr>
        <w:t>au taux de chancellerie en vigueur au 1</w:t>
      </w:r>
      <w:r w:rsidR="00324D69" w:rsidRPr="00324D69">
        <w:rPr>
          <w:rFonts w:cs="Arial"/>
          <w:sz w:val="22"/>
          <w:vertAlign w:val="superscript"/>
        </w:rPr>
        <w:t>er</w:t>
      </w:r>
      <w:r w:rsidR="00324D69" w:rsidRPr="00324D69">
        <w:rPr>
          <w:rFonts w:cs="Arial"/>
          <w:sz w:val="22"/>
        </w:rPr>
        <w:t xml:space="preserve"> décembre 2010 </w:t>
      </w:r>
      <w:r w:rsidR="00846EFF" w:rsidRPr="00324D69">
        <w:rPr>
          <w:rFonts w:cs="Arial"/>
          <w:sz w:val="22"/>
        </w:rPr>
        <w:t>(deuxième présomption de charge)</w:t>
      </w:r>
      <w:r w:rsidRPr="00324D69">
        <w:rPr>
          <w:rFonts w:cs="Arial"/>
          <w:sz w:val="22"/>
        </w:rPr>
        <w:t> ;</w:t>
      </w:r>
    </w:p>
    <w:p w:rsidR="00760BDB" w:rsidRDefault="00760BDB" w:rsidP="00AE0B7C">
      <w:pPr>
        <w:spacing w:before="240" w:after="240" w:line="240" w:lineRule="auto"/>
        <w:jc w:val="both"/>
        <w:rPr>
          <w:rFonts w:cs="Arial"/>
          <w:sz w:val="22"/>
        </w:rPr>
      </w:pPr>
      <w:r w:rsidRPr="00324D69">
        <w:rPr>
          <w:rFonts w:cs="Arial"/>
          <w:sz w:val="22"/>
        </w:rPr>
        <w:t>-</w:t>
      </w:r>
      <w:r w:rsidR="00EC5A61">
        <w:rPr>
          <w:rFonts w:cs="Arial"/>
          <w:sz w:val="22"/>
        </w:rPr>
        <w:t> </w:t>
      </w:r>
      <w:r w:rsidRPr="00324D69">
        <w:rPr>
          <w:rFonts w:cs="Arial"/>
          <w:sz w:val="22"/>
        </w:rPr>
        <w:t xml:space="preserve">2010 </w:t>
      </w:r>
      <w:r w:rsidRPr="00324D69">
        <w:rPr>
          <w:rFonts w:cs="Arial"/>
          <w:i/>
          <w:sz w:val="22"/>
        </w:rPr>
        <w:t>Dépôts et cautionnements</w:t>
      </w:r>
      <w:r w:rsidRPr="00324D69">
        <w:rPr>
          <w:rFonts w:cs="Arial"/>
          <w:sz w:val="22"/>
        </w:rPr>
        <w:t xml:space="preserve"> (exercice 2006) d’un montant de 60</w:t>
      </w:r>
      <w:r w:rsidR="004D1805">
        <w:rPr>
          <w:rFonts w:cs="Arial"/>
          <w:sz w:val="22"/>
        </w:rPr>
        <w:t> </w:t>
      </w:r>
      <w:r w:rsidRPr="00324D69">
        <w:rPr>
          <w:rFonts w:cs="Arial"/>
          <w:sz w:val="22"/>
        </w:rPr>
        <w:t>792</w:t>
      </w:r>
      <w:r w:rsidR="004D1805">
        <w:rPr>
          <w:rFonts w:cs="Arial"/>
          <w:sz w:val="22"/>
        </w:rPr>
        <w:t> </w:t>
      </w:r>
      <w:r w:rsidRPr="00324D69">
        <w:rPr>
          <w:rFonts w:cs="Arial"/>
          <w:sz w:val="22"/>
        </w:rPr>
        <w:t xml:space="preserve">francs rwandais, soit </w:t>
      </w:r>
      <w:r w:rsidR="00324D69" w:rsidRPr="00324D69">
        <w:rPr>
          <w:rFonts w:cs="Arial"/>
          <w:sz w:val="22"/>
        </w:rPr>
        <w:t>76,60</w:t>
      </w:r>
      <w:r w:rsidR="004D1805">
        <w:rPr>
          <w:rFonts w:cs="Arial"/>
          <w:sz w:val="22"/>
        </w:rPr>
        <w:t> </w:t>
      </w:r>
      <w:r w:rsidRPr="00324D69">
        <w:rPr>
          <w:rFonts w:cs="Arial"/>
          <w:sz w:val="22"/>
        </w:rPr>
        <w:t xml:space="preserve">€ </w:t>
      </w:r>
      <w:r w:rsidR="00324D69" w:rsidRPr="00324D69">
        <w:rPr>
          <w:rFonts w:cs="Arial"/>
          <w:sz w:val="22"/>
        </w:rPr>
        <w:t>au taux de chancellerie en vigueur au 1</w:t>
      </w:r>
      <w:r w:rsidR="00324D69" w:rsidRPr="00324D69">
        <w:rPr>
          <w:rFonts w:cs="Arial"/>
          <w:sz w:val="22"/>
          <w:vertAlign w:val="superscript"/>
        </w:rPr>
        <w:t>er</w:t>
      </w:r>
      <w:r w:rsidR="00324D69" w:rsidRPr="00324D69">
        <w:rPr>
          <w:rFonts w:cs="Arial"/>
          <w:sz w:val="22"/>
        </w:rPr>
        <w:t xml:space="preserve"> décembre 2010 </w:t>
      </w:r>
      <w:r w:rsidR="00846EFF" w:rsidRPr="00324D69">
        <w:rPr>
          <w:rFonts w:cs="Arial"/>
          <w:sz w:val="22"/>
        </w:rPr>
        <w:t>(troisième présomption</w:t>
      </w:r>
      <w:r w:rsidR="00846EFF" w:rsidRPr="00846EFF">
        <w:rPr>
          <w:rFonts w:cs="Arial"/>
          <w:sz w:val="22"/>
        </w:rPr>
        <w:t xml:space="preserve"> de charge)</w:t>
      </w:r>
      <w:r>
        <w:rPr>
          <w:rFonts w:cs="Arial"/>
          <w:sz w:val="22"/>
        </w:rPr>
        <w:t> ;</w:t>
      </w:r>
    </w:p>
    <w:p w:rsidR="00686D20" w:rsidRDefault="00686D20" w:rsidP="00AE0B7C">
      <w:pPr>
        <w:spacing w:before="240" w:after="240" w:line="240" w:lineRule="auto"/>
        <w:jc w:val="both"/>
        <w:rPr>
          <w:rFonts w:cs="Arial"/>
          <w:sz w:val="22"/>
        </w:rPr>
      </w:pPr>
      <w:r w:rsidRPr="00686D20">
        <w:rPr>
          <w:rFonts w:cs="Arial"/>
          <w:sz w:val="22"/>
        </w:rPr>
        <w:t>Attendu que les relations diplomatiques entre la France et le Rwanda ont été rompues du 24</w:t>
      </w:r>
      <w:r w:rsidR="00943BFB">
        <w:rPr>
          <w:rFonts w:cs="Arial"/>
          <w:sz w:val="22"/>
        </w:rPr>
        <w:t xml:space="preserve"> </w:t>
      </w:r>
      <w:r w:rsidRPr="00686D20">
        <w:rPr>
          <w:rFonts w:cs="Arial"/>
          <w:sz w:val="22"/>
        </w:rPr>
        <w:t>novembre</w:t>
      </w:r>
      <w:r w:rsidR="00943BFB">
        <w:rPr>
          <w:rFonts w:cs="Arial"/>
          <w:sz w:val="22"/>
        </w:rPr>
        <w:t xml:space="preserve"> </w:t>
      </w:r>
      <w:r w:rsidRPr="00686D20">
        <w:rPr>
          <w:rFonts w:cs="Arial"/>
          <w:sz w:val="22"/>
        </w:rPr>
        <w:t>2006 au 29</w:t>
      </w:r>
      <w:r w:rsidR="00943BFB">
        <w:rPr>
          <w:rFonts w:cs="Arial"/>
          <w:sz w:val="22"/>
        </w:rPr>
        <w:t xml:space="preserve"> </w:t>
      </w:r>
      <w:r w:rsidRPr="00686D20">
        <w:rPr>
          <w:rFonts w:cs="Arial"/>
          <w:sz w:val="22"/>
        </w:rPr>
        <w:t>novembre</w:t>
      </w:r>
      <w:r w:rsidR="00943BFB">
        <w:rPr>
          <w:rFonts w:cs="Arial"/>
          <w:sz w:val="22"/>
        </w:rPr>
        <w:t xml:space="preserve"> </w:t>
      </w:r>
      <w:r w:rsidRPr="00686D20">
        <w:rPr>
          <w:rFonts w:cs="Arial"/>
          <w:sz w:val="22"/>
        </w:rPr>
        <w:t>2009 à la suite du pillage de l’</w:t>
      </w:r>
      <w:r w:rsidR="00943BFB">
        <w:rPr>
          <w:rFonts w:cs="Arial"/>
          <w:sz w:val="22"/>
        </w:rPr>
        <w:t>a</w:t>
      </w:r>
      <w:r w:rsidRPr="00686D20">
        <w:rPr>
          <w:rFonts w:cs="Arial"/>
          <w:sz w:val="22"/>
        </w:rPr>
        <w:t>mbassade de France et de l’évacuation en urgence des services français qui se sont accompagnés de la destruction d’archives</w:t>
      </w:r>
      <w:r w:rsidR="00943BFB">
        <w:rPr>
          <w:rFonts w:cs="Arial"/>
          <w:sz w:val="22"/>
        </w:rPr>
        <w:t> ;</w:t>
      </w:r>
    </w:p>
    <w:p w:rsidR="00F41AEC" w:rsidRDefault="00F41AEC" w:rsidP="00AE0B7C">
      <w:pPr>
        <w:spacing w:before="240" w:after="240" w:line="240" w:lineRule="auto"/>
        <w:jc w:val="both"/>
        <w:rPr>
          <w:rFonts w:cs="Arial"/>
          <w:sz w:val="22"/>
        </w:rPr>
      </w:pPr>
      <w:r>
        <w:rPr>
          <w:rFonts w:cs="Arial"/>
          <w:sz w:val="22"/>
        </w:rPr>
        <w:t>Attendu que l’agent-comptable mis</w:t>
      </w:r>
      <w:r w:rsidR="008C2B32">
        <w:rPr>
          <w:rFonts w:cs="Arial"/>
          <w:sz w:val="22"/>
        </w:rPr>
        <w:t>e</w:t>
      </w:r>
      <w:r>
        <w:rPr>
          <w:rFonts w:cs="Arial"/>
          <w:sz w:val="22"/>
        </w:rPr>
        <w:t xml:space="preserve"> en cause </w:t>
      </w:r>
      <w:r w:rsidR="0079300A">
        <w:rPr>
          <w:rFonts w:cs="Arial"/>
          <w:sz w:val="22"/>
        </w:rPr>
        <w:t xml:space="preserve">a fait valoir qu’elle </w:t>
      </w:r>
      <w:r>
        <w:rPr>
          <w:rFonts w:cs="Arial"/>
          <w:sz w:val="22"/>
        </w:rPr>
        <w:t xml:space="preserve">a </w:t>
      </w:r>
      <w:r w:rsidR="0079300A">
        <w:rPr>
          <w:rFonts w:cs="Arial"/>
          <w:sz w:val="22"/>
        </w:rPr>
        <w:t xml:space="preserve">pris </w:t>
      </w:r>
      <w:r>
        <w:rPr>
          <w:rFonts w:cs="Arial"/>
          <w:sz w:val="22"/>
        </w:rPr>
        <w:t xml:space="preserve">ses fonctions </w:t>
      </w:r>
      <w:r w:rsidR="0079300A">
        <w:rPr>
          <w:rFonts w:cs="Arial"/>
          <w:sz w:val="22"/>
        </w:rPr>
        <w:t>d’agent comptable régional aux instituts du Burundi et du Kenya en septembre 2008 ; que le centre culturel</w:t>
      </w:r>
      <w:r w:rsidR="0079300A" w:rsidRPr="0079300A">
        <w:rPr>
          <w:rFonts w:cs="Arial"/>
          <w:sz w:val="22"/>
        </w:rPr>
        <w:t xml:space="preserve"> français de Kigali </w:t>
      </w:r>
      <w:r w:rsidR="0079300A">
        <w:rPr>
          <w:rFonts w:cs="Arial"/>
          <w:sz w:val="22"/>
        </w:rPr>
        <w:t>était alors fermé</w:t>
      </w:r>
      <w:r w:rsidR="00686D20">
        <w:rPr>
          <w:rFonts w:cs="Arial"/>
          <w:sz w:val="22"/>
        </w:rPr>
        <w:t xml:space="preserve"> ; qu’il n’a été de nouveau ouvert qu’après rétablissement des relations diplomatiques </w:t>
      </w:r>
      <w:r w:rsidR="00686D20" w:rsidRPr="00686D20">
        <w:rPr>
          <w:rFonts w:cs="Arial"/>
          <w:sz w:val="22"/>
        </w:rPr>
        <w:t>entre la France et le Rwanda</w:t>
      </w:r>
      <w:r w:rsidR="00686D20">
        <w:rPr>
          <w:rFonts w:cs="Arial"/>
          <w:sz w:val="22"/>
        </w:rPr>
        <w:t xml:space="preserve"> en novembre 2009</w:t>
      </w:r>
      <w:r w:rsidR="0079300A">
        <w:rPr>
          <w:rFonts w:cs="Arial"/>
          <w:sz w:val="22"/>
        </w:rPr>
        <w:t xml:space="preserve"> ; qu’elle </w:t>
      </w:r>
      <w:r w:rsidR="00686D20">
        <w:rPr>
          <w:rFonts w:cs="Arial"/>
          <w:sz w:val="22"/>
        </w:rPr>
        <w:t>n’</w:t>
      </w:r>
      <w:r w:rsidR="0079300A">
        <w:rPr>
          <w:rFonts w:cs="Arial"/>
          <w:sz w:val="22"/>
        </w:rPr>
        <w:t>a été officiellement nommée</w:t>
      </w:r>
      <w:r w:rsidR="00686D20" w:rsidRPr="00686D20">
        <w:t xml:space="preserve"> </w:t>
      </w:r>
      <w:r w:rsidR="00686D20" w:rsidRPr="00686D20">
        <w:rPr>
          <w:rFonts w:cs="Arial"/>
          <w:sz w:val="22"/>
        </w:rPr>
        <w:t>agent comptable d</w:t>
      </w:r>
      <w:r w:rsidR="00686D20">
        <w:rPr>
          <w:rFonts w:cs="Arial"/>
          <w:sz w:val="22"/>
        </w:rPr>
        <w:t>u</w:t>
      </w:r>
      <w:r w:rsidR="00686D20" w:rsidRPr="00686D20">
        <w:rPr>
          <w:rFonts w:cs="Arial"/>
          <w:sz w:val="22"/>
        </w:rPr>
        <w:t xml:space="preserve"> centre</w:t>
      </w:r>
      <w:r w:rsidR="00686D20">
        <w:rPr>
          <w:rFonts w:cs="Arial"/>
          <w:sz w:val="22"/>
        </w:rPr>
        <w:t>,</w:t>
      </w:r>
      <w:r w:rsidR="00686D20" w:rsidRPr="00686D20">
        <w:rPr>
          <w:rFonts w:cs="Arial"/>
          <w:sz w:val="22"/>
        </w:rPr>
        <w:t xml:space="preserve"> du 1</w:t>
      </w:r>
      <w:r w:rsidR="00686D20" w:rsidRPr="00686D20">
        <w:rPr>
          <w:rFonts w:cs="Arial"/>
          <w:sz w:val="22"/>
          <w:vertAlign w:val="superscript"/>
        </w:rPr>
        <w:t>er</w:t>
      </w:r>
      <w:r w:rsidR="004D1805">
        <w:rPr>
          <w:rFonts w:cs="Arial"/>
          <w:sz w:val="22"/>
          <w:vertAlign w:val="superscript"/>
        </w:rPr>
        <w:t> </w:t>
      </w:r>
      <w:r w:rsidR="00686D20" w:rsidRPr="00686D20">
        <w:rPr>
          <w:rFonts w:cs="Arial"/>
          <w:sz w:val="22"/>
        </w:rPr>
        <w:t>septembre</w:t>
      </w:r>
      <w:r w:rsidR="004D1805">
        <w:rPr>
          <w:rFonts w:cs="Arial"/>
          <w:sz w:val="22"/>
        </w:rPr>
        <w:t> </w:t>
      </w:r>
      <w:r w:rsidR="00686D20" w:rsidRPr="00686D20">
        <w:rPr>
          <w:rFonts w:cs="Arial"/>
          <w:sz w:val="22"/>
        </w:rPr>
        <w:t>2008 au 31</w:t>
      </w:r>
      <w:r w:rsidR="00943BFB">
        <w:rPr>
          <w:rFonts w:cs="Arial"/>
          <w:sz w:val="22"/>
        </w:rPr>
        <w:t xml:space="preserve"> </w:t>
      </w:r>
      <w:r w:rsidR="00686D20" w:rsidRPr="00686D20">
        <w:rPr>
          <w:rFonts w:cs="Arial"/>
          <w:sz w:val="22"/>
        </w:rPr>
        <w:t>août</w:t>
      </w:r>
      <w:r w:rsidR="00943BFB">
        <w:rPr>
          <w:rFonts w:cs="Arial"/>
          <w:sz w:val="22"/>
        </w:rPr>
        <w:t xml:space="preserve"> </w:t>
      </w:r>
      <w:r w:rsidR="00686D20" w:rsidRPr="00686D20">
        <w:rPr>
          <w:rFonts w:cs="Arial"/>
          <w:sz w:val="22"/>
        </w:rPr>
        <w:t>2012</w:t>
      </w:r>
      <w:r w:rsidR="0079300A">
        <w:rPr>
          <w:rFonts w:cs="Arial"/>
          <w:sz w:val="22"/>
        </w:rPr>
        <w:t xml:space="preserve">, </w:t>
      </w:r>
      <w:r w:rsidR="00686D20">
        <w:rPr>
          <w:rFonts w:cs="Arial"/>
          <w:sz w:val="22"/>
        </w:rPr>
        <w:t>que</w:t>
      </w:r>
      <w:r w:rsidR="0079300A" w:rsidRPr="0079300A">
        <w:t xml:space="preserve"> </w:t>
      </w:r>
      <w:r w:rsidR="0079300A" w:rsidRPr="0079300A">
        <w:rPr>
          <w:rFonts w:cs="Arial"/>
          <w:sz w:val="22"/>
        </w:rPr>
        <w:t>par arrêté du 8</w:t>
      </w:r>
      <w:r w:rsidR="00943BFB">
        <w:rPr>
          <w:rFonts w:cs="Arial"/>
          <w:sz w:val="22"/>
        </w:rPr>
        <w:t xml:space="preserve"> </w:t>
      </w:r>
      <w:r w:rsidR="0079300A" w:rsidRPr="0079300A">
        <w:rPr>
          <w:rFonts w:cs="Arial"/>
          <w:sz w:val="22"/>
        </w:rPr>
        <w:t>novembre</w:t>
      </w:r>
      <w:r w:rsidR="00943BFB">
        <w:rPr>
          <w:rFonts w:cs="Arial"/>
          <w:sz w:val="22"/>
        </w:rPr>
        <w:t xml:space="preserve"> </w:t>
      </w:r>
      <w:r w:rsidR="0079300A" w:rsidRPr="0079300A">
        <w:rPr>
          <w:rFonts w:cs="Arial"/>
          <w:sz w:val="22"/>
        </w:rPr>
        <w:t xml:space="preserve">2012, </w:t>
      </w:r>
      <w:r w:rsidR="0079300A">
        <w:rPr>
          <w:rFonts w:cs="Arial"/>
          <w:sz w:val="22"/>
        </w:rPr>
        <w:t xml:space="preserve">pris </w:t>
      </w:r>
      <w:r w:rsidR="0079300A" w:rsidRPr="0079300A">
        <w:rPr>
          <w:rFonts w:cs="Arial"/>
          <w:sz w:val="22"/>
        </w:rPr>
        <w:t>à titre de régularisation</w:t>
      </w:r>
      <w:r w:rsidR="00686D20">
        <w:rPr>
          <w:rFonts w:cs="Arial"/>
          <w:sz w:val="22"/>
        </w:rPr>
        <w:t>, après qu’elle avait quitté ses fonctions </w:t>
      </w:r>
      <w:r w:rsidR="0079300A">
        <w:rPr>
          <w:rFonts w:cs="Arial"/>
          <w:sz w:val="22"/>
        </w:rPr>
        <w:t xml:space="preserve">; </w:t>
      </w:r>
      <w:r w:rsidR="00686D20">
        <w:rPr>
          <w:rFonts w:cs="Arial"/>
          <w:sz w:val="22"/>
        </w:rPr>
        <w:t>que, n’étant pas régulièrement nommée agent comptable, elle n’a su comment émettre des réserves sur la gestion de son prédécesseur ;</w:t>
      </w:r>
      <w:r w:rsidR="0079300A">
        <w:rPr>
          <w:rFonts w:cs="Arial"/>
          <w:sz w:val="22"/>
        </w:rPr>
        <w:t xml:space="preserve"> </w:t>
      </w:r>
    </w:p>
    <w:p w:rsidR="00AE0B7C" w:rsidRDefault="00F41AEC" w:rsidP="00AE0B7C">
      <w:pPr>
        <w:spacing w:before="240" w:after="240" w:line="240" w:lineRule="auto"/>
        <w:jc w:val="both"/>
        <w:rPr>
          <w:rFonts w:cs="Arial"/>
          <w:sz w:val="22"/>
        </w:rPr>
      </w:pPr>
      <w:r>
        <w:rPr>
          <w:rFonts w:cs="Arial"/>
          <w:sz w:val="22"/>
        </w:rPr>
        <w:t xml:space="preserve">Attendu que </w:t>
      </w:r>
      <w:r w:rsidR="00943BFB" w:rsidRPr="00943BFB">
        <w:rPr>
          <w:rFonts w:cs="Arial"/>
          <w:sz w:val="22"/>
        </w:rPr>
        <w:t>M</w:t>
      </w:r>
      <w:r w:rsidR="00943BFB" w:rsidRPr="00943BFB">
        <w:rPr>
          <w:rFonts w:cs="Arial"/>
          <w:sz w:val="22"/>
          <w:vertAlign w:val="superscript"/>
        </w:rPr>
        <w:t>me</w:t>
      </w:r>
      <w:r w:rsidR="00943BFB">
        <w:rPr>
          <w:rFonts w:cs="Arial"/>
          <w:sz w:val="22"/>
        </w:rPr>
        <w:t> </w:t>
      </w:r>
      <w:r w:rsidR="00490C10">
        <w:rPr>
          <w:rFonts w:cs="Arial"/>
          <w:sz w:val="22"/>
        </w:rPr>
        <w:t>X</w:t>
      </w:r>
      <w:r>
        <w:rPr>
          <w:rFonts w:cs="Arial"/>
          <w:sz w:val="22"/>
        </w:rPr>
        <w:t xml:space="preserve"> a </w:t>
      </w:r>
      <w:r w:rsidR="00196554">
        <w:rPr>
          <w:rFonts w:cs="Arial"/>
          <w:sz w:val="22"/>
        </w:rPr>
        <w:t xml:space="preserve">notamment </w:t>
      </w:r>
      <w:r>
        <w:rPr>
          <w:rFonts w:cs="Arial"/>
          <w:sz w:val="22"/>
        </w:rPr>
        <w:t xml:space="preserve">fait valoir </w:t>
      </w:r>
      <w:r w:rsidR="00B206AC">
        <w:rPr>
          <w:rFonts w:cs="Arial"/>
          <w:sz w:val="22"/>
        </w:rPr>
        <w:t>des éléments de force majeure, à</w:t>
      </w:r>
      <w:r w:rsidR="00943BFB">
        <w:rPr>
          <w:rFonts w:cs="Arial"/>
          <w:sz w:val="22"/>
        </w:rPr>
        <w:t xml:space="preserve"> </w:t>
      </w:r>
      <w:r w:rsidR="00B206AC">
        <w:rPr>
          <w:rFonts w:cs="Arial"/>
          <w:sz w:val="22"/>
        </w:rPr>
        <w:t xml:space="preserve">savoir </w:t>
      </w:r>
      <w:r>
        <w:rPr>
          <w:rFonts w:cs="Arial"/>
          <w:sz w:val="22"/>
        </w:rPr>
        <w:t>pour la première présomption de charge que « </w:t>
      </w:r>
      <w:r w:rsidRPr="009901D8">
        <w:rPr>
          <w:rFonts w:cs="Arial"/>
          <w:i/>
          <w:sz w:val="22"/>
        </w:rPr>
        <w:t>toutes les pièces avaient disparu</w:t>
      </w:r>
      <w:r>
        <w:rPr>
          <w:rFonts w:cs="Arial"/>
          <w:sz w:val="22"/>
        </w:rPr>
        <w:t xml:space="preserve"> [et</w:t>
      </w:r>
      <w:r w:rsidR="004D1805">
        <w:rPr>
          <w:rFonts w:cs="Arial"/>
          <w:sz w:val="22"/>
        </w:rPr>
        <w:t> </w:t>
      </w:r>
      <w:r>
        <w:rPr>
          <w:rFonts w:cs="Arial"/>
          <w:sz w:val="22"/>
        </w:rPr>
        <w:t xml:space="preserve">qu’il lui] </w:t>
      </w:r>
      <w:r w:rsidRPr="009901D8">
        <w:rPr>
          <w:rFonts w:cs="Arial"/>
          <w:i/>
          <w:sz w:val="22"/>
        </w:rPr>
        <w:t>était impossible de recouvrer des sommes dont</w:t>
      </w:r>
      <w:r>
        <w:rPr>
          <w:rFonts w:cs="Arial"/>
          <w:sz w:val="22"/>
        </w:rPr>
        <w:t xml:space="preserve"> [elle] </w:t>
      </w:r>
      <w:r w:rsidRPr="009901D8">
        <w:rPr>
          <w:rFonts w:cs="Arial"/>
          <w:i/>
          <w:sz w:val="22"/>
        </w:rPr>
        <w:t>n’avait aucune pièce pour justifier</w:t>
      </w:r>
      <w:r>
        <w:rPr>
          <w:rFonts w:cs="Arial"/>
          <w:sz w:val="22"/>
        </w:rPr>
        <w:t xml:space="preserve"> [sa] </w:t>
      </w:r>
      <w:r w:rsidRPr="009901D8">
        <w:rPr>
          <w:rFonts w:cs="Arial"/>
          <w:i/>
          <w:sz w:val="22"/>
        </w:rPr>
        <w:t>demande</w:t>
      </w:r>
      <w:r>
        <w:rPr>
          <w:rFonts w:cs="Arial"/>
          <w:sz w:val="22"/>
        </w:rPr>
        <w:t xml:space="preserve"> », pour la deuxième présomption que le solde correspondait à </w:t>
      </w:r>
      <w:r w:rsidR="009901D8">
        <w:rPr>
          <w:rFonts w:cs="Arial"/>
          <w:sz w:val="22"/>
        </w:rPr>
        <w:t>« </w:t>
      </w:r>
      <w:r w:rsidRPr="009901D8">
        <w:rPr>
          <w:rFonts w:cs="Arial"/>
          <w:i/>
          <w:sz w:val="22"/>
        </w:rPr>
        <w:t xml:space="preserve">une avance pour menues dépenses faite en </w:t>
      </w:r>
      <w:r w:rsidR="009901D8" w:rsidRPr="009901D8">
        <w:rPr>
          <w:rFonts w:cs="Arial"/>
          <w:i/>
          <w:sz w:val="22"/>
        </w:rPr>
        <w:t>1999</w:t>
      </w:r>
      <w:r w:rsidR="009901D8">
        <w:rPr>
          <w:rFonts w:cs="Arial"/>
          <w:sz w:val="22"/>
        </w:rPr>
        <w:t> », pour la troisième, « </w:t>
      </w:r>
      <w:r w:rsidR="009901D8" w:rsidRPr="009901D8">
        <w:rPr>
          <w:rFonts w:cs="Arial"/>
          <w:i/>
          <w:sz w:val="22"/>
        </w:rPr>
        <w:t>l’ancienneté des sommes et</w:t>
      </w:r>
      <w:r w:rsidR="009901D8">
        <w:rPr>
          <w:rFonts w:cs="Arial"/>
          <w:sz w:val="22"/>
        </w:rPr>
        <w:t xml:space="preserve"> […] </w:t>
      </w:r>
      <w:r w:rsidR="009901D8" w:rsidRPr="009901D8">
        <w:rPr>
          <w:rFonts w:cs="Arial"/>
          <w:i/>
          <w:sz w:val="22"/>
        </w:rPr>
        <w:t>la disparition de la plupart des pièces comptables lors de la rupture des relations diplomatiques</w:t>
      </w:r>
      <w:r w:rsidR="009901D8">
        <w:rPr>
          <w:rFonts w:cs="Arial"/>
          <w:sz w:val="22"/>
        </w:rPr>
        <w:t> » ;</w:t>
      </w:r>
    </w:p>
    <w:p w:rsidR="00B56D44" w:rsidRDefault="00B56D44" w:rsidP="00AE0B7C">
      <w:pPr>
        <w:spacing w:before="240" w:after="240" w:line="240" w:lineRule="auto"/>
        <w:jc w:val="both"/>
        <w:rPr>
          <w:rFonts w:cs="Arial"/>
          <w:sz w:val="22"/>
        </w:rPr>
      </w:pPr>
      <w:r>
        <w:rPr>
          <w:rFonts w:cs="Arial"/>
          <w:sz w:val="22"/>
        </w:rPr>
        <w:lastRenderedPageBreak/>
        <w:t>Attendu qu</w:t>
      </w:r>
      <w:r w:rsidR="009901D8">
        <w:rPr>
          <w:rFonts w:cs="Arial"/>
          <w:sz w:val="22"/>
        </w:rPr>
        <w:t>’aux termes du</w:t>
      </w:r>
      <w:r w:rsidRPr="00B56D44">
        <w:rPr>
          <w:rFonts w:cs="Arial"/>
          <w:sz w:val="22"/>
        </w:rPr>
        <w:t xml:space="preserve"> V de l’article 60 de la loi du 23 février 1963 : </w:t>
      </w:r>
      <w:r w:rsidRPr="00B56D44">
        <w:rPr>
          <w:rFonts w:cs="Arial"/>
          <w:i/>
          <w:sz w:val="22"/>
        </w:rPr>
        <w:t xml:space="preserve">« Lorsque </w:t>
      </w:r>
      <w:r w:rsidR="009901D8" w:rsidRPr="009901D8">
        <w:rPr>
          <w:rFonts w:cs="Arial"/>
          <w:sz w:val="22"/>
        </w:rPr>
        <w:t xml:space="preserve">[…] </w:t>
      </w:r>
      <w:r w:rsidRPr="00B56D44">
        <w:rPr>
          <w:rFonts w:cs="Arial"/>
          <w:i/>
          <w:sz w:val="22"/>
        </w:rPr>
        <w:t>le juge des comptes constate l’existence de circonstances constitutives de la force majeure, il ne met pas en jeu la responsabilité personnelle et pécuniaire du comptable public. (…) </w:t>
      </w:r>
      <w:r w:rsidRPr="00B56D44">
        <w:rPr>
          <w:rFonts w:cs="Arial"/>
          <w:sz w:val="22"/>
        </w:rPr>
        <w:t>»</w:t>
      </w:r>
      <w:r>
        <w:rPr>
          <w:rFonts w:cs="Arial"/>
          <w:sz w:val="22"/>
        </w:rPr>
        <w:t> ;</w:t>
      </w:r>
    </w:p>
    <w:p w:rsidR="00196554" w:rsidRDefault="00B56D44" w:rsidP="00AE0B7C">
      <w:pPr>
        <w:spacing w:before="240" w:after="240" w:line="240" w:lineRule="auto"/>
        <w:jc w:val="both"/>
        <w:rPr>
          <w:rFonts w:cs="Arial"/>
          <w:sz w:val="22"/>
        </w:rPr>
      </w:pPr>
      <w:r>
        <w:rPr>
          <w:rFonts w:cs="Arial"/>
          <w:sz w:val="22"/>
        </w:rPr>
        <w:t xml:space="preserve">Attendu que </w:t>
      </w:r>
      <w:r w:rsidR="00846EFF">
        <w:rPr>
          <w:rFonts w:cs="Arial"/>
          <w:sz w:val="22"/>
        </w:rPr>
        <w:t xml:space="preserve">les </w:t>
      </w:r>
      <w:r w:rsidR="009901D8">
        <w:rPr>
          <w:rFonts w:cs="Arial"/>
          <w:sz w:val="22"/>
        </w:rPr>
        <w:t xml:space="preserve">moyens </w:t>
      </w:r>
      <w:r w:rsidR="00846EFF">
        <w:rPr>
          <w:rFonts w:cs="Arial"/>
          <w:sz w:val="22"/>
        </w:rPr>
        <w:t>précités</w:t>
      </w:r>
      <w:r w:rsidR="00B206AC">
        <w:rPr>
          <w:rFonts w:cs="Arial"/>
          <w:sz w:val="22"/>
        </w:rPr>
        <w:t xml:space="preserve"> </w:t>
      </w:r>
      <w:r w:rsidR="009901D8">
        <w:rPr>
          <w:rFonts w:cs="Arial"/>
          <w:sz w:val="22"/>
        </w:rPr>
        <w:t xml:space="preserve">résultent </w:t>
      </w:r>
      <w:r w:rsidR="00B206AC">
        <w:rPr>
          <w:rFonts w:cs="Arial"/>
          <w:sz w:val="22"/>
        </w:rPr>
        <w:t xml:space="preserve">de </w:t>
      </w:r>
      <w:r w:rsidR="00CC15E6">
        <w:rPr>
          <w:rFonts w:cs="Arial"/>
          <w:sz w:val="22"/>
        </w:rPr>
        <w:t xml:space="preserve">la rupture des relations diplomatiques </w:t>
      </w:r>
      <w:r w:rsidR="00CC15E6" w:rsidRPr="00CC15E6">
        <w:rPr>
          <w:rFonts w:cs="Arial"/>
          <w:sz w:val="22"/>
        </w:rPr>
        <w:t xml:space="preserve">entre la France et le Rwanda </w:t>
      </w:r>
      <w:r w:rsidR="00CC15E6">
        <w:rPr>
          <w:rFonts w:cs="Arial"/>
          <w:sz w:val="22"/>
        </w:rPr>
        <w:t xml:space="preserve">entre </w:t>
      </w:r>
      <w:r w:rsidR="00CC15E6" w:rsidRPr="00CC15E6">
        <w:rPr>
          <w:rFonts w:cs="Arial"/>
          <w:sz w:val="22"/>
        </w:rPr>
        <w:t>le 24 novembre 2006 et le 29 novembre 2009</w:t>
      </w:r>
      <w:r w:rsidR="00B206AC">
        <w:rPr>
          <w:rFonts w:cs="Arial"/>
          <w:sz w:val="22"/>
        </w:rPr>
        <w:t> ; que ces circonstance</w:t>
      </w:r>
      <w:r w:rsidR="00563820">
        <w:rPr>
          <w:rFonts w:cs="Arial"/>
          <w:sz w:val="22"/>
        </w:rPr>
        <w:t>s</w:t>
      </w:r>
      <w:r w:rsidR="00B206AC">
        <w:rPr>
          <w:rFonts w:cs="Arial"/>
          <w:sz w:val="22"/>
        </w:rPr>
        <w:t xml:space="preserve"> étant </w:t>
      </w:r>
      <w:r w:rsidR="00196554">
        <w:rPr>
          <w:rFonts w:cs="Arial"/>
          <w:sz w:val="22"/>
        </w:rPr>
        <w:t xml:space="preserve">à la fois </w:t>
      </w:r>
      <w:r w:rsidR="009901D8" w:rsidRPr="009901D8">
        <w:rPr>
          <w:rFonts w:cs="Arial"/>
          <w:sz w:val="22"/>
        </w:rPr>
        <w:t>extéri</w:t>
      </w:r>
      <w:r w:rsidR="00196554">
        <w:rPr>
          <w:rFonts w:cs="Arial"/>
          <w:sz w:val="22"/>
        </w:rPr>
        <w:t xml:space="preserve">eures, </w:t>
      </w:r>
      <w:r w:rsidR="009901D8" w:rsidRPr="009901D8">
        <w:rPr>
          <w:rFonts w:cs="Arial"/>
          <w:sz w:val="22"/>
        </w:rPr>
        <w:t>imprévisib</w:t>
      </w:r>
      <w:r w:rsidR="00196554">
        <w:rPr>
          <w:rFonts w:cs="Arial"/>
          <w:sz w:val="22"/>
        </w:rPr>
        <w:t xml:space="preserve">les et </w:t>
      </w:r>
      <w:r w:rsidR="00705A07" w:rsidRPr="009901D8">
        <w:rPr>
          <w:rFonts w:cs="Arial"/>
          <w:sz w:val="22"/>
        </w:rPr>
        <w:t>irrésistib</w:t>
      </w:r>
      <w:r w:rsidR="00705A07">
        <w:rPr>
          <w:rFonts w:cs="Arial"/>
          <w:sz w:val="22"/>
        </w:rPr>
        <w:t>les,</w:t>
      </w:r>
      <w:r w:rsidR="00B206AC">
        <w:rPr>
          <w:rFonts w:cs="Arial"/>
          <w:sz w:val="22"/>
        </w:rPr>
        <w:t xml:space="preserve"> </w:t>
      </w:r>
      <w:r w:rsidR="00196554" w:rsidRPr="00196554">
        <w:rPr>
          <w:rFonts w:cs="Arial"/>
          <w:sz w:val="22"/>
        </w:rPr>
        <w:t>la force majeure</w:t>
      </w:r>
      <w:r w:rsidR="00196554" w:rsidRPr="00196554">
        <w:rPr>
          <w:sz w:val="22"/>
        </w:rPr>
        <w:t xml:space="preserve"> </w:t>
      </w:r>
      <w:r w:rsidR="00B206AC">
        <w:rPr>
          <w:sz w:val="22"/>
        </w:rPr>
        <w:t>est caractérisée</w:t>
      </w:r>
      <w:r w:rsidR="00196554">
        <w:rPr>
          <w:rFonts w:cs="Arial"/>
          <w:sz w:val="22"/>
        </w:rPr>
        <w:t> ;</w:t>
      </w:r>
    </w:p>
    <w:p w:rsidR="00CC15E6" w:rsidRDefault="00196554" w:rsidP="00AE0B7C">
      <w:pPr>
        <w:spacing w:before="240" w:after="240" w:line="240" w:lineRule="auto"/>
        <w:jc w:val="both"/>
        <w:rPr>
          <w:rFonts w:cs="Arial"/>
          <w:sz w:val="22"/>
        </w:rPr>
      </w:pPr>
      <w:r>
        <w:rPr>
          <w:rFonts w:cs="Arial"/>
          <w:sz w:val="22"/>
        </w:rPr>
        <w:t xml:space="preserve">Attendu qu’en application </w:t>
      </w:r>
      <w:r w:rsidR="001C1207">
        <w:rPr>
          <w:rFonts w:cs="Arial"/>
          <w:sz w:val="22"/>
        </w:rPr>
        <w:t xml:space="preserve">du </w:t>
      </w:r>
      <w:r w:rsidR="001C1207" w:rsidRPr="001C1207">
        <w:rPr>
          <w:rFonts w:cs="Arial"/>
          <w:sz w:val="22"/>
        </w:rPr>
        <w:t xml:space="preserve">V de l’article 60 de la loi du 23 février 1963 </w:t>
      </w:r>
      <w:r w:rsidR="001C1207">
        <w:rPr>
          <w:rFonts w:cs="Arial"/>
          <w:sz w:val="22"/>
        </w:rPr>
        <w:t>précité</w:t>
      </w:r>
      <w:r w:rsidR="00846EFF">
        <w:rPr>
          <w:rFonts w:cs="Arial"/>
          <w:sz w:val="22"/>
        </w:rPr>
        <w:t xml:space="preserve">, il </w:t>
      </w:r>
      <w:r w:rsidR="00B206AC">
        <w:rPr>
          <w:rFonts w:cs="Arial"/>
          <w:sz w:val="22"/>
        </w:rPr>
        <w:t>n’</w:t>
      </w:r>
      <w:r w:rsidR="00846EFF">
        <w:rPr>
          <w:rFonts w:cs="Arial"/>
          <w:sz w:val="22"/>
        </w:rPr>
        <w:t xml:space="preserve">y </w:t>
      </w:r>
      <w:r w:rsidR="00CC15E6">
        <w:rPr>
          <w:rFonts w:cs="Arial"/>
          <w:sz w:val="22"/>
        </w:rPr>
        <w:t xml:space="preserve">a </w:t>
      </w:r>
      <w:r w:rsidR="00846EFF">
        <w:rPr>
          <w:rFonts w:cs="Arial"/>
          <w:sz w:val="22"/>
        </w:rPr>
        <w:t xml:space="preserve">donc </w:t>
      </w:r>
      <w:r w:rsidR="00B206AC">
        <w:rPr>
          <w:rFonts w:cs="Arial"/>
          <w:sz w:val="22"/>
        </w:rPr>
        <w:t xml:space="preserve">pas </w:t>
      </w:r>
      <w:r w:rsidR="00846EFF">
        <w:rPr>
          <w:rFonts w:cs="Arial"/>
          <w:sz w:val="22"/>
        </w:rPr>
        <w:t xml:space="preserve">lieu de mettre en jeu la responsabilité personnelle et pécuniaire de </w:t>
      </w:r>
      <w:r w:rsidR="00943BFB" w:rsidRPr="00943BFB">
        <w:rPr>
          <w:rFonts w:cs="Arial"/>
          <w:sz w:val="22"/>
        </w:rPr>
        <w:t>M</w:t>
      </w:r>
      <w:r w:rsidR="00943BFB" w:rsidRPr="00943BFB">
        <w:rPr>
          <w:rFonts w:cs="Arial"/>
          <w:sz w:val="22"/>
          <w:vertAlign w:val="superscript"/>
        </w:rPr>
        <w:t>me</w:t>
      </w:r>
      <w:r w:rsidR="00943BFB">
        <w:rPr>
          <w:rFonts w:cs="Arial"/>
          <w:sz w:val="22"/>
        </w:rPr>
        <w:t> </w:t>
      </w:r>
      <w:r w:rsidR="00490C10">
        <w:rPr>
          <w:rFonts w:cs="Arial"/>
          <w:sz w:val="22"/>
        </w:rPr>
        <w:t>X</w:t>
      </w:r>
      <w:r w:rsidR="00846EFF" w:rsidRPr="00846EFF">
        <w:t xml:space="preserve"> </w:t>
      </w:r>
      <w:r w:rsidR="00846EFF" w:rsidRPr="00846EFF">
        <w:rPr>
          <w:rFonts w:cs="Arial"/>
          <w:sz w:val="22"/>
        </w:rPr>
        <w:t>au titre des trois présomptions de charge</w:t>
      </w:r>
      <w:r w:rsidR="001C1207">
        <w:rPr>
          <w:rFonts w:cs="Arial"/>
          <w:sz w:val="22"/>
        </w:rPr>
        <w:t xml:space="preserve"> </w:t>
      </w:r>
      <w:r w:rsidR="00A36FF8">
        <w:rPr>
          <w:rFonts w:cs="Arial"/>
          <w:sz w:val="22"/>
        </w:rPr>
        <w:t>susmentionnées</w:t>
      </w:r>
      <w:r w:rsidR="00846EFF">
        <w:rPr>
          <w:rFonts w:cs="Arial"/>
          <w:sz w:val="22"/>
        </w:rPr>
        <w:t> ;</w:t>
      </w:r>
    </w:p>
    <w:p w:rsidR="00DF0D0E" w:rsidRDefault="00DF0D0E" w:rsidP="00AE0B7C">
      <w:pPr>
        <w:spacing w:before="240" w:after="240" w:line="240" w:lineRule="auto"/>
        <w:jc w:val="both"/>
        <w:rPr>
          <w:rFonts w:cs="Arial"/>
          <w:sz w:val="22"/>
        </w:rPr>
      </w:pPr>
    </w:p>
    <w:p w:rsidR="007F76E8" w:rsidRPr="00BE6831" w:rsidRDefault="007F76E8" w:rsidP="00AE0B7C">
      <w:pPr>
        <w:spacing w:before="240" w:after="240" w:line="240" w:lineRule="auto"/>
        <w:jc w:val="both"/>
        <w:rPr>
          <w:rFonts w:cs="Arial"/>
          <w:sz w:val="22"/>
        </w:rPr>
      </w:pPr>
      <w:r w:rsidRPr="00BE6831">
        <w:rPr>
          <w:rFonts w:cs="Arial"/>
          <w:sz w:val="22"/>
        </w:rPr>
        <w:t>Par ces motifs,</w:t>
      </w:r>
    </w:p>
    <w:p w:rsidR="007F76E8" w:rsidRPr="00BE6831" w:rsidRDefault="007F76E8" w:rsidP="00EB0D42">
      <w:pPr>
        <w:spacing w:before="240" w:after="480" w:line="240" w:lineRule="auto"/>
        <w:jc w:val="center"/>
        <w:rPr>
          <w:rFonts w:cs="Arial"/>
          <w:sz w:val="22"/>
        </w:rPr>
      </w:pPr>
      <w:r w:rsidRPr="00BE6831">
        <w:rPr>
          <w:rFonts w:cs="Arial"/>
          <w:sz w:val="22"/>
        </w:rPr>
        <w:t>D</w:t>
      </w:r>
      <w:r w:rsidR="00C232B4">
        <w:rPr>
          <w:rFonts w:cs="Arial"/>
          <w:sz w:val="22"/>
        </w:rPr>
        <w:t>É</w:t>
      </w:r>
      <w:r w:rsidRPr="00BE6831">
        <w:rPr>
          <w:rFonts w:cs="Arial"/>
          <w:sz w:val="22"/>
        </w:rPr>
        <w:t>CIDE :</w:t>
      </w:r>
    </w:p>
    <w:p w:rsidR="007F76E8" w:rsidRPr="00BE6831" w:rsidRDefault="007F76E8" w:rsidP="00AE0B7C">
      <w:pPr>
        <w:spacing w:before="240" w:after="240" w:line="240" w:lineRule="auto"/>
        <w:jc w:val="both"/>
        <w:rPr>
          <w:rFonts w:cs="Arial"/>
          <w:i/>
          <w:sz w:val="22"/>
        </w:rPr>
      </w:pPr>
      <w:r w:rsidRPr="00BE6831">
        <w:rPr>
          <w:rFonts w:cs="Arial"/>
          <w:sz w:val="22"/>
        </w:rPr>
        <w:t xml:space="preserve">Article </w:t>
      </w:r>
      <w:r w:rsidR="001C1207">
        <w:rPr>
          <w:rFonts w:cs="Arial"/>
          <w:sz w:val="22"/>
        </w:rPr>
        <w:t xml:space="preserve">unique </w:t>
      </w:r>
      <w:r w:rsidR="0068148D">
        <w:rPr>
          <w:rFonts w:cs="Arial"/>
          <w:sz w:val="22"/>
        </w:rPr>
        <w:t xml:space="preserve">– </w:t>
      </w:r>
      <w:r w:rsidR="00943BFB" w:rsidRPr="00943BFB">
        <w:rPr>
          <w:rFonts w:cs="Arial"/>
          <w:sz w:val="22"/>
        </w:rPr>
        <w:t>M</w:t>
      </w:r>
      <w:r w:rsidR="00943BFB" w:rsidRPr="00943BFB">
        <w:rPr>
          <w:rFonts w:cs="Arial"/>
          <w:sz w:val="22"/>
          <w:vertAlign w:val="superscript"/>
        </w:rPr>
        <w:t>me</w:t>
      </w:r>
      <w:r w:rsidR="00943BFB">
        <w:rPr>
          <w:rFonts w:cs="Arial"/>
          <w:sz w:val="22"/>
        </w:rPr>
        <w:t> </w:t>
      </w:r>
      <w:r w:rsidR="00490C10">
        <w:rPr>
          <w:rFonts w:cs="Arial"/>
          <w:sz w:val="22"/>
        </w:rPr>
        <w:t>X</w:t>
      </w:r>
      <w:r w:rsidR="0068148D">
        <w:rPr>
          <w:rFonts w:cs="Arial"/>
          <w:sz w:val="22"/>
        </w:rPr>
        <w:t xml:space="preserve"> est déchargée de sa gestion pour l’exercice</w:t>
      </w:r>
      <w:r w:rsidR="00547B3D">
        <w:rPr>
          <w:rFonts w:cs="Arial"/>
          <w:sz w:val="22"/>
        </w:rPr>
        <w:t> </w:t>
      </w:r>
      <w:r w:rsidR="0068148D">
        <w:rPr>
          <w:rFonts w:cs="Arial"/>
          <w:sz w:val="22"/>
        </w:rPr>
        <w:t>2010.</w:t>
      </w:r>
    </w:p>
    <w:p w:rsidR="004779C2" w:rsidRPr="00A66B14" w:rsidRDefault="004779C2" w:rsidP="00AE0B7C">
      <w:pPr>
        <w:tabs>
          <w:tab w:val="center" w:pos="5245"/>
        </w:tabs>
        <w:spacing w:before="240" w:after="240" w:line="240" w:lineRule="auto"/>
        <w:jc w:val="center"/>
        <w:rPr>
          <w:rFonts w:cs="Arial"/>
          <w:sz w:val="22"/>
        </w:rPr>
      </w:pPr>
      <w:r w:rsidRPr="00A66B14">
        <w:rPr>
          <w:rFonts w:cs="Arial"/>
          <w:sz w:val="22"/>
        </w:rPr>
        <w:t>------------</w:t>
      </w:r>
    </w:p>
    <w:p w:rsidR="00A36FF8" w:rsidRPr="001B740A" w:rsidRDefault="00A36FF8" w:rsidP="00A36FF8">
      <w:pPr>
        <w:spacing w:before="120" w:after="360" w:line="240" w:lineRule="auto"/>
        <w:jc w:val="both"/>
        <w:rPr>
          <w:rFonts w:eastAsia="Times New Roman" w:cs="Arial"/>
          <w:sz w:val="22"/>
          <w:lang w:eastAsia="fr-FR"/>
        </w:rPr>
      </w:pPr>
      <w:r w:rsidRPr="001B740A">
        <w:rPr>
          <w:rFonts w:eastAsia="Times New Roman" w:cs="Arial"/>
          <w:sz w:val="22"/>
          <w:lang w:eastAsia="fr-FR"/>
        </w:rPr>
        <w:t xml:space="preserve">Fait et jugé en la Cour des comptes, quatrième chambre, première section. Présents : M. Jean-Philippe VACHIA, président de chambre, président de la formation, </w:t>
      </w:r>
      <w:r w:rsidR="00943BFB" w:rsidRPr="00943BFB">
        <w:rPr>
          <w:rFonts w:eastAsia="Times New Roman" w:cs="Arial"/>
          <w:sz w:val="22"/>
          <w:lang w:eastAsia="fr-FR"/>
        </w:rPr>
        <w:t>M</w:t>
      </w:r>
      <w:r w:rsidR="00943BFB" w:rsidRPr="00943BFB">
        <w:rPr>
          <w:rFonts w:eastAsia="Times New Roman" w:cs="Arial"/>
          <w:sz w:val="22"/>
          <w:vertAlign w:val="superscript"/>
          <w:lang w:eastAsia="fr-FR"/>
        </w:rPr>
        <w:t>me</w:t>
      </w:r>
      <w:r w:rsidR="00943BFB">
        <w:rPr>
          <w:rFonts w:eastAsia="Times New Roman" w:cs="Arial"/>
          <w:sz w:val="22"/>
          <w:lang w:eastAsia="fr-FR"/>
        </w:rPr>
        <w:t> </w:t>
      </w:r>
      <w:bookmarkStart w:id="0" w:name="_GoBack"/>
      <w:bookmarkEnd w:id="0"/>
      <w:r w:rsidRPr="001B740A">
        <w:rPr>
          <w:rFonts w:eastAsia="Times New Roman" w:cs="Arial"/>
          <w:sz w:val="22"/>
          <w:lang w:eastAsia="fr-FR"/>
        </w:rPr>
        <w:t>Anne FROMENT-MEURICE, présidente de chambre maintenue en activité, M. Gérard GANSER</w:t>
      </w:r>
      <w:r w:rsidR="00DF0D0E">
        <w:rPr>
          <w:rFonts w:eastAsia="Times New Roman" w:cs="Arial"/>
          <w:sz w:val="22"/>
          <w:lang w:eastAsia="fr-FR"/>
        </w:rPr>
        <w:t xml:space="preserve"> et</w:t>
      </w:r>
      <w:r w:rsidRPr="001B740A">
        <w:rPr>
          <w:rFonts w:eastAsia="Times New Roman" w:cs="Arial"/>
          <w:sz w:val="22"/>
          <w:lang w:eastAsia="fr-FR"/>
        </w:rPr>
        <w:t xml:space="preserve"> </w:t>
      </w:r>
      <w:r w:rsidR="00943BFB" w:rsidRPr="00943BFB">
        <w:rPr>
          <w:rFonts w:eastAsia="Times New Roman" w:cs="Arial"/>
          <w:sz w:val="22"/>
          <w:lang w:eastAsia="fr-FR"/>
        </w:rPr>
        <w:t>M</w:t>
      </w:r>
      <w:r w:rsidR="00943BFB" w:rsidRPr="00943BFB">
        <w:rPr>
          <w:rFonts w:eastAsia="Times New Roman" w:cs="Arial"/>
          <w:sz w:val="22"/>
          <w:vertAlign w:val="superscript"/>
          <w:lang w:eastAsia="fr-FR"/>
        </w:rPr>
        <w:t>me</w:t>
      </w:r>
      <w:r w:rsidR="00943BFB">
        <w:rPr>
          <w:rFonts w:eastAsia="Times New Roman" w:cs="Arial"/>
          <w:sz w:val="22"/>
          <w:lang w:eastAsia="fr-FR"/>
        </w:rPr>
        <w:t> </w:t>
      </w:r>
      <w:r w:rsidRPr="001B740A">
        <w:rPr>
          <w:rFonts w:eastAsia="Times New Roman" w:cs="Arial"/>
          <w:sz w:val="22"/>
          <w:lang w:eastAsia="fr-FR"/>
        </w:rPr>
        <w:t>Laurence ENGEL</w:t>
      </w:r>
      <w:r w:rsidR="004A56C5">
        <w:rPr>
          <w:rFonts w:eastAsia="Times New Roman" w:cs="Arial"/>
          <w:sz w:val="22"/>
          <w:lang w:eastAsia="fr-FR"/>
        </w:rPr>
        <w:t>,</w:t>
      </w:r>
      <w:r w:rsidRPr="001B740A">
        <w:rPr>
          <w:rFonts w:eastAsia="Times New Roman" w:cs="Arial"/>
          <w:sz w:val="22"/>
          <w:lang w:eastAsia="fr-FR"/>
        </w:rPr>
        <w:t xml:space="preserve"> conseillère maître.</w:t>
      </w:r>
    </w:p>
    <w:p w:rsidR="00A36FF8" w:rsidRPr="00CA3C3A" w:rsidRDefault="00A36FF8" w:rsidP="00A36FF8">
      <w:pPr>
        <w:tabs>
          <w:tab w:val="center" w:pos="4536"/>
          <w:tab w:val="right" w:pos="9072"/>
        </w:tabs>
        <w:spacing w:before="120" w:after="360" w:line="240" w:lineRule="auto"/>
        <w:jc w:val="both"/>
        <w:rPr>
          <w:rFonts w:eastAsia="Times New Roman" w:cs="Arial"/>
          <w:sz w:val="22"/>
          <w:lang w:eastAsia="fr-FR"/>
        </w:rPr>
      </w:pPr>
      <w:r w:rsidRPr="00CA3C3A">
        <w:rPr>
          <w:rFonts w:eastAsia="Times New Roman" w:cs="Arial"/>
          <w:sz w:val="22"/>
          <w:lang w:eastAsia="fr-FR"/>
        </w:rPr>
        <w:t xml:space="preserve">En présence de Mme </w:t>
      </w:r>
      <w:r>
        <w:rPr>
          <w:rFonts w:eastAsia="Times New Roman" w:cs="Arial"/>
          <w:sz w:val="22"/>
          <w:lang w:eastAsia="fr-FR"/>
        </w:rPr>
        <w:t>Marie-Hélène PARIS-VARIN</w:t>
      </w:r>
      <w:r w:rsidRPr="00CA3C3A">
        <w:rPr>
          <w:rFonts w:eastAsia="Times New Roman" w:cs="Arial"/>
          <w:sz w:val="22"/>
          <w:lang w:eastAsia="fr-FR"/>
        </w:rPr>
        <w:t>, greffière de séance.</w:t>
      </w:r>
    </w:p>
    <w:p w:rsidR="00B34BEC" w:rsidRDefault="00B34BEC" w:rsidP="00A36FF8">
      <w:pPr>
        <w:tabs>
          <w:tab w:val="center" w:pos="4536"/>
          <w:tab w:val="right" w:pos="9072"/>
        </w:tabs>
        <w:spacing w:line="240" w:lineRule="auto"/>
        <w:jc w:val="both"/>
        <w:rPr>
          <w:rFonts w:eastAsia="Times New Roman" w:cs="Arial"/>
          <w:sz w:val="22"/>
          <w:lang w:eastAsia="fr-FR"/>
        </w:rPr>
      </w:pPr>
    </w:p>
    <w:p w:rsidR="00B34BEC" w:rsidRDefault="00B34BEC" w:rsidP="00A36FF8">
      <w:pPr>
        <w:tabs>
          <w:tab w:val="center" w:pos="4536"/>
          <w:tab w:val="right" w:pos="9072"/>
        </w:tabs>
        <w:spacing w:line="240" w:lineRule="auto"/>
        <w:jc w:val="both"/>
        <w:rPr>
          <w:rFonts w:eastAsia="Times New Roman" w:cs="Arial"/>
          <w:sz w:val="22"/>
          <w:lang w:eastAsia="fr-FR"/>
        </w:rPr>
      </w:pPr>
    </w:p>
    <w:p w:rsidR="00EB0D42" w:rsidRDefault="00EB0D42" w:rsidP="00A36FF8">
      <w:pPr>
        <w:tabs>
          <w:tab w:val="center" w:pos="4536"/>
          <w:tab w:val="right" w:pos="9072"/>
        </w:tabs>
        <w:spacing w:line="240" w:lineRule="auto"/>
        <w:jc w:val="both"/>
        <w:rPr>
          <w:rFonts w:eastAsia="Times New Roman" w:cs="Arial"/>
          <w:sz w:val="22"/>
          <w:lang w:eastAsia="fr-FR"/>
        </w:rPr>
      </w:pPr>
    </w:p>
    <w:p w:rsidR="00B34BEC" w:rsidRPr="00CA3C3A" w:rsidRDefault="00B34BEC" w:rsidP="00A36FF8">
      <w:pPr>
        <w:tabs>
          <w:tab w:val="center" w:pos="4536"/>
          <w:tab w:val="right" w:pos="9072"/>
        </w:tabs>
        <w:spacing w:line="240" w:lineRule="auto"/>
        <w:jc w:val="both"/>
        <w:rPr>
          <w:rFonts w:eastAsia="Times New Roman" w:cs="Arial"/>
          <w:sz w:val="22"/>
          <w:lang w:eastAsia="fr-FR"/>
        </w:rPr>
      </w:pPr>
    </w:p>
    <w:tbl>
      <w:tblPr>
        <w:tblW w:w="0" w:type="auto"/>
        <w:tblInd w:w="34" w:type="dxa"/>
        <w:tblLook w:val="00A0" w:firstRow="1" w:lastRow="0" w:firstColumn="1" w:lastColumn="0" w:noHBand="0" w:noVBand="0"/>
      </w:tblPr>
      <w:tblGrid>
        <w:gridCol w:w="4617"/>
        <w:gridCol w:w="4637"/>
      </w:tblGrid>
      <w:tr w:rsidR="00A36FF8" w:rsidRPr="00CA3C3A" w:rsidTr="00EB755E">
        <w:tc>
          <w:tcPr>
            <w:tcW w:w="5413" w:type="dxa"/>
          </w:tcPr>
          <w:p w:rsidR="00DF0D0E" w:rsidRPr="00DF0D0E" w:rsidRDefault="00DF0D0E" w:rsidP="00DF0D0E">
            <w:pPr>
              <w:tabs>
                <w:tab w:val="center" w:pos="4536"/>
                <w:tab w:val="right" w:pos="9072"/>
              </w:tabs>
              <w:spacing w:line="240" w:lineRule="auto"/>
              <w:jc w:val="center"/>
              <w:rPr>
                <w:rFonts w:eastAsia="Times New Roman" w:cs="Arial"/>
                <w:b/>
                <w:sz w:val="22"/>
                <w:lang w:eastAsia="fr-FR"/>
              </w:rPr>
            </w:pPr>
            <w:r w:rsidRPr="00DF0D0E">
              <w:rPr>
                <w:rFonts w:eastAsia="Times New Roman" w:cs="Arial"/>
                <w:b/>
                <w:sz w:val="22"/>
                <w:lang w:eastAsia="fr-FR"/>
              </w:rPr>
              <w:t>Marie-Hélène PARIS-VARIN</w:t>
            </w:r>
          </w:p>
          <w:p w:rsidR="00A36FF8" w:rsidRPr="00CA3C3A" w:rsidRDefault="00A36FF8" w:rsidP="00DF0D0E">
            <w:pPr>
              <w:tabs>
                <w:tab w:val="center" w:pos="4536"/>
                <w:tab w:val="right" w:pos="9072"/>
              </w:tabs>
              <w:spacing w:line="240" w:lineRule="auto"/>
              <w:jc w:val="center"/>
              <w:rPr>
                <w:rFonts w:eastAsia="Times New Roman" w:cs="Arial"/>
                <w:b/>
                <w:sz w:val="22"/>
                <w:lang w:eastAsia="fr-FR"/>
              </w:rPr>
            </w:pPr>
          </w:p>
        </w:tc>
        <w:tc>
          <w:tcPr>
            <w:tcW w:w="5414" w:type="dxa"/>
          </w:tcPr>
          <w:p w:rsidR="00DF0D0E" w:rsidRPr="00CA3C3A" w:rsidRDefault="00DF0D0E" w:rsidP="00DF0D0E">
            <w:pPr>
              <w:tabs>
                <w:tab w:val="center" w:pos="4536"/>
                <w:tab w:val="right" w:pos="9072"/>
              </w:tabs>
              <w:spacing w:line="240" w:lineRule="auto"/>
              <w:jc w:val="center"/>
              <w:rPr>
                <w:rFonts w:eastAsia="Times New Roman" w:cs="Arial"/>
                <w:b/>
                <w:sz w:val="22"/>
                <w:lang w:eastAsia="fr-FR"/>
              </w:rPr>
            </w:pPr>
            <w:r w:rsidRPr="00CA3C3A">
              <w:rPr>
                <w:rFonts w:eastAsia="Times New Roman" w:cs="Arial"/>
                <w:b/>
                <w:sz w:val="22"/>
                <w:lang w:eastAsia="fr-FR"/>
              </w:rPr>
              <w:t xml:space="preserve">Jean-Philippe VACHIA </w:t>
            </w:r>
          </w:p>
          <w:p w:rsidR="00A36FF8" w:rsidRPr="00CA3C3A" w:rsidRDefault="00A36FF8" w:rsidP="00DF0D0E">
            <w:pPr>
              <w:tabs>
                <w:tab w:val="center" w:pos="4536"/>
                <w:tab w:val="right" w:pos="9072"/>
              </w:tabs>
              <w:spacing w:line="240" w:lineRule="auto"/>
              <w:jc w:val="center"/>
              <w:rPr>
                <w:rFonts w:eastAsia="Times New Roman" w:cs="Arial"/>
                <w:b/>
                <w:sz w:val="22"/>
                <w:lang w:eastAsia="fr-FR"/>
              </w:rPr>
            </w:pPr>
          </w:p>
        </w:tc>
      </w:tr>
    </w:tbl>
    <w:p w:rsidR="00EB0D42" w:rsidRDefault="00EB0D42" w:rsidP="00A36FF8">
      <w:pPr>
        <w:tabs>
          <w:tab w:val="center" w:pos="4536"/>
          <w:tab w:val="right" w:pos="9072"/>
        </w:tabs>
        <w:spacing w:line="240" w:lineRule="auto"/>
        <w:jc w:val="both"/>
        <w:rPr>
          <w:rFonts w:eastAsia="Times New Roman" w:cs="Arial"/>
          <w:sz w:val="22"/>
          <w:lang w:eastAsia="fr-FR"/>
        </w:rPr>
      </w:pPr>
    </w:p>
    <w:p w:rsidR="003631CB" w:rsidRDefault="003631CB" w:rsidP="00A36FF8">
      <w:pPr>
        <w:tabs>
          <w:tab w:val="center" w:pos="4536"/>
          <w:tab w:val="right" w:pos="9072"/>
        </w:tabs>
        <w:spacing w:line="240" w:lineRule="auto"/>
        <w:jc w:val="both"/>
        <w:rPr>
          <w:rFonts w:eastAsia="Times New Roman" w:cs="Arial"/>
          <w:sz w:val="22"/>
          <w:lang w:eastAsia="fr-FR"/>
        </w:rPr>
      </w:pPr>
    </w:p>
    <w:p w:rsidR="003631CB" w:rsidRPr="001B740A" w:rsidRDefault="003631CB" w:rsidP="00A36FF8">
      <w:pPr>
        <w:tabs>
          <w:tab w:val="center" w:pos="4536"/>
          <w:tab w:val="right" w:pos="9072"/>
        </w:tabs>
        <w:spacing w:line="240" w:lineRule="auto"/>
        <w:jc w:val="both"/>
        <w:rPr>
          <w:rFonts w:eastAsia="Times New Roman" w:cs="Arial"/>
          <w:sz w:val="22"/>
          <w:lang w:eastAsia="fr-FR"/>
        </w:rPr>
      </w:pPr>
    </w:p>
    <w:p w:rsidR="00DA211D" w:rsidRPr="00DA211D" w:rsidRDefault="00DA211D" w:rsidP="00DA211D">
      <w:pPr>
        <w:tabs>
          <w:tab w:val="center" w:pos="4536"/>
          <w:tab w:val="right" w:pos="9072"/>
        </w:tabs>
        <w:spacing w:line="240" w:lineRule="auto"/>
        <w:jc w:val="both"/>
        <w:rPr>
          <w:rFonts w:eastAsia="Times New Roman" w:cs="Arial"/>
          <w:sz w:val="22"/>
          <w:lang w:eastAsia="fr-FR"/>
        </w:rPr>
      </w:pPr>
      <w:r w:rsidRPr="00DA211D">
        <w:rPr>
          <w:rFonts w:eastAsia="Times New Roman" w:cs="Arial"/>
          <w:sz w:val="22"/>
          <w:lang w:eastAsia="fr-FR"/>
        </w:rPr>
        <w:t>Conformément aux dispositions de l’article R.</w:t>
      </w:r>
      <w:r w:rsidR="00547B3D">
        <w:rPr>
          <w:rFonts w:eastAsia="Times New Roman" w:cs="Arial"/>
          <w:sz w:val="22"/>
          <w:lang w:eastAsia="fr-FR"/>
        </w:rPr>
        <w:t> </w:t>
      </w:r>
      <w:r w:rsidRPr="00DA211D">
        <w:rPr>
          <w:rFonts w:eastAsia="Times New Roman" w:cs="Arial"/>
          <w:sz w:val="22"/>
          <w:lang w:eastAsia="fr-FR"/>
        </w:rPr>
        <w:t>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w:t>
      </w:r>
      <w:r w:rsidR="00547B3D">
        <w:rPr>
          <w:rFonts w:eastAsia="Times New Roman" w:cs="Arial"/>
          <w:sz w:val="22"/>
          <w:lang w:eastAsia="fr-FR"/>
        </w:rPr>
        <w:t> </w:t>
      </w:r>
      <w:r w:rsidRPr="00DA211D">
        <w:rPr>
          <w:rFonts w:eastAsia="Times New Roman" w:cs="Arial"/>
          <w:sz w:val="22"/>
          <w:lang w:eastAsia="fr-FR"/>
        </w:rPr>
        <w:t>142-15-I du même code.</w:t>
      </w:r>
    </w:p>
    <w:p w:rsidR="00A36FF8" w:rsidRPr="001B740A" w:rsidRDefault="00A36FF8" w:rsidP="00A36FF8">
      <w:pPr>
        <w:tabs>
          <w:tab w:val="center" w:pos="4536"/>
          <w:tab w:val="right" w:pos="9072"/>
        </w:tabs>
        <w:spacing w:line="240" w:lineRule="auto"/>
        <w:jc w:val="both"/>
        <w:rPr>
          <w:rFonts w:eastAsia="Times New Roman" w:cs="Arial"/>
          <w:sz w:val="22"/>
          <w:lang w:eastAsia="fr-FR"/>
        </w:rPr>
      </w:pPr>
    </w:p>
    <w:p w:rsidR="00A36FF8" w:rsidRPr="001B740A" w:rsidRDefault="00A36FF8" w:rsidP="00A36FF8">
      <w:pPr>
        <w:tabs>
          <w:tab w:val="center" w:pos="4536"/>
          <w:tab w:val="right" w:pos="9072"/>
        </w:tabs>
        <w:spacing w:line="240" w:lineRule="auto"/>
        <w:jc w:val="both"/>
        <w:rPr>
          <w:rFonts w:eastAsia="Times New Roman" w:cs="Arial"/>
          <w:sz w:val="22"/>
          <w:lang w:eastAsia="fr-FR"/>
        </w:rPr>
      </w:pPr>
    </w:p>
    <w:p w:rsidR="00FA2EC4" w:rsidRPr="00C13095" w:rsidRDefault="00FA2EC4" w:rsidP="00C13095"/>
    <w:sectPr w:rsidR="00FA2EC4" w:rsidRPr="00C13095" w:rsidSect="00E85E69">
      <w:headerReference w:type="default" r:id="rId9"/>
      <w:footerReference w:type="default" r:id="rId10"/>
      <w:headerReference w:type="first" r:id="rId11"/>
      <w:footerReference w:type="first" r:id="rId12"/>
      <w:type w:val="continuous"/>
      <w:pgSz w:w="11906" w:h="16838" w:code="9"/>
      <w:pgMar w:top="820" w:right="1417" w:bottom="1417" w:left="1417"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3A0" w:rsidRDefault="005E33A0" w:rsidP="00B41656">
      <w:pPr>
        <w:spacing w:line="240" w:lineRule="auto"/>
      </w:pPr>
      <w:r>
        <w:separator/>
      </w:r>
    </w:p>
  </w:endnote>
  <w:endnote w:type="continuationSeparator" w:id="0">
    <w:p w:rsidR="005E33A0" w:rsidRDefault="005E33A0"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FF8" w:rsidRDefault="00A36FF8">
    <w:pPr>
      <w:pStyle w:val="Pieddepage"/>
      <w:jc w:val="center"/>
    </w:pPr>
  </w:p>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B7C" w:rsidRDefault="00AE0B7C"/>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rsidTr="00E65F90">
      <w:trPr>
        <w:jc w:val="center"/>
      </w:trPr>
      <w:tc>
        <w:tcPr>
          <w:tcW w:w="9212" w:type="dxa"/>
        </w:tcPr>
        <w:p w:rsidR="004A1A11" w:rsidRPr="008F0DC7" w:rsidRDefault="004A1A11" w:rsidP="00E65F90">
          <w:pPr>
            <w:pStyle w:val="Pieddepage"/>
            <w:jc w:val="center"/>
            <w:rPr>
              <w:rFonts w:cs="Arial"/>
            </w:rPr>
          </w:pP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3A0" w:rsidRDefault="005E33A0" w:rsidP="00B41656">
      <w:pPr>
        <w:spacing w:line="240" w:lineRule="auto"/>
      </w:pPr>
      <w:r>
        <w:separator/>
      </w:r>
    </w:p>
  </w:footnote>
  <w:footnote w:type="continuationSeparator" w:id="0">
    <w:p w:rsidR="005E33A0" w:rsidRDefault="005E33A0"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7379485"/>
      <w:docPartObj>
        <w:docPartGallery w:val="Page Numbers (Top of Page)"/>
        <w:docPartUnique/>
      </w:docPartObj>
    </w:sdtPr>
    <w:sdtEndPr/>
    <w:sdtContent>
      <w:p w:rsidR="00E85E69" w:rsidRDefault="00E85E69">
        <w:pPr>
          <w:pStyle w:val="En-tte"/>
          <w:jc w:val="right"/>
        </w:pPr>
      </w:p>
      <w:p w:rsidR="00E85E69" w:rsidRDefault="00E85E69">
        <w:pPr>
          <w:pStyle w:val="En-tte"/>
          <w:jc w:val="right"/>
        </w:pPr>
        <w:r>
          <w:fldChar w:fldCharType="begin"/>
        </w:r>
        <w:r>
          <w:instrText>PAGE   \* MERGEFORMAT</w:instrText>
        </w:r>
        <w:r>
          <w:fldChar w:fldCharType="separate"/>
        </w:r>
        <w:r w:rsidR="00943BFB">
          <w:rPr>
            <w:noProof/>
          </w:rPr>
          <w:t>3</w:t>
        </w:r>
        <w:r>
          <w:fldChar w:fldCharType="end"/>
        </w:r>
        <w:r>
          <w:t>/3</w:t>
        </w:r>
      </w:p>
    </w:sdtContent>
  </w:sdt>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14:anchorId="3C66E50C" wp14:editId="526DCFEE">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9511091"/>
    <w:multiLevelType w:val="singleLevel"/>
    <w:tmpl w:val="421465B2"/>
    <w:lvl w:ilvl="0">
      <w:start w:val="1"/>
      <w:numFmt w:val="decimal"/>
      <w:pStyle w:val="Titreobservations"/>
      <w:lvlText w:val="Obs. %1 "/>
      <w:lvlJc w:val="left"/>
      <w:pPr>
        <w:tabs>
          <w:tab w:val="num" w:pos="1260"/>
        </w:tabs>
        <w:ind w:left="540" w:hanging="360"/>
      </w:p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6C32535"/>
    <w:multiLevelType w:val="hybridMultilevel"/>
    <w:tmpl w:val="2ABA8D9C"/>
    <w:lvl w:ilvl="0" w:tplc="5044067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06902"/>
    <w:rsid w:val="00026209"/>
    <w:rsid w:val="00042157"/>
    <w:rsid w:val="00055973"/>
    <w:rsid w:val="00057C1C"/>
    <w:rsid w:val="00060466"/>
    <w:rsid w:val="000644DC"/>
    <w:rsid w:val="00067EA3"/>
    <w:rsid w:val="00077E98"/>
    <w:rsid w:val="000B6546"/>
    <w:rsid w:val="000D5748"/>
    <w:rsid w:val="000D61A7"/>
    <w:rsid w:val="000F5299"/>
    <w:rsid w:val="000F53CA"/>
    <w:rsid w:val="00110640"/>
    <w:rsid w:val="0011474E"/>
    <w:rsid w:val="001248F5"/>
    <w:rsid w:val="0013115F"/>
    <w:rsid w:val="0013178A"/>
    <w:rsid w:val="00131A38"/>
    <w:rsid w:val="001440E9"/>
    <w:rsid w:val="001656BC"/>
    <w:rsid w:val="001659AD"/>
    <w:rsid w:val="0016783F"/>
    <w:rsid w:val="00172BFB"/>
    <w:rsid w:val="001733C8"/>
    <w:rsid w:val="00177B90"/>
    <w:rsid w:val="00196554"/>
    <w:rsid w:val="001C1207"/>
    <w:rsid w:val="001C59EC"/>
    <w:rsid w:val="001D11BE"/>
    <w:rsid w:val="002040C2"/>
    <w:rsid w:val="00204837"/>
    <w:rsid w:val="002257B0"/>
    <w:rsid w:val="002304DE"/>
    <w:rsid w:val="00231C67"/>
    <w:rsid w:val="00240772"/>
    <w:rsid w:val="00240C13"/>
    <w:rsid w:val="00244453"/>
    <w:rsid w:val="00251668"/>
    <w:rsid w:val="0025544C"/>
    <w:rsid w:val="0025618D"/>
    <w:rsid w:val="00265091"/>
    <w:rsid w:val="00283473"/>
    <w:rsid w:val="002878B1"/>
    <w:rsid w:val="002B74C3"/>
    <w:rsid w:val="002C04EE"/>
    <w:rsid w:val="002C0B4C"/>
    <w:rsid w:val="002C15FE"/>
    <w:rsid w:val="002D0DA9"/>
    <w:rsid w:val="002D2D17"/>
    <w:rsid w:val="002E61A9"/>
    <w:rsid w:val="002E75B7"/>
    <w:rsid w:val="002F2B96"/>
    <w:rsid w:val="002F5C93"/>
    <w:rsid w:val="00324D69"/>
    <w:rsid w:val="00335254"/>
    <w:rsid w:val="003631CB"/>
    <w:rsid w:val="00365ED7"/>
    <w:rsid w:val="00376FD6"/>
    <w:rsid w:val="0039517C"/>
    <w:rsid w:val="003955D7"/>
    <w:rsid w:val="003A09FE"/>
    <w:rsid w:val="003B7BA2"/>
    <w:rsid w:val="003C582D"/>
    <w:rsid w:val="003C729C"/>
    <w:rsid w:val="003D0B4E"/>
    <w:rsid w:val="003D51CA"/>
    <w:rsid w:val="003D58FB"/>
    <w:rsid w:val="003D7655"/>
    <w:rsid w:val="003F4328"/>
    <w:rsid w:val="004022CB"/>
    <w:rsid w:val="00411920"/>
    <w:rsid w:val="004507C2"/>
    <w:rsid w:val="00452150"/>
    <w:rsid w:val="00466852"/>
    <w:rsid w:val="0047092C"/>
    <w:rsid w:val="004779C2"/>
    <w:rsid w:val="00477C3D"/>
    <w:rsid w:val="00490C10"/>
    <w:rsid w:val="004A0C49"/>
    <w:rsid w:val="004A1A11"/>
    <w:rsid w:val="004A3477"/>
    <w:rsid w:val="004A49F1"/>
    <w:rsid w:val="004A56C5"/>
    <w:rsid w:val="004D1805"/>
    <w:rsid w:val="005007FE"/>
    <w:rsid w:val="00521224"/>
    <w:rsid w:val="005369EE"/>
    <w:rsid w:val="0054781F"/>
    <w:rsid w:val="00547B3D"/>
    <w:rsid w:val="00563820"/>
    <w:rsid w:val="005B4CA5"/>
    <w:rsid w:val="005C5994"/>
    <w:rsid w:val="005C7346"/>
    <w:rsid w:val="005E33A0"/>
    <w:rsid w:val="005F61B5"/>
    <w:rsid w:val="00604974"/>
    <w:rsid w:val="00610F78"/>
    <w:rsid w:val="0063020D"/>
    <w:rsid w:val="006344B0"/>
    <w:rsid w:val="00634522"/>
    <w:rsid w:val="00640087"/>
    <w:rsid w:val="00647807"/>
    <w:rsid w:val="00651582"/>
    <w:rsid w:val="00662166"/>
    <w:rsid w:val="006645F5"/>
    <w:rsid w:val="00676091"/>
    <w:rsid w:val="006774B5"/>
    <w:rsid w:val="0068148D"/>
    <w:rsid w:val="00686D20"/>
    <w:rsid w:val="00687F6F"/>
    <w:rsid w:val="006A0CDD"/>
    <w:rsid w:val="006A4EB5"/>
    <w:rsid w:val="006A568B"/>
    <w:rsid w:val="006A7750"/>
    <w:rsid w:val="006B3C58"/>
    <w:rsid w:val="006C72CB"/>
    <w:rsid w:val="006E0C9C"/>
    <w:rsid w:val="006E170E"/>
    <w:rsid w:val="006E3A7F"/>
    <w:rsid w:val="00705A07"/>
    <w:rsid w:val="00707BD1"/>
    <w:rsid w:val="00724014"/>
    <w:rsid w:val="007252C5"/>
    <w:rsid w:val="007410AA"/>
    <w:rsid w:val="00760BDB"/>
    <w:rsid w:val="00764F62"/>
    <w:rsid w:val="00765A21"/>
    <w:rsid w:val="0077703E"/>
    <w:rsid w:val="0079300A"/>
    <w:rsid w:val="007A448C"/>
    <w:rsid w:val="007B06F6"/>
    <w:rsid w:val="007C3738"/>
    <w:rsid w:val="007E06F2"/>
    <w:rsid w:val="007F2707"/>
    <w:rsid w:val="007F76E8"/>
    <w:rsid w:val="0081551A"/>
    <w:rsid w:val="00816090"/>
    <w:rsid w:val="0082514D"/>
    <w:rsid w:val="008256E2"/>
    <w:rsid w:val="00846EFF"/>
    <w:rsid w:val="0085194D"/>
    <w:rsid w:val="00863D04"/>
    <w:rsid w:val="0086760B"/>
    <w:rsid w:val="00875AE9"/>
    <w:rsid w:val="008844EF"/>
    <w:rsid w:val="008A34BF"/>
    <w:rsid w:val="008A6ACF"/>
    <w:rsid w:val="008B01F8"/>
    <w:rsid w:val="008C244D"/>
    <w:rsid w:val="008C2B32"/>
    <w:rsid w:val="008E360F"/>
    <w:rsid w:val="008E5EE8"/>
    <w:rsid w:val="008E6068"/>
    <w:rsid w:val="008E6349"/>
    <w:rsid w:val="008F0F94"/>
    <w:rsid w:val="008F2C0D"/>
    <w:rsid w:val="008F5219"/>
    <w:rsid w:val="00932341"/>
    <w:rsid w:val="009405CE"/>
    <w:rsid w:val="00943BFB"/>
    <w:rsid w:val="00950441"/>
    <w:rsid w:val="009627B1"/>
    <w:rsid w:val="00966697"/>
    <w:rsid w:val="009672D3"/>
    <w:rsid w:val="009802E3"/>
    <w:rsid w:val="009821CF"/>
    <w:rsid w:val="009901D8"/>
    <w:rsid w:val="009B22BF"/>
    <w:rsid w:val="009E45E4"/>
    <w:rsid w:val="009F0FB6"/>
    <w:rsid w:val="00A02D30"/>
    <w:rsid w:val="00A32C49"/>
    <w:rsid w:val="00A36FF8"/>
    <w:rsid w:val="00A4059D"/>
    <w:rsid w:val="00A56A52"/>
    <w:rsid w:val="00A755A3"/>
    <w:rsid w:val="00A83FC9"/>
    <w:rsid w:val="00A86BEC"/>
    <w:rsid w:val="00A86D09"/>
    <w:rsid w:val="00A90B88"/>
    <w:rsid w:val="00A9735F"/>
    <w:rsid w:val="00AE0B7C"/>
    <w:rsid w:val="00AE774F"/>
    <w:rsid w:val="00AF3334"/>
    <w:rsid w:val="00B128E3"/>
    <w:rsid w:val="00B206AC"/>
    <w:rsid w:val="00B20DF8"/>
    <w:rsid w:val="00B26C9B"/>
    <w:rsid w:val="00B275C1"/>
    <w:rsid w:val="00B34BEC"/>
    <w:rsid w:val="00B41656"/>
    <w:rsid w:val="00B55E45"/>
    <w:rsid w:val="00B56D44"/>
    <w:rsid w:val="00B645D1"/>
    <w:rsid w:val="00B64C77"/>
    <w:rsid w:val="00B967C8"/>
    <w:rsid w:val="00BA31B3"/>
    <w:rsid w:val="00BA60D8"/>
    <w:rsid w:val="00BB2920"/>
    <w:rsid w:val="00BB7176"/>
    <w:rsid w:val="00BC40A5"/>
    <w:rsid w:val="00BE6831"/>
    <w:rsid w:val="00BF3254"/>
    <w:rsid w:val="00C04525"/>
    <w:rsid w:val="00C04AE1"/>
    <w:rsid w:val="00C065C7"/>
    <w:rsid w:val="00C17123"/>
    <w:rsid w:val="00C22187"/>
    <w:rsid w:val="00C232B4"/>
    <w:rsid w:val="00C23B89"/>
    <w:rsid w:val="00C32D50"/>
    <w:rsid w:val="00C470E9"/>
    <w:rsid w:val="00C67D39"/>
    <w:rsid w:val="00C708CF"/>
    <w:rsid w:val="00C77CA2"/>
    <w:rsid w:val="00CA1BD5"/>
    <w:rsid w:val="00CA2B9B"/>
    <w:rsid w:val="00CC15E6"/>
    <w:rsid w:val="00CC39B0"/>
    <w:rsid w:val="00CC39CD"/>
    <w:rsid w:val="00CC7C45"/>
    <w:rsid w:val="00CE1BD7"/>
    <w:rsid w:val="00CE4F79"/>
    <w:rsid w:val="00CF6809"/>
    <w:rsid w:val="00D01C3E"/>
    <w:rsid w:val="00D21CDB"/>
    <w:rsid w:val="00D43977"/>
    <w:rsid w:val="00D500EF"/>
    <w:rsid w:val="00D51C43"/>
    <w:rsid w:val="00D62649"/>
    <w:rsid w:val="00D817B5"/>
    <w:rsid w:val="00D823E2"/>
    <w:rsid w:val="00D9146A"/>
    <w:rsid w:val="00DA211D"/>
    <w:rsid w:val="00DA23AB"/>
    <w:rsid w:val="00DA6392"/>
    <w:rsid w:val="00DB1DD1"/>
    <w:rsid w:val="00DE48AF"/>
    <w:rsid w:val="00DE6999"/>
    <w:rsid w:val="00DF0D0E"/>
    <w:rsid w:val="00E03E5C"/>
    <w:rsid w:val="00E16AC8"/>
    <w:rsid w:val="00E25406"/>
    <w:rsid w:val="00E35B8A"/>
    <w:rsid w:val="00E430FB"/>
    <w:rsid w:val="00E50897"/>
    <w:rsid w:val="00E515EB"/>
    <w:rsid w:val="00E53D4A"/>
    <w:rsid w:val="00E55D24"/>
    <w:rsid w:val="00E71C95"/>
    <w:rsid w:val="00E85E69"/>
    <w:rsid w:val="00E86FB6"/>
    <w:rsid w:val="00E87137"/>
    <w:rsid w:val="00E90917"/>
    <w:rsid w:val="00EB0D42"/>
    <w:rsid w:val="00EC5A61"/>
    <w:rsid w:val="00ED3235"/>
    <w:rsid w:val="00ED3BBB"/>
    <w:rsid w:val="00EE2510"/>
    <w:rsid w:val="00EE3AA4"/>
    <w:rsid w:val="00EE4F42"/>
    <w:rsid w:val="00F02B00"/>
    <w:rsid w:val="00F02D0A"/>
    <w:rsid w:val="00F12F06"/>
    <w:rsid w:val="00F240E2"/>
    <w:rsid w:val="00F34BAC"/>
    <w:rsid w:val="00F41AEC"/>
    <w:rsid w:val="00F63CE2"/>
    <w:rsid w:val="00F73ABC"/>
    <w:rsid w:val="00F8606B"/>
    <w:rsid w:val="00FA2EC4"/>
    <w:rsid w:val="00FB3658"/>
    <w:rsid w:val="00FC3558"/>
    <w:rsid w:val="00FD31C9"/>
    <w:rsid w:val="00FD3A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footnote reference" w:uiPriority="0"/>
    <w:lsdException w:name="endnote reference" w:uiPriority="0"/>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uiPriority w:val="99"/>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styleId="Corpsdetexte">
    <w:name w:val="Body Text"/>
    <w:basedOn w:val="Normal"/>
    <w:link w:val="CorpsdetexteCar"/>
    <w:rsid w:val="004779C2"/>
    <w:pPr>
      <w:spacing w:after="120" w:line="240" w:lineRule="auto"/>
      <w:ind w:firstLine="851"/>
      <w:jc w:val="both"/>
    </w:pPr>
    <w:rPr>
      <w:rFonts w:ascii="Times New Roman" w:eastAsia="Times New Roman" w:hAnsi="Times New Roman"/>
      <w:b/>
      <w:i/>
      <w:sz w:val="22"/>
      <w:szCs w:val="24"/>
      <w:lang w:eastAsia="fr-FR"/>
    </w:rPr>
  </w:style>
  <w:style w:type="character" w:customStyle="1" w:styleId="CorpsdetexteCar">
    <w:name w:val="Corps de texte Car"/>
    <w:basedOn w:val="Policepardfaut"/>
    <w:link w:val="Corpsdetexte"/>
    <w:rsid w:val="004779C2"/>
    <w:rPr>
      <w:rFonts w:ascii="Times New Roman" w:eastAsia="Times New Roman" w:hAnsi="Times New Roman"/>
      <w:b/>
      <w:i/>
      <w:sz w:val="22"/>
      <w:szCs w:val="24"/>
    </w:rPr>
  </w:style>
  <w:style w:type="character" w:styleId="Appeldenotedefin">
    <w:name w:val="endnote reference"/>
    <w:semiHidden/>
    <w:rsid w:val="004779C2"/>
    <w:rPr>
      <w:vertAlign w:val="superscript"/>
    </w:rPr>
  </w:style>
  <w:style w:type="character" w:styleId="lev">
    <w:name w:val="Strong"/>
    <w:uiPriority w:val="22"/>
    <w:qFormat/>
    <w:rsid w:val="004779C2"/>
    <w:rPr>
      <w:b/>
      <w:bCs/>
    </w:rPr>
  </w:style>
  <w:style w:type="paragraph" w:customStyle="1" w:styleId="Titreobservations">
    <w:name w:val="Titre observations"/>
    <w:basedOn w:val="Normal"/>
    <w:next w:val="Corpsdetexte"/>
    <w:rsid w:val="004779C2"/>
    <w:pPr>
      <w:numPr>
        <w:numId w:val="9"/>
      </w:numPr>
      <w:spacing w:before="240" w:after="240" w:line="240" w:lineRule="auto"/>
      <w:jc w:val="both"/>
    </w:pPr>
    <w:rPr>
      <w:rFonts w:ascii="Times New Roman" w:eastAsia="Times New Roman" w:hAnsi="Times New Roman"/>
      <w:b/>
      <w:color w:val="000080"/>
      <w:sz w:val="24"/>
      <w:szCs w:val="20"/>
      <w:lang w:eastAsia="fr-FR"/>
    </w:rPr>
  </w:style>
  <w:style w:type="character" w:styleId="Accentuation">
    <w:name w:val="Emphasis"/>
    <w:uiPriority w:val="20"/>
    <w:qFormat/>
    <w:rsid w:val="004779C2"/>
    <w:rPr>
      <w:i/>
      <w:iCs/>
    </w:rPr>
  </w:style>
  <w:style w:type="paragraph" w:customStyle="1" w:styleId="pretrait">
    <w:name w:val="pretrait"/>
    <w:basedOn w:val="Normal"/>
    <w:rsid w:val="007F76E8"/>
    <w:pPr>
      <w:spacing w:line="300" w:lineRule="exact"/>
      <w:ind w:firstLine="1134"/>
      <w:jc w:val="both"/>
    </w:pPr>
    <w:rPr>
      <w:rFonts w:ascii="Times New Roman" w:eastAsia="Times New Roman" w:hAnsi="Times New Roman"/>
      <w:noProof/>
      <w:sz w:val="24"/>
      <w:szCs w:val="20"/>
      <w:lang w:eastAsia="fr-FR"/>
    </w:rPr>
  </w:style>
  <w:style w:type="character" w:styleId="Marquedecommentaire">
    <w:name w:val="annotation reference"/>
    <w:basedOn w:val="Policepardfaut"/>
    <w:uiPriority w:val="99"/>
    <w:semiHidden/>
    <w:rsid w:val="0013178A"/>
    <w:rPr>
      <w:sz w:val="16"/>
      <w:szCs w:val="16"/>
    </w:rPr>
  </w:style>
  <w:style w:type="paragraph" w:styleId="Commentaire">
    <w:name w:val="annotation text"/>
    <w:basedOn w:val="Normal"/>
    <w:link w:val="CommentaireCar"/>
    <w:uiPriority w:val="99"/>
    <w:semiHidden/>
    <w:rsid w:val="0013178A"/>
    <w:pPr>
      <w:spacing w:line="240" w:lineRule="auto"/>
    </w:pPr>
    <w:rPr>
      <w:sz w:val="20"/>
      <w:szCs w:val="20"/>
    </w:rPr>
  </w:style>
  <w:style w:type="character" w:customStyle="1" w:styleId="CommentaireCar">
    <w:name w:val="Commentaire Car"/>
    <w:basedOn w:val="Policepardfaut"/>
    <w:link w:val="Commentaire"/>
    <w:uiPriority w:val="99"/>
    <w:semiHidden/>
    <w:rsid w:val="0013178A"/>
    <w:rPr>
      <w:lang w:eastAsia="en-US"/>
    </w:rPr>
  </w:style>
  <w:style w:type="paragraph" w:styleId="Objetducommentaire">
    <w:name w:val="annotation subject"/>
    <w:basedOn w:val="Commentaire"/>
    <w:next w:val="Commentaire"/>
    <w:link w:val="ObjetducommentaireCar"/>
    <w:uiPriority w:val="99"/>
    <w:semiHidden/>
    <w:rsid w:val="0013178A"/>
    <w:rPr>
      <w:b/>
      <w:bCs/>
    </w:rPr>
  </w:style>
  <w:style w:type="character" w:customStyle="1" w:styleId="ObjetducommentaireCar">
    <w:name w:val="Objet du commentaire Car"/>
    <w:basedOn w:val="CommentaireCar"/>
    <w:link w:val="Objetducommentaire"/>
    <w:uiPriority w:val="99"/>
    <w:semiHidden/>
    <w:rsid w:val="0013178A"/>
    <w:rPr>
      <w:b/>
      <w:bCs/>
      <w:lang w:eastAsia="en-US"/>
    </w:rPr>
  </w:style>
  <w:style w:type="paragraph" w:styleId="Rvision">
    <w:name w:val="Revision"/>
    <w:hidden/>
    <w:uiPriority w:val="71"/>
    <w:rsid w:val="0013178A"/>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footnote reference" w:uiPriority="0"/>
    <w:lsdException w:name="endnote reference" w:uiPriority="0"/>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uiPriority w:val="99"/>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styleId="Corpsdetexte">
    <w:name w:val="Body Text"/>
    <w:basedOn w:val="Normal"/>
    <w:link w:val="CorpsdetexteCar"/>
    <w:rsid w:val="004779C2"/>
    <w:pPr>
      <w:spacing w:after="120" w:line="240" w:lineRule="auto"/>
      <w:ind w:firstLine="851"/>
      <w:jc w:val="both"/>
    </w:pPr>
    <w:rPr>
      <w:rFonts w:ascii="Times New Roman" w:eastAsia="Times New Roman" w:hAnsi="Times New Roman"/>
      <w:b/>
      <w:i/>
      <w:sz w:val="22"/>
      <w:szCs w:val="24"/>
      <w:lang w:eastAsia="fr-FR"/>
    </w:rPr>
  </w:style>
  <w:style w:type="character" w:customStyle="1" w:styleId="CorpsdetexteCar">
    <w:name w:val="Corps de texte Car"/>
    <w:basedOn w:val="Policepardfaut"/>
    <w:link w:val="Corpsdetexte"/>
    <w:rsid w:val="004779C2"/>
    <w:rPr>
      <w:rFonts w:ascii="Times New Roman" w:eastAsia="Times New Roman" w:hAnsi="Times New Roman"/>
      <w:b/>
      <w:i/>
      <w:sz w:val="22"/>
      <w:szCs w:val="24"/>
    </w:rPr>
  </w:style>
  <w:style w:type="character" w:styleId="Appeldenotedefin">
    <w:name w:val="endnote reference"/>
    <w:semiHidden/>
    <w:rsid w:val="004779C2"/>
    <w:rPr>
      <w:vertAlign w:val="superscript"/>
    </w:rPr>
  </w:style>
  <w:style w:type="character" w:styleId="lev">
    <w:name w:val="Strong"/>
    <w:uiPriority w:val="22"/>
    <w:qFormat/>
    <w:rsid w:val="004779C2"/>
    <w:rPr>
      <w:b/>
      <w:bCs/>
    </w:rPr>
  </w:style>
  <w:style w:type="paragraph" w:customStyle="1" w:styleId="Titreobservations">
    <w:name w:val="Titre observations"/>
    <w:basedOn w:val="Normal"/>
    <w:next w:val="Corpsdetexte"/>
    <w:rsid w:val="004779C2"/>
    <w:pPr>
      <w:numPr>
        <w:numId w:val="9"/>
      </w:numPr>
      <w:spacing w:before="240" w:after="240" w:line="240" w:lineRule="auto"/>
      <w:jc w:val="both"/>
    </w:pPr>
    <w:rPr>
      <w:rFonts w:ascii="Times New Roman" w:eastAsia="Times New Roman" w:hAnsi="Times New Roman"/>
      <w:b/>
      <w:color w:val="000080"/>
      <w:sz w:val="24"/>
      <w:szCs w:val="20"/>
      <w:lang w:eastAsia="fr-FR"/>
    </w:rPr>
  </w:style>
  <w:style w:type="character" w:styleId="Accentuation">
    <w:name w:val="Emphasis"/>
    <w:uiPriority w:val="20"/>
    <w:qFormat/>
    <w:rsid w:val="004779C2"/>
    <w:rPr>
      <w:i/>
      <w:iCs/>
    </w:rPr>
  </w:style>
  <w:style w:type="paragraph" w:customStyle="1" w:styleId="pretrait">
    <w:name w:val="pretrait"/>
    <w:basedOn w:val="Normal"/>
    <w:rsid w:val="007F76E8"/>
    <w:pPr>
      <w:spacing w:line="300" w:lineRule="exact"/>
      <w:ind w:firstLine="1134"/>
      <w:jc w:val="both"/>
    </w:pPr>
    <w:rPr>
      <w:rFonts w:ascii="Times New Roman" w:eastAsia="Times New Roman" w:hAnsi="Times New Roman"/>
      <w:noProof/>
      <w:sz w:val="24"/>
      <w:szCs w:val="20"/>
      <w:lang w:eastAsia="fr-FR"/>
    </w:rPr>
  </w:style>
  <w:style w:type="character" w:styleId="Marquedecommentaire">
    <w:name w:val="annotation reference"/>
    <w:basedOn w:val="Policepardfaut"/>
    <w:uiPriority w:val="99"/>
    <w:semiHidden/>
    <w:rsid w:val="0013178A"/>
    <w:rPr>
      <w:sz w:val="16"/>
      <w:szCs w:val="16"/>
    </w:rPr>
  </w:style>
  <w:style w:type="paragraph" w:styleId="Commentaire">
    <w:name w:val="annotation text"/>
    <w:basedOn w:val="Normal"/>
    <w:link w:val="CommentaireCar"/>
    <w:uiPriority w:val="99"/>
    <w:semiHidden/>
    <w:rsid w:val="0013178A"/>
    <w:pPr>
      <w:spacing w:line="240" w:lineRule="auto"/>
    </w:pPr>
    <w:rPr>
      <w:sz w:val="20"/>
      <w:szCs w:val="20"/>
    </w:rPr>
  </w:style>
  <w:style w:type="character" w:customStyle="1" w:styleId="CommentaireCar">
    <w:name w:val="Commentaire Car"/>
    <w:basedOn w:val="Policepardfaut"/>
    <w:link w:val="Commentaire"/>
    <w:uiPriority w:val="99"/>
    <w:semiHidden/>
    <w:rsid w:val="0013178A"/>
    <w:rPr>
      <w:lang w:eastAsia="en-US"/>
    </w:rPr>
  </w:style>
  <w:style w:type="paragraph" w:styleId="Objetducommentaire">
    <w:name w:val="annotation subject"/>
    <w:basedOn w:val="Commentaire"/>
    <w:next w:val="Commentaire"/>
    <w:link w:val="ObjetducommentaireCar"/>
    <w:uiPriority w:val="99"/>
    <w:semiHidden/>
    <w:rsid w:val="0013178A"/>
    <w:rPr>
      <w:b/>
      <w:bCs/>
    </w:rPr>
  </w:style>
  <w:style w:type="character" w:customStyle="1" w:styleId="ObjetducommentaireCar">
    <w:name w:val="Objet du commentaire Car"/>
    <w:basedOn w:val="CommentaireCar"/>
    <w:link w:val="Objetducommentaire"/>
    <w:uiPriority w:val="99"/>
    <w:semiHidden/>
    <w:rsid w:val="0013178A"/>
    <w:rPr>
      <w:b/>
      <w:bCs/>
      <w:lang w:eastAsia="en-US"/>
    </w:rPr>
  </w:style>
  <w:style w:type="paragraph" w:styleId="Rvision">
    <w:name w:val="Revision"/>
    <w:hidden/>
    <w:uiPriority w:val="71"/>
    <w:rsid w:val="0013178A"/>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556467">
      <w:bodyDiv w:val="1"/>
      <w:marLeft w:val="0"/>
      <w:marRight w:val="0"/>
      <w:marTop w:val="0"/>
      <w:marBottom w:val="0"/>
      <w:divBdr>
        <w:top w:val="none" w:sz="0" w:space="0" w:color="auto"/>
        <w:left w:val="none" w:sz="0" w:space="0" w:color="auto"/>
        <w:bottom w:val="none" w:sz="0" w:space="0" w:color="auto"/>
        <w:right w:val="none" w:sz="0" w:space="0" w:color="auto"/>
      </w:divBdr>
    </w:div>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44927-8DCE-46A9-8438-B23CB93C9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1148</Words>
  <Characters>6319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7453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24</cp:revision>
  <cp:lastPrinted>2015-04-30T10:52:00Z</cp:lastPrinted>
  <dcterms:created xsi:type="dcterms:W3CDTF">2015-04-21T11:09:00Z</dcterms:created>
  <dcterms:modified xsi:type="dcterms:W3CDTF">2015-06-27T16:47:00Z</dcterms:modified>
</cp:coreProperties>
</file>