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9B3" w:rsidRDefault="00AC09B3" w:rsidP="001B450C">
      <w:pPr>
        <w:spacing w:after="80"/>
        <w:ind w:right="6237" w:firstLine="0"/>
        <w:jc w:val="center"/>
        <w:rPr>
          <w:rFonts w:ascii="Arial" w:hAnsi="Arial" w:cs="Arial"/>
        </w:rPr>
      </w:pPr>
    </w:p>
    <w:p w:rsidR="00AC09B3" w:rsidRDefault="00AC09B3" w:rsidP="001B450C">
      <w:pPr>
        <w:spacing w:after="80"/>
        <w:ind w:right="6237" w:firstLine="0"/>
        <w:jc w:val="center"/>
        <w:rPr>
          <w:rFonts w:ascii="Arial" w:hAnsi="Arial" w:cs="Arial"/>
        </w:rPr>
      </w:pPr>
      <w:r>
        <w:rPr>
          <w:noProof/>
        </w:rPr>
        <w:drawing>
          <wp:anchor distT="0" distB="0" distL="114300" distR="114300" simplePos="0" relativeHeight="251659264" behindDoc="0" locked="0" layoutInCell="1" allowOverlap="1" wp14:anchorId="5C99AE0D" wp14:editId="0EB70DA8">
            <wp:simplePos x="0" y="0"/>
            <wp:positionH relativeFrom="column">
              <wp:posOffset>-728980</wp:posOffset>
            </wp:positionH>
            <wp:positionV relativeFrom="paragraph">
              <wp:posOffset>-897255</wp:posOffset>
            </wp:positionV>
            <wp:extent cx="7559040" cy="1258570"/>
            <wp:effectExtent l="1905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8"/>
                    <a:stretch>
                      <a:fillRect/>
                    </a:stretch>
                  </pic:blipFill>
                  <pic:spPr>
                    <a:xfrm>
                      <a:off x="0" y="0"/>
                      <a:ext cx="7559040" cy="1258570"/>
                    </a:xfrm>
                    <a:prstGeom prst="rect">
                      <a:avLst/>
                    </a:prstGeom>
                  </pic:spPr>
                </pic:pic>
              </a:graphicData>
            </a:graphic>
          </wp:anchor>
        </w:drawing>
      </w:r>
    </w:p>
    <w:tbl>
      <w:tblPr>
        <w:tblW w:w="10314" w:type="dxa"/>
        <w:tblLook w:val="00A0" w:firstRow="1" w:lastRow="0" w:firstColumn="1" w:lastColumn="0" w:noHBand="0" w:noVBand="0"/>
      </w:tblPr>
      <w:tblGrid>
        <w:gridCol w:w="5103"/>
        <w:gridCol w:w="5211"/>
      </w:tblGrid>
      <w:tr w:rsidR="00AC09B3" w:rsidRPr="00AC09B3" w:rsidTr="00990DEC">
        <w:tc>
          <w:tcPr>
            <w:tcW w:w="5103" w:type="dxa"/>
          </w:tcPr>
          <w:p w:rsidR="00AC09B3" w:rsidRPr="00AC09B3" w:rsidRDefault="00AC09B3" w:rsidP="000B666F">
            <w:pPr>
              <w:ind w:right="1485" w:firstLine="0"/>
              <w:jc w:val="center"/>
              <w:rPr>
                <w:rFonts w:ascii="Arial" w:hAnsi="Arial" w:cs="Arial"/>
                <w:sz w:val="22"/>
                <w:szCs w:val="22"/>
              </w:rPr>
            </w:pPr>
            <w:r w:rsidRPr="00AC09B3">
              <w:rPr>
                <w:rFonts w:ascii="Arial" w:hAnsi="Arial" w:cs="Arial"/>
                <w:sz w:val="22"/>
                <w:szCs w:val="22"/>
              </w:rPr>
              <w:t>QUATRIÈME CHAMBRE</w:t>
            </w:r>
          </w:p>
          <w:p w:rsidR="00AC09B3" w:rsidRPr="00AC09B3" w:rsidRDefault="00AC09B3" w:rsidP="000B666F">
            <w:pPr>
              <w:ind w:right="1485" w:firstLine="0"/>
              <w:jc w:val="center"/>
              <w:rPr>
                <w:rFonts w:ascii="Arial" w:hAnsi="Arial" w:cs="Arial"/>
                <w:b/>
                <w:sz w:val="22"/>
                <w:szCs w:val="22"/>
              </w:rPr>
            </w:pPr>
            <w:r w:rsidRPr="00AC09B3">
              <w:rPr>
                <w:rFonts w:ascii="Arial" w:hAnsi="Arial" w:cs="Arial"/>
                <w:b/>
                <w:sz w:val="22"/>
                <w:szCs w:val="22"/>
              </w:rPr>
              <w:t>-------</w:t>
            </w:r>
          </w:p>
          <w:p w:rsidR="00AC09B3" w:rsidRPr="00AC09B3" w:rsidRDefault="00AC09B3" w:rsidP="000B666F">
            <w:pPr>
              <w:tabs>
                <w:tab w:val="center" w:pos="4819"/>
                <w:tab w:val="right" w:pos="9071"/>
              </w:tabs>
              <w:ind w:right="1485" w:firstLine="0"/>
              <w:jc w:val="center"/>
              <w:rPr>
                <w:rFonts w:ascii="Arial" w:hAnsi="Arial" w:cs="Arial"/>
                <w:sz w:val="22"/>
                <w:szCs w:val="22"/>
              </w:rPr>
            </w:pPr>
            <w:r w:rsidRPr="00AC09B3">
              <w:rPr>
                <w:rFonts w:ascii="Arial" w:hAnsi="Arial" w:cs="Arial"/>
                <w:sz w:val="22"/>
                <w:szCs w:val="22"/>
              </w:rPr>
              <w:t>Première section</w:t>
            </w:r>
          </w:p>
          <w:p w:rsidR="00AC09B3" w:rsidRPr="00AC09B3" w:rsidRDefault="00AC09B3" w:rsidP="000B666F">
            <w:pPr>
              <w:tabs>
                <w:tab w:val="center" w:pos="4819"/>
                <w:tab w:val="right" w:pos="9071"/>
              </w:tabs>
              <w:ind w:right="1485" w:firstLine="0"/>
              <w:jc w:val="center"/>
              <w:rPr>
                <w:rFonts w:ascii="Arial" w:hAnsi="Arial" w:cs="Arial"/>
                <w:b/>
                <w:sz w:val="22"/>
                <w:szCs w:val="22"/>
              </w:rPr>
            </w:pPr>
            <w:r w:rsidRPr="00AC09B3">
              <w:rPr>
                <w:rFonts w:ascii="Arial" w:hAnsi="Arial" w:cs="Arial"/>
                <w:b/>
                <w:sz w:val="22"/>
                <w:szCs w:val="22"/>
              </w:rPr>
              <w:t>-------</w:t>
            </w:r>
          </w:p>
          <w:p w:rsidR="00AC09B3" w:rsidRPr="00AC09B3" w:rsidRDefault="00AC09B3" w:rsidP="000B666F">
            <w:pPr>
              <w:tabs>
                <w:tab w:val="center" w:pos="4819"/>
                <w:tab w:val="right" w:pos="9071"/>
              </w:tabs>
              <w:ind w:right="1485" w:firstLine="0"/>
              <w:jc w:val="center"/>
              <w:rPr>
                <w:rFonts w:ascii="Arial" w:hAnsi="Arial" w:cs="Arial"/>
                <w:sz w:val="22"/>
                <w:szCs w:val="22"/>
              </w:rPr>
            </w:pPr>
            <w:r w:rsidRPr="00AC09B3">
              <w:rPr>
                <w:rFonts w:ascii="Arial" w:hAnsi="Arial" w:cs="Arial"/>
                <w:sz w:val="22"/>
                <w:szCs w:val="22"/>
              </w:rPr>
              <w:t xml:space="preserve">Arrêt n° </w:t>
            </w:r>
            <w:r w:rsidR="00BA1E69">
              <w:rPr>
                <w:rFonts w:ascii="Arial" w:hAnsi="Arial" w:cs="Arial"/>
                <w:sz w:val="22"/>
                <w:szCs w:val="22"/>
              </w:rPr>
              <w:t>72460</w:t>
            </w:r>
          </w:p>
          <w:p w:rsidR="00AC09B3" w:rsidRPr="00AC09B3" w:rsidRDefault="00AC09B3" w:rsidP="000B666F">
            <w:pPr>
              <w:tabs>
                <w:tab w:val="center" w:pos="4819"/>
                <w:tab w:val="right" w:pos="9071"/>
              </w:tabs>
              <w:ind w:right="1485" w:firstLine="0"/>
              <w:jc w:val="center"/>
              <w:rPr>
                <w:rFonts w:ascii="Arial" w:hAnsi="Arial" w:cs="Arial"/>
                <w:sz w:val="22"/>
                <w:szCs w:val="22"/>
              </w:rPr>
            </w:pPr>
          </w:p>
          <w:p w:rsidR="00AC09B3" w:rsidRPr="00AC09B3" w:rsidRDefault="00AC09B3" w:rsidP="000B666F">
            <w:pPr>
              <w:ind w:right="1485" w:firstLine="0"/>
              <w:jc w:val="center"/>
              <w:rPr>
                <w:rFonts w:ascii="Arial" w:hAnsi="Arial" w:cs="Arial"/>
                <w:sz w:val="22"/>
                <w:szCs w:val="22"/>
              </w:rPr>
            </w:pPr>
            <w:r w:rsidRPr="00AC09B3">
              <w:rPr>
                <w:rFonts w:ascii="Arial" w:hAnsi="Arial" w:cs="Arial"/>
                <w:sz w:val="22"/>
                <w:szCs w:val="22"/>
              </w:rPr>
              <w:t>Audience publique du 21 mai 2015</w:t>
            </w:r>
          </w:p>
          <w:p w:rsidR="00AC09B3" w:rsidRPr="00AC09B3" w:rsidRDefault="00AC09B3" w:rsidP="000B666F">
            <w:pPr>
              <w:ind w:right="1485" w:firstLine="0"/>
              <w:jc w:val="center"/>
              <w:rPr>
                <w:rFonts w:ascii="Arial" w:hAnsi="Arial" w:cs="Arial"/>
                <w:sz w:val="22"/>
                <w:szCs w:val="22"/>
              </w:rPr>
            </w:pPr>
          </w:p>
          <w:p w:rsidR="00AC09B3" w:rsidRPr="00AC09B3" w:rsidRDefault="00AC09B3" w:rsidP="000B666F">
            <w:pPr>
              <w:ind w:right="1485" w:firstLine="0"/>
              <w:jc w:val="center"/>
              <w:rPr>
                <w:rFonts w:ascii="Arial" w:hAnsi="Arial" w:cs="Arial"/>
                <w:i/>
                <w:sz w:val="22"/>
                <w:szCs w:val="22"/>
              </w:rPr>
            </w:pPr>
            <w:r w:rsidRPr="00AC09B3">
              <w:rPr>
                <w:rFonts w:ascii="Arial" w:hAnsi="Arial" w:cs="Arial"/>
                <w:sz w:val="22"/>
                <w:szCs w:val="22"/>
              </w:rPr>
              <w:t>Prononcé du 11 juin 2015</w:t>
            </w:r>
          </w:p>
          <w:p w:rsidR="00AC09B3" w:rsidRPr="00AC09B3" w:rsidRDefault="00AC09B3" w:rsidP="00AC09B3">
            <w:pPr>
              <w:jc w:val="left"/>
              <w:rPr>
                <w:rFonts w:ascii="Arial" w:hAnsi="Arial" w:cs="Arial"/>
                <w:sz w:val="22"/>
                <w:szCs w:val="22"/>
              </w:rPr>
            </w:pPr>
          </w:p>
        </w:tc>
        <w:tc>
          <w:tcPr>
            <w:tcW w:w="5211" w:type="dxa"/>
          </w:tcPr>
          <w:p w:rsidR="00AC09B3" w:rsidRPr="00AC09B3" w:rsidRDefault="00AC09B3" w:rsidP="00AC09B3">
            <w:pPr>
              <w:spacing w:line="216" w:lineRule="atLeast"/>
              <w:ind w:firstLine="0"/>
              <w:jc w:val="left"/>
              <w:rPr>
                <w:rFonts w:ascii="Arial" w:eastAsia="Arial" w:hAnsi="Arial"/>
                <w:sz w:val="22"/>
                <w:szCs w:val="22"/>
                <w:lang w:eastAsia="en-US"/>
              </w:rPr>
            </w:pPr>
            <w:r w:rsidRPr="00AC09B3">
              <w:rPr>
                <w:rFonts w:ascii="Arial" w:eastAsia="Arial" w:hAnsi="Arial"/>
                <w:sz w:val="22"/>
                <w:szCs w:val="22"/>
                <w:lang w:eastAsia="en-US"/>
              </w:rPr>
              <w:t>SYNDICAT INTERCOMMUNAL D’ADDUCTION D’EAU POTABLE (SIAEP) D’ORIGNY-EN-THIÉRACHE</w:t>
            </w:r>
            <w:r>
              <w:rPr>
                <w:rFonts w:ascii="Arial" w:eastAsia="Arial" w:hAnsi="Arial"/>
                <w:sz w:val="22"/>
                <w:szCs w:val="22"/>
                <w:lang w:eastAsia="en-US"/>
              </w:rPr>
              <w:t xml:space="preserve"> </w:t>
            </w:r>
            <w:r w:rsidRPr="00AC09B3">
              <w:rPr>
                <w:rFonts w:ascii="Arial" w:eastAsia="Arial" w:hAnsi="Arial"/>
                <w:sz w:val="22"/>
                <w:szCs w:val="22"/>
                <w:lang w:eastAsia="en-US"/>
              </w:rPr>
              <w:t>(AISNE)</w:t>
            </w:r>
          </w:p>
          <w:p w:rsidR="00AC09B3" w:rsidRPr="00AC09B3" w:rsidRDefault="00AC09B3" w:rsidP="00AC09B3">
            <w:pPr>
              <w:spacing w:line="216" w:lineRule="atLeast"/>
              <w:ind w:firstLine="0"/>
              <w:jc w:val="left"/>
              <w:rPr>
                <w:rFonts w:ascii="Arial" w:eastAsia="Arial" w:hAnsi="Arial"/>
                <w:sz w:val="22"/>
                <w:szCs w:val="22"/>
                <w:lang w:eastAsia="en-US"/>
              </w:rPr>
            </w:pPr>
          </w:p>
          <w:p w:rsidR="00AC09B3" w:rsidRPr="00AC09B3" w:rsidRDefault="00AC09B3" w:rsidP="00AC09B3">
            <w:pPr>
              <w:spacing w:line="216" w:lineRule="atLeast"/>
              <w:ind w:firstLine="0"/>
              <w:jc w:val="left"/>
              <w:rPr>
                <w:rFonts w:ascii="Arial" w:eastAsia="Arial" w:hAnsi="Arial"/>
                <w:sz w:val="22"/>
                <w:szCs w:val="22"/>
                <w:lang w:eastAsia="en-US"/>
              </w:rPr>
            </w:pPr>
            <w:r w:rsidRPr="00AC09B3">
              <w:rPr>
                <w:rFonts w:ascii="Arial" w:eastAsia="Arial" w:hAnsi="Arial"/>
                <w:sz w:val="22"/>
                <w:szCs w:val="22"/>
                <w:lang w:eastAsia="en-US"/>
              </w:rPr>
              <w:t xml:space="preserve">Appel d’un jugement de la chambre régionale </w:t>
            </w:r>
            <w:r w:rsidRPr="00AC09B3">
              <w:rPr>
                <w:rFonts w:ascii="Arial" w:eastAsia="Arial" w:hAnsi="Arial"/>
                <w:sz w:val="22"/>
                <w:szCs w:val="22"/>
                <w:lang w:eastAsia="en-US"/>
              </w:rPr>
              <w:br/>
              <w:t>des comptes de Nord – Pas-de-Calais, Picardie</w:t>
            </w:r>
          </w:p>
          <w:p w:rsidR="00AC09B3" w:rsidRPr="00AC09B3" w:rsidRDefault="00AC09B3" w:rsidP="00AC09B3">
            <w:pPr>
              <w:spacing w:line="216" w:lineRule="atLeast"/>
              <w:ind w:firstLine="0"/>
              <w:jc w:val="left"/>
              <w:rPr>
                <w:rFonts w:ascii="Arial" w:eastAsia="Arial" w:hAnsi="Arial"/>
                <w:sz w:val="22"/>
                <w:szCs w:val="22"/>
                <w:lang w:eastAsia="en-US"/>
              </w:rPr>
            </w:pPr>
          </w:p>
          <w:p w:rsidR="00AC09B3" w:rsidRPr="00AC09B3" w:rsidRDefault="00AC09B3" w:rsidP="00AC09B3">
            <w:pPr>
              <w:ind w:firstLine="0"/>
              <w:rPr>
                <w:rFonts w:ascii="Arial" w:hAnsi="Arial" w:cs="Arial"/>
                <w:sz w:val="22"/>
                <w:szCs w:val="22"/>
              </w:rPr>
            </w:pPr>
            <w:r w:rsidRPr="00AC09B3">
              <w:rPr>
                <w:rFonts w:ascii="Arial" w:eastAsia="Arial" w:hAnsi="Arial"/>
                <w:sz w:val="22"/>
                <w:szCs w:val="22"/>
                <w:lang w:eastAsia="en-US"/>
              </w:rPr>
              <w:t>Rapport n° 2015-122-0</w:t>
            </w:r>
          </w:p>
        </w:tc>
      </w:tr>
    </w:tbl>
    <w:p w:rsidR="00AC09B3" w:rsidRDefault="00AC09B3" w:rsidP="001B450C">
      <w:pPr>
        <w:spacing w:after="80"/>
        <w:ind w:right="6237" w:firstLine="0"/>
        <w:jc w:val="center"/>
        <w:rPr>
          <w:rFonts w:ascii="Arial" w:hAnsi="Arial" w:cs="Arial"/>
        </w:rPr>
      </w:pPr>
    </w:p>
    <w:p w:rsidR="00AC09B3" w:rsidRPr="00AC09B3" w:rsidRDefault="00AC09B3" w:rsidP="00AC09B3">
      <w:pPr>
        <w:tabs>
          <w:tab w:val="center" w:pos="9072"/>
        </w:tabs>
        <w:spacing w:after="120"/>
        <w:ind w:firstLine="0"/>
        <w:jc w:val="center"/>
        <w:rPr>
          <w:rFonts w:ascii="Arial" w:hAnsi="Arial" w:cs="Arial"/>
        </w:rPr>
      </w:pPr>
      <w:r w:rsidRPr="00AC09B3">
        <w:rPr>
          <w:rFonts w:ascii="Arial" w:hAnsi="Arial" w:cs="Arial"/>
        </w:rPr>
        <w:t>République Française,</w:t>
      </w:r>
    </w:p>
    <w:p w:rsidR="00AC09B3" w:rsidRPr="00AC09B3" w:rsidRDefault="00AC09B3" w:rsidP="00AC09B3">
      <w:pPr>
        <w:tabs>
          <w:tab w:val="center" w:pos="9072"/>
        </w:tabs>
        <w:ind w:firstLine="0"/>
        <w:jc w:val="center"/>
        <w:rPr>
          <w:rFonts w:ascii="Arial" w:hAnsi="Arial" w:cs="Arial"/>
        </w:rPr>
      </w:pPr>
      <w:r w:rsidRPr="00AC09B3">
        <w:rPr>
          <w:rFonts w:ascii="Arial" w:hAnsi="Arial" w:cs="Arial"/>
        </w:rPr>
        <w:t>Au nom du peuple français,</w:t>
      </w:r>
    </w:p>
    <w:p w:rsidR="00AC09B3" w:rsidRPr="00AC09B3" w:rsidRDefault="00AC09B3" w:rsidP="00AC09B3">
      <w:pPr>
        <w:tabs>
          <w:tab w:val="center" w:pos="9072"/>
        </w:tabs>
        <w:ind w:firstLine="0"/>
        <w:jc w:val="center"/>
        <w:rPr>
          <w:rFonts w:ascii="Arial" w:hAnsi="Arial" w:cs="Arial"/>
        </w:rPr>
      </w:pPr>
    </w:p>
    <w:p w:rsidR="00AC09B3" w:rsidRPr="00AC09B3" w:rsidRDefault="00AC09B3" w:rsidP="00AC09B3">
      <w:pPr>
        <w:tabs>
          <w:tab w:val="center" w:pos="9072"/>
        </w:tabs>
        <w:ind w:firstLine="0"/>
        <w:jc w:val="center"/>
        <w:rPr>
          <w:rFonts w:ascii="Arial" w:hAnsi="Arial" w:cs="Arial"/>
        </w:rPr>
      </w:pPr>
    </w:p>
    <w:p w:rsidR="00AC09B3" w:rsidRPr="00AC09B3" w:rsidRDefault="00AC09B3" w:rsidP="00AC09B3">
      <w:pPr>
        <w:widowControl w:val="0"/>
        <w:spacing w:after="80"/>
        <w:ind w:left="1538" w:right="-3" w:hanging="1538"/>
        <w:jc w:val="center"/>
        <w:rPr>
          <w:rFonts w:ascii="Arial" w:hAnsi="Arial" w:cs="Arial"/>
          <w:w w:val="110"/>
          <w:lang w:eastAsia="en-US"/>
        </w:rPr>
      </w:pPr>
      <w:r w:rsidRPr="00AC09B3">
        <w:rPr>
          <w:rFonts w:ascii="Arial" w:hAnsi="Arial" w:cs="Arial"/>
          <w:w w:val="110"/>
          <w:lang w:eastAsia="en-US"/>
        </w:rPr>
        <w:t>La Cour,</w:t>
      </w:r>
    </w:p>
    <w:p w:rsidR="00E84E46" w:rsidRDefault="00A869EB" w:rsidP="00E84E46">
      <w:pPr>
        <w:spacing w:after="80"/>
        <w:rPr>
          <w:rFonts w:ascii="Arial" w:hAnsi="Arial" w:cs="Arial"/>
        </w:rPr>
      </w:pPr>
      <w:r>
        <w:rPr>
          <w:rFonts w:ascii="Arial" w:hAnsi="Arial" w:cs="Arial"/>
        </w:rPr>
        <w:t xml:space="preserve">                             </w:t>
      </w:r>
    </w:p>
    <w:p w:rsidR="00A57C30" w:rsidRPr="00A869EB" w:rsidRDefault="00A57C30" w:rsidP="00E84E46">
      <w:pPr>
        <w:spacing w:after="80"/>
        <w:rPr>
          <w:rFonts w:ascii="Arial" w:hAnsi="Arial" w:cs="Arial"/>
        </w:rPr>
      </w:pPr>
    </w:p>
    <w:p w:rsidR="00E84E46" w:rsidRPr="00AC09B3" w:rsidRDefault="00E84E46" w:rsidP="00AC09B3">
      <w:pPr>
        <w:spacing w:after="240"/>
        <w:ind w:firstLine="0"/>
        <w:rPr>
          <w:rFonts w:ascii="Arial" w:hAnsi="Arial" w:cs="Arial"/>
          <w:sz w:val="22"/>
          <w:szCs w:val="22"/>
        </w:rPr>
      </w:pPr>
      <w:r w:rsidRPr="00AC09B3">
        <w:rPr>
          <w:rFonts w:ascii="Arial" w:hAnsi="Arial" w:cs="Arial"/>
          <w:sz w:val="22"/>
          <w:szCs w:val="22"/>
        </w:rPr>
        <w:t xml:space="preserve">Vu </w:t>
      </w:r>
      <w:r w:rsidR="004E40FD" w:rsidRPr="00AC09B3">
        <w:rPr>
          <w:rFonts w:ascii="Arial" w:hAnsi="Arial" w:cs="Arial"/>
          <w:sz w:val="22"/>
          <w:szCs w:val="22"/>
        </w:rPr>
        <w:t>la requête enregistrée le 12 septembre 2014 au greffe de la chambre régionale des comptes (CRC) de Nord</w:t>
      </w:r>
      <w:r w:rsidR="000B666F">
        <w:rPr>
          <w:rFonts w:ascii="Arial" w:hAnsi="Arial" w:cs="Arial"/>
          <w:sz w:val="22"/>
          <w:szCs w:val="22"/>
        </w:rPr>
        <w:t>-</w:t>
      </w:r>
      <w:r w:rsidR="004E40FD" w:rsidRPr="00AC09B3">
        <w:rPr>
          <w:rFonts w:ascii="Arial" w:hAnsi="Arial" w:cs="Arial"/>
          <w:sz w:val="22"/>
          <w:szCs w:val="22"/>
        </w:rPr>
        <w:t xml:space="preserve">Pas-de-Calais, Picardie par laquelle </w:t>
      </w:r>
      <w:r w:rsidR="00F160F8">
        <w:rPr>
          <w:rFonts w:ascii="Arial" w:hAnsi="Arial" w:cs="Arial"/>
          <w:sz w:val="22"/>
          <w:szCs w:val="22"/>
        </w:rPr>
        <w:t>M. X</w:t>
      </w:r>
      <w:r w:rsidR="004E40FD" w:rsidRPr="00AC09B3">
        <w:rPr>
          <w:rFonts w:ascii="Arial" w:hAnsi="Arial" w:cs="Arial"/>
          <w:sz w:val="22"/>
          <w:szCs w:val="22"/>
        </w:rPr>
        <w:t xml:space="preserve">, comptable du syndicat intercommunal d’adduction en eau potable (SIAEP) d’Origny-en-Thiérache au cours des exercices 2009 à 2011, a interjeté appel du jugement n° 2014-0021 du 5 </w:t>
      </w:r>
      <w:r w:rsidR="00E22BDF" w:rsidRPr="00AC09B3">
        <w:rPr>
          <w:rFonts w:ascii="Arial" w:hAnsi="Arial" w:cs="Arial"/>
          <w:sz w:val="22"/>
          <w:szCs w:val="22"/>
        </w:rPr>
        <w:t>juin 2014 de ladite CRC qui l’a constitué débiteur envers le SIAEP du montant</w:t>
      </w:r>
      <w:r w:rsidR="004E40FD" w:rsidRPr="00AC09B3">
        <w:rPr>
          <w:rFonts w:ascii="Arial" w:hAnsi="Arial" w:cs="Arial"/>
          <w:sz w:val="22"/>
          <w:szCs w:val="22"/>
        </w:rPr>
        <w:t xml:space="preserve"> du titr</w:t>
      </w:r>
      <w:r w:rsidR="00E22BDF" w:rsidRPr="00AC09B3">
        <w:rPr>
          <w:rFonts w:ascii="Arial" w:hAnsi="Arial" w:cs="Arial"/>
          <w:sz w:val="22"/>
          <w:szCs w:val="22"/>
        </w:rPr>
        <w:t>e n° 7/2005 non recouvré,</w:t>
      </w:r>
      <w:r w:rsidR="004E40FD" w:rsidRPr="00AC09B3">
        <w:rPr>
          <w:rFonts w:ascii="Arial" w:hAnsi="Arial" w:cs="Arial"/>
          <w:sz w:val="22"/>
          <w:szCs w:val="22"/>
        </w:rPr>
        <w:t xml:space="preserve"> soit 1</w:t>
      </w:r>
      <w:r w:rsidR="000B666F">
        <w:rPr>
          <w:rFonts w:ascii="Arial" w:hAnsi="Arial" w:cs="Arial"/>
          <w:sz w:val="22"/>
          <w:szCs w:val="22"/>
        </w:rPr>
        <w:t> </w:t>
      </w:r>
      <w:r w:rsidR="004E40FD" w:rsidRPr="00AC09B3">
        <w:rPr>
          <w:rFonts w:ascii="Arial" w:hAnsi="Arial" w:cs="Arial"/>
          <w:sz w:val="22"/>
          <w:szCs w:val="22"/>
        </w:rPr>
        <w:t>432,78</w:t>
      </w:r>
      <w:r w:rsidR="000B666F">
        <w:rPr>
          <w:rFonts w:ascii="Arial" w:hAnsi="Arial" w:cs="Arial"/>
          <w:sz w:val="22"/>
          <w:szCs w:val="22"/>
        </w:rPr>
        <w:t> </w:t>
      </w:r>
      <w:r w:rsidR="004E40FD" w:rsidRPr="00AC09B3">
        <w:rPr>
          <w:rFonts w:ascii="Arial" w:hAnsi="Arial" w:cs="Arial"/>
          <w:sz w:val="22"/>
          <w:szCs w:val="22"/>
        </w:rPr>
        <w:t>€, augmenté des intérêts de droit calculés au taux légal à compter du 27 décembre 2013, date de la notification à ce comptable du réquisitoire du procureur financier près la CRC ;</w:t>
      </w:r>
    </w:p>
    <w:p w:rsidR="00E84E46" w:rsidRPr="00AC09B3" w:rsidRDefault="00E84E46" w:rsidP="00AC09B3">
      <w:pPr>
        <w:spacing w:after="240"/>
        <w:ind w:firstLine="0"/>
        <w:rPr>
          <w:rFonts w:ascii="Arial" w:hAnsi="Arial" w:cs="Arial"/>
          <w:sz w:val="22"/>
          <w:szCs w:val="22"/>
        </w:rPr>
      </w:pPr>
      <w:r w:rsidRPr="00AC09B3">
        <w:rPr>
          <w:rFonts w:ascii="Arial" w:hAnsi="Arial" w:cs="Arial"/>
          <w:sz w:val="22"/>
          <w:szCs w:val="22"/>
        </w:rPr>
        <w:t>Vu le ré</w:t>
      </w:r>
      <w:r w:rsidR="00E22BDF" w:rsidRPr="00AC09B3">
        <w:rPr>
          <w:rFonts w:ascii="Arial" w:hAnsi="Arial" w:cs="Arial"/>
          <w:sz w:val="22"/>
          <w:szCs w:val="22"/>
        </w:rPr>
        <w:t>quisitoire</w:t>
      </w:r>
      <w:r w:rsidR="007C610B" w:rsidRPr="00AC09B3">
        <w:rPr>
          <w:rFonts w:ascii="Arial" w:hAnsi="Arial" w:cs="Arial"/>
          <w:sz w:val="22"/>
          <w:szCs w:val="22"/>
        </w:rPr>
        <w:t xml:space="preserve"> du Procureur général près la Cour des comptes</w:t>
      </w:r>
      <w:r w:rsidRPr="00AC09B3">
        <w:rPr>
          <w:rFonts w:ascii="Arial" w:hAnsi="Arial" w:cs="Arial"/>
          <w:sz w:val="22"/>
          <w:szCs w:val="22"/>
        </w:rPr>
        <w:t xml:space="preserve"> n°</w:t>
      </w:r>
      <w:r w:rsidR="00F11CEB" w:rsidRPr="00AC09B3">
        <w:rPr>
          <w:rFonts w:ascii="Arial" w:hAnsi="Arial" w:cs="Arial"/>
          <w:sz w:val="22"/>
          <w:szCs w:val="22"/>
        </w:rPr>
        <w:t xml:space="preserve"> </w:t>
      </w:r>
      <w:r w:rsidR="004E40FD" w:rsidRPr="00AC09B3">
        <w:rPr>
          <w:rFonts w:ascii="Arial" w:hAnsi="Arial" w:cs="Arial"/>
          <w:sz w:val="22"/>
          <w:szCs w:val="22"/>
        </w:rPr>
        <w:t>2014-1</w:t>
      </w:r>
      <w:r w:rsidR="00E22BDF" w:rsidRPr="00AC09B3">
        <w:rPr>
          <w:rFonts w:ascii="Arial" w:hAnsi="Arial" w:cs="Arial"/>
          <w:sz w:val="22"/>
          <w:szCs w:val="22"/>
        </w:rPr>
        <w:t>15 du 30 octobre 2014</w:t>
      </w:r>
      <w:r w:rsidR="007C610B" w:rsidRPr="00AC09B3">
        <w:rPr>
          <w:rFonts w:ascii="Arial" w:hAnsi="Arial" w:cs="Arial"/>
          <w:sz w:val="22"/>
          <w:szCs w:val="22"/>
        </w:rPr>
        <w:t xml:space="preserve"> transmettant à la Cour la requête précitée</w:t>
      </w:r>
      <w:r w:rsidR="000B666F">
        <w:rPr>
          <w:rFonts w:ascii="Arial" w:hAnsi="Arial" w:cs="Arial"/>
          <w:sz w:val="22"/>
          <w:szCs w:val="22"/>
        </w:rPr>
        <w:t> </w:t>
      </w:r>
      <w:r w:rsidRPr="00AC09B3">
        <w:rPr>
          <w:rFonts w:ascii="Arial" w:hAnsi="Arial" w:cs="Arial"/>
          <w:sz w:val="22"/>
          <w:szCs w:val="22"/>
        </w:rPr>
        <w:t>;</w:t>
      </w:r>
    </w:p>
    <w:p w:rsidR="00E84E46" w:rsidRPr="00AC09B3" w:rsidRDefault="00E84E46" w:rsidP="00AC09B3">
      <w:pPr>
        <w:spacing w:after="240"/>
        <w:ind w:firstLine="0"/>
        <w:rPr>
          <w:rFonts w:ascii="Arial" w:hAnsi="Arial" w:cs="Arial"/>
          <w:sz w:val="22"/>
          <w:szCs w:val="22"/>
        </w:rPr>
      </w:pPr>
      <w:r w:rsidRPr="00AC09B3">
        <w:rPr>
          <w:rFonts w:ascii="Arial" w:hAnsi="Arial" w:cs="Arial"/>
          <w:sz w:val="22"/>
          <w:szCs w:val="22"/>
        </w:rPr>
        <w:t>Vu les pièces de la procéd</w:t>
      </w:r>
      <w:r w:rsidR="00E83C90" w:rsidRPr="00AC09B3">
        <w:rPr>
          <w:rFonts w:ascii="Arial" w:hAnsi="Arial" w:cs="Arial"/>
          <w:sz w:val="22"/>
          <w:szCs w:val="22"/>
        </w:rPr>
        <w:t xml:space="preserve">ure suivie en première instance, notamment le réquisitoire du procureur financier du </w:t>
      </w:r>
      <w:r w:rsidR="004E40FD" w:rsidRPr="00AC09B3">
        <w:rPr>
          <w:rFonts w:ascii="Arial" w:hAnsi="Arial" w:cs="Arial"/>
          <w:sz w:val="22"/>
          <w:szCs w:val="22"/>
        </w:rPr>
        <w:t>10 décembre</w:t>
      </w:r>
      <w:r w:rsidR="00E83C90" w:rsidRPr="00AC09B3">
        <w:rPr>
          <w:rFonts w:ascii="Arial" w:hAnsi="Arial" w:cs="Arial"/>
          <w:sz w:val="22"/>
          <w:szCs w:val="22"/>
        </w:rPr>
        <w:t xml:space="preserve"> 2013</w:t>
      </w:r>
      <w:r w:rsidR="000B666F">
        <w:rPr>
          <w:rFonts w:ascii="Arial" w:hAnsi="Arial" w:cs="Arial"/>
          <w:sz w:val="22"/>
          <w:szCs w:val="22"/>
        </w:rPr>
        <w:t> </w:t>
      </w:r>
      <w:r w:rsidRPr="00AC09B3">
        <w:rPr>
          <w:rFonts w:ascii="Arial" w:hAnsi="Arial" w:cs="Arial"/>
          <w:sz w:val="22"/>
          <w:szCs w:val="22"/>
        </w:rPr>
        <w:t>;</w:t>
      </w:r>
    </w:p>
    <w:p w:rsidR="00A72FCE" w:rsidRPr="00AC09B3" w:rsidRDefault="00A72FCE" w:rsidP="00AC09B3">
      <w:pPr>
        <w:spacing w:after="240"/>
        <w:ind w:firstLine="0"/>
        <w:rPr>
          <w:rFonts w:ascii="Arial" w:hAnsi="Arial" w:cs="Arial"/>
          <w:sz w:val="22"/>
          <w:szCs w:val="22"/>
        </w:rPr>
      </w:pPr>
      <w:r w:rsidRPr="00AC09B3">
        <w:rPr>
          <w:rFonts w:ascii="Arial" w:hAnsi="Arial" w:cs="Arial"/>
          <w:sz w:val="22"/>
          <w:szCs w:val="22"/>
        </w:rPr>
        <w:t xml:space="preserve">Vu le code général des collectivités territoriales, et notamment </w:t>
      </w:r>
      <w:r w:rsidR="00212EED" w:rsidRPr="00AC09B3">
        <w:rPr>
          <w:rFonts w:ascii="Arial" w:hAnsi="Arial" w:cs="Arial"/>
          <w:sz w:val="22"/>
          <w:szCs w:val="22"/>
        </w:rPr>
        <w:t xml:space="preserve">son article </w:t>
      </w:r>
      <w:r w:rsidR="00F83EDE" w:rsidRPr="00AC09B3">
        <w:rPr>
          <w:rFonts w:ascii="Arial" w:hAnsi="Arial" w:cs="Arial"/>
          <w:sz w:val="22"/>
          <w:szCs w:val="22"/>
        </w:rPr>
        <w:t>L</w:t>
      </w:r>
      <w:r w:rsidR="004E40FD" w:rsidRPr="00AC09B3">
        <w:rPr>
          <w:rFonts w:ascii="Arial" w:hAnsi="Arial" w:cs="Arial"/>
          <w:sz w:val="22"/>
          <w:szCs w:val="22"/>
        </w:rPr>
        <w:t>. 1617-5</w:t>
      </w:r>
      <w:r w:rsidR="00E63F31" w:rsidRPr="00AC09B3">
        <w:rPr>
          <w:rFonts w:ascii="Arial" w:hAnsi="Arial" w:cs="Arial"/>
          <w:sz w:val="22"/>
          <w:szCs w:val="22"/>
        </w:rPr>
        <w:t> ;</w:t>
      </w:r>
    </w:p>
    <w:p w:rsidR="00E63F31" w:rsidRPr="00AC09B3" w:rsidRDefault="004E40FD" w:rsidP="00AC09B3">
      <w:pPr>
        <w:spacing w:after="240"/>
        <w:ind w:firstLine="0"/>
        <w:rPr>
          <w:rFonts w:ascii="Arial" w:hAnsi="Arial" w:cs="Arial"/>
          <w:sz w:val="22"/>
          <w:szCs w:val="22"/>
        </w:rPr>
      </w:pPr>
      <w:r w:rsidRPr="00AC09B3">
        <w:rPr>
          <w:rFonts w:ascii="Arial" w:hAnsi="Arial" w:cs="Arial"/>
          <w:sz w:val="22"/>
          <w:szCs w:val="22"/>
        </w:rPr>
        <w:t>Vu l’article 60 de la loi de finances n° 63-156 du 23 février 1963 modifiée</w:t>
      </w:r>
      <w:r w:rsidR="000B666F">
        <w:rPr>
          <w:rFonts w:ascii="Arial" w:hAnsi="Arial" w:cs="Arial"/>
          <w:sz w:val="22"/>
          <w:szCs w:val="22"/>
        </w:rPr>
        <w:t> ;</w:t>
      </w:r>
    </w:p>
    <w:p w:rsidR="00E63F31" w:rsidRPr="00AC09B3" w:rsidRDefault="00E63F31" w:rsidP="00AC09B3">
      <w:pPr>
        <w:spacing w:after="240"/>
        <w:ind w:firstLine="0"/>
        <w:rPr>
          <w:rFonts w:ascii="Arial" w:hAnsi="Arial" w:cs="Arial"/>
          <w:sz w:val="22"/>
          <w:szCs w:val="22"/>
        </w:rPr>
      </w:pPr>
      <w:r w:rsidRPr="00AC09B3">
        <w:rPr>
          <w:rFonts w:ascii="Arial" w:hAnsi="Arial" w:cs="Arial"/>
          <w:sz w:val="22"/>
          <w:szCs w:val="22"/>
        </w:rPr>
        <w:t xml:space="preserve">Vu le décret n° </w:t>
      </w:r>
      <w:r w:rsidR="004E40FD" w:rsidRPr="00AC09B3">
        <w:rPr>
          <w:rFonts w:ascii="Arial" w:hAnsi="Arial" w:cs="Arial"/>
          <w:sz w:val="22"/>
          <w:szCs w:val="22"/>
        </w:rPr>
        <w:t>62-1587 du 29 décembre 1962 portant règlement général sur la comptabilité publique en vigueur au moment des faits</w:t>
      </w:r>
      <w:r w:rsidRPr="00AC09B3">
        <w:rPr>
          <w:rFonts w:ascii="Arial" w:hAnsi="Arial" w:cs="Arial"/>
          <w:sz w:val="22"/>
          <w:szCs w:val="22"/>
        </w:rPr>
        <w:t> ;</w:t>
      </w:r>
    </w:p>
    <w:p w:rsidR="00E84E46" w:rsidRPr="00AC09B3" w:rsidRDefault="00E84E46" w:rsidP="00AC09B3">
      <w:pPr>
        <w:spacing w:after="240"/>
        <w:ind w:firstLine="0"/>
        <w:rPr>
          <w:rFonts w:ascii="Arial" w:hAnsi="Arial" w:cs="Arial"/>
          <w:sz w:val="22"/>
          <w:szCs w:val="22"/>
        </w:rPr>
      </w:pPr>
      <w:r w:rsidRPr="00AC09B3">
        <w:rPr>
          <w:rFonts w:ascii="Arial" w:hAnsi="Arial" w:cs="Arial"/>
          <w:sz w:val="22"/>
          <w:szCs w:val="22"/>
        </w:rPr>
        <w:t>Vu le code des juridictions financières ;</w:t>
      </w:r>
    </w:p>
    <w:p w:rsidR="00E84E46" w:rsidRPr="00AC09B3" w:rsidRDefault="00E84E46" w:rsidP="00AC09B3">
      <w:pPr>
        <w:spacing w:after="240"/>
        <w:ind w:firstLine="0"/>
        <w:rPr>
          <w:rFonts w:ascii="Arial" w:hAnsi="Arial" w:cs="Arial"/>
          <w:sz w:val="22"/>
          <w:szCs w:val="22"/>
        </w:rPr>
      </w:pPr>
      <w:r w:rsidRPr="00AC09B3">
        <w:rPr>
          <w:rFonts w:ascii="Arial" w:hAnsi="Arial" w:cs="Arial"/>
          <w:sz w:val="22"/>
          <w:szCs w:val="22"/>
        </w:rPr>
        <w:t xml:space="preserve">Vu le rapport de M. </w:t>
      </w:r>
      <w:r w:rsidR="00E63F31" w:rsidRPr="00AC09B3">
        <w:rPr>
          <w:rFonts w:ascii="Arial" w:hAnsi="Arial" w:cs="Arial"/>
          <w:sz w:val="22"/>
          <w:szCs w:val="22"/>
        </w:rPr>
        <w:t>Jean-Yves B</w:t>
      </w:r>
      <w:r w:rsidR="00600182" w:rsidRPr="00AC09B3">
        <w:rPr>
          <w:rFonts w:ascii="Arial" w:hAnsi="Arial" w:cs="Arial"/>
          <w:sz w:val="22"/>
          <w:szCs w:val="22"/>
        </w:rPr>
        <w:t>ertucci</w:t>
      </w:r>
      <w:r w:rsidRPr="00AC09B3">
        <w:rPr>
          <w:rFonts w:ascii="Arial" w:hAnsi="Arial" w:cs="Arial"/>
          <w:sz w:val="22"/>
          <w:szCs w:val="22"/>
        </w:rPr>
        <w:t>, conseiller maître ;</w:t>
      </w:r>
    </w:p>
    <w:p w:rsidR="00A57C30" w:rsidRDefault="00A57C30" w:rsidP="00AC09B3">
      <w:pPr>
        <w:spacing w:after="240"/>
        <w:ind w:firstLine="0"/>
        <w:rPr>
          <w:rFonts w:ascii="Arial" w:hAnsi="Arial" w:cs="Arial"/>
          <w:sz w:val="22"/>
          <w:szCs w:val="22"/>
        </w:rPr>
      </w:pPr>
    </w:p>
    <w:p w:rsidR="00A57C30" w:rsidRDefault="00A57C30" w:rsidP="00AC09B3">
      <w:pPr>
        <w:spacing w:after="240"/>
        <w:ind w:firstLine="0"/>
        <w:rPr>
          <w:rFonts w:ascii="Arial" w:hAnsi="Arial" w:cs="Arial"/>
          <w:sz w:val="22"/>
          <w:szCs w:val="22"/>
        </w:rPr>
      </w:pPr>
    </w:p>
    <w:p w:rsidR="007C610B" w:rsidRPr="00AC09B3" w:rsidRDefault="007C610B" w:rsidP="00AC09B3">
      <w:pPr>
        <w:spacing w:after="240"/>
        <w:ind w:firstLine="0"/>
        <w:rPr>
          <w:rFonts w:ascii="Arial" w:hAnsi="Arial" w:cs="Arial"/>
          <w:sz w:val="22"/>
          <w:szCs w:val="22"/>
        </w:rPr>
      </w:pPr>
      <w:r w:rsidRPr="00AC09B3">
        <w:rPr>
          <w:rFonts w:ascii="Arial" w:hAnsi="Arial" w:cs="Arial"/>
          <w:sz w:val="22"/>
          <w:szCs w:val="22"/>
        </w:rPr>
        <w:t>Vu les mémoires complémentaires produits par le comptable</w:t>
      </w:r>
      <w:r w:rsidR="0040485F" w:rsidRPr="00AC09B3">
        <w:rPr>
          <w:rFonts w:ascii="Arial" w:hAnsi="Arial" w:cs="Arial"/>
          <w:sz w:val="22"/>
          <w:szCs w:val="22"/>
        </w:rPr>
        <w:t xml:space="preserve">, </w:t>
      </w:r>
      <w:r w:rsidR="00F160F8">
        <w:rPr>
          <w:rFonts w:ascii="Arial" w:hAnsi="Arial" w:cs="Arial"/>
          <w:sz w:val="22"/>
          <w:szCs w:val="22"/>
        </w:rPr>
        <w:t>M. X</w:t>
      </w:r>
      <w:r w:rsidR="0040485F" w:rsidRPr="00AC09B3">
        <w:rPr>
          <w:rFonts w:ascii="Arial" w:hAnsi="Arial" w:cs="Arial"/>
          <w:sz w:val="22"/>
          <w:szCs w:val="22"/>
        </w:rPr>
        <w:t>,</w:t>
      </w:r>
      <w:r w:rsidRPr="00AC09B3">
        <w:rPr>
          <w:rFonts w:ascii="Arial" w:hAnsi="Arial" w:cs="Arial"/>
          <w:sz w:val="22"/>
          <w:szCs w:val="22"/>
        </w:rPr>
        <w:t xml:space="preserve"> les 6 mars et 16 avril 2015 ;</w:t>
      </w:r>
    </w:p>
    <w:p w:rsidR="00E84E46" w:rsidRPr="00AC09B3" w:rsidRDefault="00E84E46" w:rsidP="00AC09B3">
      <w:pPr>
        <w:spacing w:after="240"/>
        <w:ind w:firstLine="0"/>
        <w:rPr>
          <w:rFonts w:ascii="Arial" w:hAnsi="Arial" w:cs="Arial"/>
          <w:sz w:val="22"/>
          <w:szCs w:val="22"/>
        </w:rPr>
      </w:pPr>
      <w:r w:rsidRPr="00AC09B3">
        <w:rPr>
          <w:rFonts w:ascii="Arial" w:hAnsi="Arial" w:cs="Arial"/>
          <w:sz w:val="22"/>
          <w:szCs w:val="22"/>
        </w:rPr>
        <w:t>Vu les conclusions du Procureur général n°</w:t>
      </w:r>
      <w:r w:rsidR="00E22BDF" w:rsidRPr="00AC09B3">
        <w:rPr>
          <w:rFonts w:ascii="Arial" w:hAnsi="Arial" w:cs="Arial"/>
          <w:sz w:val="22"/>
          <w:szCs w:val="22"/>
        </w:rPr>
        <w:t xml:space="preserve"> 287</w:t>
      </w:r>
      <w:r w:rsidRPr="00AC09B3">
        <w:rPr>
          <w:rFonts w:ascii="Arial" w:hAnsi="Arial" w:cs="Arial"/>
          <w:sz w:val="22"/>
          <w:szCs w:val="22"/>
        </w:rPr>
        <w:t xml:space="preserve"> du </w:t>
      </w:r>
      <w:r w:rsidR="00E22BDF" w:rsidRPr="00AC09B3">
        <w:rPr>
          <w:rFonts w:ascii="Arial" w:hAnsi="Arial" w:cs="Arial"/>
          <w:sz w:val="22"/>
          <w:szCs w:val="22"/>
        </w:rPr>
        <w:t>27 avril 2015</w:t>
      </w:r>
      <w:r w:rsidR="000B666F">
        <w:rPr>
          <w:rFonts w:ascii="Arial" w:hAnsi="Arial" w:cs="Arial"/>
          <w:sz w:val="22"/>
          <w:szCs w:val="22"/>
        </w:rPr>
        <w:t> ;</w:t>
      </w:r>
    </w:p>
    <w:p w:rsidR="00E84E46" w:rsidRPr="00AC09B3" w:rsidRDefault="00E84E46" w:rsidP="00AC09B3">
      <w:pPr>
        <w:spacing w:after="240"/>
        <w:ind w:firstLine="0"/>
        <w:rPr>
          <w:rFonts w:ascii="Arial" w:hAnsi="Arial" w:cs="Arial"/>
          <w:sz w:val="22"/>
          <w:szCs w:val="22"/>
        </w:rPr>
      </w:pPr>
      <w:r w:rsidRPr="00AC09B3">
        <w:rPr>
          <w:rFonts w:ascii="Arial" w:hAnsi="Arial" w:cs="Arial"/>
          <w:sz w:val="22"/>
          <w:szCs w:val="22"/>
        </w:rPr>
        <w:t xml:space="preserve">Entendu, lors de l’audience publique de ce jour, M. </w:t>
      </w:r>
      <w:r w:rsidR="00E63F31" w:rsidRPr="00AC09B3">
        <w:rPr>
          <w:rFonts w:ascii="Arial" w:hAnsi="Arial" w:cs="Arial"/>
          <w:sz w:val="22"/>
          <w:szCs w:val="22"/>
        </w:rPr>
        <w:t>Jean-Yves B</w:t>
      </w:r>
      <w:r w:rsidR="00600182" w:rsidRPr="00AC09B3">
        <w:rPr>
          <w:rFonts w:ascii="Arial" w:hAnsi="Arial" w:cs="Arial"/>
          <w:sz w:val="22"/>
          <w:szCs w:val="22"/>
        </w:rPr>
        <w:t>ertucci</w:t>
      </w:r>
      <w:r w:rsidRPr="00AC09B3">
        <w:rPr>
          <w:rFonts w:ascii="Arial" w:hAnsi="Arial" w:cs="Arial"/>
          <w:sz w:val="22"/>
          <w:szCs w:val="22"/>
        </w:rPr>
        <w:t>, en son r</w:t>
      </w:r>
      <w:r w:rsidR="00E22BDF" w:rsidRPr="00AC09B3">
        <w:rPr>
          <w:rFonts w:ascii="Arial" w:hAnsi="Arial" w:cs="Arial"/>
          <w:sz w:val="22"/>
          <w:szCs w:val="22"/>
        </w:rPr>
        <w:t>apport, M.</w:t>
      </w:r>
      <w:r w:rsidR="000B666F">
        <w:rPr>
          <w:rFonts w:ascii="Arial" w:hAnsi="Arial" w:cs="Arial"/>
          <w:sz w:val="22"/>
          <w:szCs w:val="22"/>
        </w:rPr>
        <w:t> </w:t>
      </w:r>
      <w:r w:rsidR="00413C9B" w:rsidRPr="00AC09B3">
        <w:rPr>
          <w:rFonts w:ascii="Arial" w:hAnsi="Arial" w:cs="Arial"/>
          <w:sz w:val="22"/>
          <w:szCs w:val="22"/>
        </w:rPr>
        <w:t>François Kruger</w:t>
      </w:r>
      <w:r w:rsidRPr="00AC09B3">
        <w:rPr>
          <w:rFonts w:ascii="Arial" w:hAnsi="Arial" w:cs="Arial"/>
          <w:sz w:val="22"/>
          <w:szCs w:val="22"/>
        </w:rPr>
        <w:t xml:space="preserve">, </w:t>
      </w:r>
      <w:r w:rsidR="00413C9B" w:rsidRPr="00AC09B3">
        <w:rPr>
          <w:rFonts w:ascii="Arial" w:hAnsi="Arial" w:cs="Arial"/>
          <w:sz w:val="22"/>
          <w:szCs w:val="22"/>
        </w:rPr>
        <w:t xml:space="preserve">premier </w:t>
      </w:r>
      <w:r w:rsidRPr="00AC09B3">
        <w:rPr>
          <w:rFonts w:ascii="Arial" w:hAnsi="Arial" w:cs="Arial"/>
          <w:sz w:val="22"/>
          <w:szCs w:val="22"/>
        </w:rPr>
        <w:t>avocat général, en les con</w:t>
      </w:r>
      <w:r w:rsidR="00E63F31" w:rsidRPr="00AC09B3">
        <w:rPr>
          <w:rFonts w:ascii="Arial" w:hAnsi="Arial" w:cs="Arial"/>
          <w:sz w:val="22"/>
          <w:szCs w:val="22"/>
        </w:rPr>
        <w:t>cl</w:t>
      </w:r>
      <w:r w:rsidR="002E696D" w:rsidRPr="00AC09B3">
        <w:rPr>
          <w:rFonts w:ascii="Arial" w:hAnsi="Arial" w:cs="Arial"/>
          <w:sz w:val="22"/>
          <w:szCs w:val="22"/>
        </w:rPr>
        <w:t>usions du ministère public</w:t>
      </w:r>
      <w:r w:rsidR="000B666F">
        <w:rPr>
          <w:rFonts w:ascii="Arial" w:hAnsi="Arial" w:cs="Arial"/>
          <w:sz w:val="22"/>
          <w:szCs w:val="22"/>
        </w:rPr>
        <w:t> </w:t>
      </w:r>
      <w:r w:rsidRPr="00AC09B3">
        <w:rPr>
          <w:rFonts w:ascii="Arial" w:hAnsi="Arial" w:cs="Arial"/>
          <w:sz w:val="22"/>
          <w:szCs w:val="22"/>
        </w:rPr>
        <w:t>;</w:t>
      </w:r>
    </w:p>
    <w:p w:rsidR="00266453" w:rsidRPr="00AC09B3" w:rsidRDefault="00413C9B" w:rsidP="00AC09B3">
      <w:pPr>
        <w:spacing w:after="240"/>
        <w:ind w:firstLine="0"/>
        <w:rPr>
          <w:rFonts w:ascii="Arial" w:hAnsi="Arial" w:cs="Arial"/>
          <w:sz w:val="22"/>
          <w:szCs w:val="22"/>
        </w:rPr>
      </w:pPr>
      <w:r w:rsidRPr="00AC09B3">
        <w:rPr>
          <w:rFonts w:ascii="Arial" w:hAnsi="Arial" w:cs="Arial"/>
          <w:sz w:val="22"/>
          <w:szCs w:val="22"/>
        </w:rPr>
        <w:t>E</w:t>
      </w:r>
      <w:r w:rsidR="006B01DB" w:rsidRPr="00AC09B3">
        <w:rPr>
          <w:rFonts w:ascii="Arial" w:hAnsi="Arial" w:cs="Arial"/>
          <w:sz w:val="22"/>
          <w:szCs w:val="22"/>
        </w:rPr>
        <w:t xml:space="preserve">ntendu en délibéré </w:t>
      </w:r>
      <w:r w:rsidR="000B666F" w:rsidRPr="000B666F">
        <w:rPr>
          <w:rFonts w:ascii="Arial" w:hAnsi="Arial" w:cs="Arial"/>
          <w:sz w:val="22"/>
          <w:szCs w:val="22"/>
        </w:rPr>
        <w:t>M</w:t>
      </w:r>
      <w:r w:rsidR="000B666F" w:rsidRPr="000B666F">
        <w:rPr>
          <w:rFonts w:ascii="Arial" w:hAnsi="Arial" w:cs="Arial"/>
          <w:sz w:val="22"/>
          <w:szCs w:val="22"/>
          <w:vertAlign w:val="superscript"/>
        </w:rPr>
        <w:t>me</w:t>
      </w:r>
      <w:r w:rsidR="000B666F">
        <w:rPr>
          <w:rFonts w:ascii="Arial" w:hAnsi="Arial" w:cs="Arial"/>
          <w:sz w:val="22"/>
          <w:szCs w:val="22"/>
        </w:rPr>
        <w:t> </w:t>
      </w:r>
      <w:r w:rsidRPr="00AC09B3">
        <w:rPr>
          <w:rFonts w:ascii="Arial" w:hAnsi="Arial" w:cs="Arial"/>
          <w:sz w:val="22"/>
          <w:szCs w:val="22"/>
        </w:rPr>
        <w:t>Anne Froment-Meurice, présidente de chambre maintenue</w:t>
      </w:r>
      <w:r w:rsidR="006B01DB" w:rsidRPr="00AC09B3">
        <w:rPr>
          <w:rFonts w:ascii="Arial" w:hAnsi="Arial" w:cs="Arial"/>
          <w:sz w:val="22"/>
          <w:szCs w:val="22"/>
        </w:rPr>
        <w:t xml:space="preserve">, en ses observations ; </w:t>
      </w:r>
    </w:p>
    <w:p w:rsidR="002F6584" w:rsidRPr="00AC09B3" w:rsidRDefault="002F6584" w:rsidP="00AC09B3">
      <w:pPr>
        <w:spacing w:after="80"/>
        <w:ind w:firstLine="0"/>
        <w:rPr>
          <w:rFonts w:ascii="Arial" w:hAnsi="Arial" w:cs="Arial"/>
          <w:sz w:val="22"/>
          <w:szCs w:val="22"/>
        </w:rPr>
      </w:pPr>
    </w:p>
    <w:p w:rsidR="007146AA" w:rsidRPr="00AC09B3" w:rsidRDefault="006B01DB" w:rsidP="00AC09B3">
      <w:pPr>
        <w:spacing w:after="240"/>
        <w:ind w:firstLine="0"/>
        <w:rPr>
          <w:rFonts w:ascii="Arial" w:hAnsi="Arial" w:cs="Arial"/>
          <w:sz w:val="22"/>
          <w:szCs w:val="22"/>
        </w:rPr>
      </w:pPr>
      <w:r w:rsidRPr="00AC09B3">
        <w:rPr>
          <w:rFonts w:ascii="Arial" w:hAnsi="Arial" w:cs="Arial"/>
          <w:sz w:val="22"/>
          <w:szCs w:val="22"/>
        </w:rPr>
        <w:t>Attendu que par le jugement n° 2014-0021 du 5 juin 2014 susvisé, la CRC de Nord</w:t>
      </w:r>
      <w:r w:rsidR="000B666F">
        <w:rPr>
          <w:rFonts w:ascii="Arial" w:hAnsi="Arial" w:cs="Arial"/>
          <w:sz w:val="22"/>
          <w:szCs w:val="22"/>
        </w:rPr>
        <w:t>-</w:t>
      </w:r>
      <w:r w:rsidRPr="00AC09B3">
        <w:rPr>
          <w:rFonts w:ascii="Arial" w:hAnsi="Arial" w:cs="Arial"/>
          <w:sz w:val="22"/>
          <w:szCs w:val="22"/>
        </w:rPr>
        <w:t xml:space="preserve">Pas-de-Calais, Picardie a constitué </w:t>
      </w:r>
      <w:r w:rsidR="00F160F8">
        <w:rPr>
          <w:rFonts w:ascii="Arial" w:hAnsi="Arial" w:cs="Arial"/>
          <w:sz w:val="22"/>
          <w:szCs w:val="22"/>
        </w:rPr>
        <w:t>M.</w:t>
      </w:r>
      <w:r w:rsidR="000B666F">
        <w:rPr>
          <w:rFonts w:ascii="Arial" w:hAnsi="Arial" w:cs="Arial"/>
          <w:sz w:val="22"/>
          <w:szCs w:val="22"/>
        </w:rPr>
        <w:t> </w:t>
      </w:r>
      <w:r w:rsidR="00F160F8">
        <w:rPr>
          <w:rFonts w:ascii="Arial" w:hAnsi="Arial" w:cs="Arial"/>
          <w:sz w:val="22"/>
          <w:szCs w:val="22"/>
        </w:rPr>
        <w:t>X</w:t>
      </w:r>
      <w:r w:rsidRPr="00AC09B3">
        <w:rPr>
          <w:rFonts w:ascii="Arial" w:hAnsi="Arial" w:cs="Arial"/>
          <w:sz w:val="22"/>
          <w:szCs w:val="22"/>
        </w:rPr>
        <w:t xml:space="preserve"> débiteur envers le SIAEP d’Orign</w:t>
      </w:r>
      <w:r w:rsidR="0057399B" w:rsidRPr="00AC09B3">
        <w:rPr>
          <w:rFonts w:ascii="Arial" w:hAnsi="Arial" w:cs="Arial"/>
          <w:sz w:val="22"/>
          <w:szCs w:val="22"/>
        </w:rPr>
        <w:t>y-en-</w:t>
      </w:r>
      <w:r w:rsidR="00AC09B3" w:rsidRPr="00AC09B3">
        <w:rPr>
          <w:rFonts w:ascii="Arial" w:hAnsi="Arial" w:cs="Arial"/>
          <w:sz w:val="22"/>
          <w:szCs w:val="22"/>
        </w:rPr>
        <w:t>Thiérache</w:t>
      </w:r>
      <w:r w:rsidR="0057399B" w:rsidRPr="00AC09B3">
        <w:rPr>
          <w:rFonts w:ascii="Arial" w:hAnsi="Arial" w:cs="Arial"/>
          <w:sz w:val="22"/>
          <w:szCs w:val="22"/>
        </w:rPr>
        <w:t xml:space="preserve"> de la somme de 1</w:t>
      </w:r>
      <w:r w:rsidR="000B666F">
        <w:rPr>
          <w:rFonts w:ascii="Arial" w:hAnsi="Arial" w:cs="Arial"/>
          <w:sz w:val="22"/>
          <w:szCs w:val="22"/>
        </w:rPr>
        <w:t> </w:t>
      </w:r>
      <w:r w:rsidRPr="00AC09B3">
        <w:rPr>
          <w:rFonts w:ascii="Arial" w:hAnsi="Arial" w:cs="Arial"/>
          <w:sz w:val="22"/>
          <w:szCs w:val="22"/>
        </w:rPr>
        <w:t>432,78</w:t>
      </w:r>
      <w:r w:rsidR="000B666F">
        <w:rPr>
          <w:rFonts w:ascii="Arial" w:hAnsi="Arial" w:cs="Arial"/>
          <w:sz w:val="22"/>
          <w:szCs w:val="22"/>
        </w:rPr>
        <w:t> </w:t>
      </w:r>
      <w:r w:rsidRPr="00AC09B3">
        <w:rPr>
          <w:rFonts w:ascii="Arial" w:hAnsi="Arial" w:cs="Arial"/>
          <w:sz w:val="22"/>
          <w:szCs w:val="22"/>
        </w:rPr>
        <w:t>€</w:t>
      </w:r>
      <w:r w:rsidR="00D554D9" w:rsidRPr="00AC09B3">
        <w:rPr>
          <w:rFonts w:ascii="Arial" w:hAnsi="Arial" w:cs="Arial"/>
          <w:sz w:val="22"/>
          <w:szCs w:val="22"/>
        </w:rPr>
        <w:t>, montant du titre n°</w:t>
      </w:r>
      <w:r w:rsidR="000B666F">
        <w:rPr>
          <w:rFonts w:ascii="Arial" w:hAnsi="Arial" w:cs="Arial"/>
          <w:sz w:val="22"/>
          <w:szCs w:val="22"/>
        </w:rPr>
        <w:t> </w:t>
      </w:r>
      <w:r w:rsidR="00D554D9" w:rsidRPr="00AC09B3">
        <w:rPr>
          <w:rFonts w:ascii="Arial" w:hAnsi="Arial" w:cs="Arial"/>
          <w:sz w:val="22"/>
          <w:szCs w:val="22"/>
        </w:rPr>
        <w:t>7/2005,</w:t>
      </w:r>
      <w:r w:rsidRPr="00AC09B3">
        <w:rPr>
          <w:rFonts w:ascii="Arial" w:hAnsi="Arial" w:cs="Arial"/>
          <w:sz w:val="22"/>
          <w:szCs w:val="22"/>
        </w:rPr>
        <w:t xml:space="preserve"> augmentée des intérêts de droit calculés à compter du 27 décembre 2013, au motif que « le comptable, entré en fonction le 2 janvier 2007, n’a effectué aucune réserve sur la gestion de son prédécesseur et n’a pas apporté la preuve d’actes interruptifs de la prescription pour le titre précité ; que du fait de cette absence de diligences, la prescription est intervenue le 6 septembre 2009, pendant sa gestion ; que la circonstance invoquée par le </w:t>
      </w:r>
      <w:r w:rsidR="007177A2" w:rsidRPr="00AC09B3">
        <w:rPr>
          <w:rFonts w:ascii="Arial" w:hAnsi="Arial" w:cs="Arial"/>
          <w:sz w:val="22"/>
          <w:szCs w:val="22"/>
        </w:rPr>
        <w:t>comptable du passage à Hé</w:t>
      </w:r>
      <w:r w:rsidRPr="00AC09B3">
        <w:rPr>
          <w:rFonts w:ascii="Arial" w:hAnsi="Arial" w:cs="Arial"/>
          <w:sz w:val="22"/>
          <w:szCs w:val="22"/>
        </w:rPr>
        <w:t xml:space="preserve">lios est inopérante, celle-ci étant intervenue postérieurement à la prescription ; qu’au surplus l’absence d’identification d’un débiteur consécutive à une défaillance </w:t>
      </w:r>
      <w:r w:rsidR="00511100" w:rsidRPr="00AC09B3">
        <w:rPr>
          <w:rFonts w:ascii="Arial" w:hAnsi="Arial" w:cs="Arial"/>
          <w:sz w:val="22"/>
          <w:szCs w:val="22"/>
        </w:rPr>
        <w:t>informatique ne saurait exonérer le comptable de se reporter aux pièces comptables archivées dont il doit assurer la conservation » ;</w:t>
      </w:r>
    </w:p>
    <w:p w:rsidR="00511100" w:rsidRPr="00AC09B3" w:rsidRDefault="00511100" w:rsidP="00AC09B3">
      <w:pPr>
        <w:spacing w:after="240"/>
        <w:ind w:firstLine="0"/>
        <w:rPr>
          <w:rFonts w:ascii="Arial" w:hAnsi="Arial" w:cs="Arial"/>
          <w:sz w:val="22"/>
          <w:szCs w:val="22"/>
        </w:rPr>
      </w:pPr>
      <w:r w:rsidRPr="00AC09B3">
        <w:rPr>
          <w:rFonts w:ascii="Arial" w:hAnsi="Arial" w:cs="Arial"/>
          <w:sz w:val="22"/>
          <w:szCs w:val="22"/>
        </w:rPr>
        <w:t xml:space="preserve">Attendu que l’appelant fait valoir qu’il n’est </w:t>
      </w:r>
      <w:r w:rsidR="004D24D9" w:rsidRPr="00AC09B3">
        <w:rPr>
          <w:rFonts w:ascii="Arial" w:hAnsi="Arial" w:cs="Arial"/>
          <w:sz w:val="22"/>
          <w:szCs w:val="22"/>
        </w:rPr>
        <w:t xml:space="preserve">pas </w:t>
      </w:r>
      <w:r w:rsidRPr="00AC09B3">
        <w:rPr>
          <w:rFonts w:ascii="Arial" w:hAnsi="Arial" w:cs="Arial"/>
          <w:sz w:val="22"/>
          <w:szCs w:val="22"/>
        </w:rPr>
        <w:t>resté inactif et a fait délivrer un commandement au débiteur du titre n° 7/2005 pris</w:t>
      </w:r>
      <w:r w:rsidR="002E696D" w:rsidRPr="00AC09B3">
        <w:rPr>
          <w:rFonts w:ascii="Arial" w:hAnsi="Arial" w:cs="Arial"/>
          <w:sz w:val="22"/>
          <w:szCs w:val="22"/>
        </w:rPr>
        <w:t xml:space="preserve"> en charge par son prédécesseur </w:t>
      </w:r>
      <w:r w:rsidRPr="00AC09B3">
        <w:rPr>
          <w:rFonts w:ascii="Arial" w:hAnsi="Arial" w:cs="Arial"/>
          <w:sz w:val="22"/>
          <w:szCs w:val="22"/>
        </w:rPr>
        <w:t>le 6</w:t>
      </w:r>
      <w:r w:rsidR="004D24D9" w:rsidRPr="00AC09B3">
        <w:rPr>
          <w:rFonts w:ascii="Arial" w:hAnsi="Arial" w:cs="Arial"/>
          <w:sz w:val="22"/>
          <w:szCs w:val="22"/>
        </w:rPr>
        <w:t xml:space="preserve"> septembre 2005</w:t>
      </w:r>
      <w:r w:rsidRPr="00AC09B3">
        <w:rPr>
          <w:rFonts w:ascii="Arial" w:hAnsi="Arial" w:cs="Arial"/>
          <w:sz w:val="22"/>
          <w:szCs w:val="22"/>
        </w:rPr>
        <w:t>, int</w:t>
      </w:r>
      <w:r w:rsidR="00551A1E" w:rsidRPr="00AC09B3">
        <w:rPr>
          <w:rFonts w:ascii="Arial" w:hAnsi="Arial" w:cs="Arial"/>
          <w:sz w:val="22"/>
          <w:szCs w:val="22"/>
        </w:rPr>
        <w:t>errompant ainsi la prescription</w:t>
      </w:r>
      <w:r w:rsidR="000B666F">
        <w:rPr>
          <w:rFonts w:ascii="Arial" w:hAnsi="Arial" w:cs="Arial"/>
          <w:sz w:val="22"/>
          <w:szCs w:val="22"/>
        </w:rPr>
        <w:t> ;</w:t>
      </w:r>
    </w:p>
    <w:p w:rsidR="00511100" w:rsidRPr="00AC09B3" w:rsidRDefault="00511100" w:rsidP="00AC09B3">
      <w:pPr>
        <w:spacing w:after="240"/>
        <w:ind w:firstLine="0"/>
        <w:rPr>
          <w:rFonts w:ascii="Arial" w:hAnsi="Arial" w:cs="Arial"/>
          <w:sz w:val="22"/>
          <w:szCs w:val="22"/>
        </w:rPr>
      </w:pPr>
      <w:r w:rsidRPr="00AC09B3">
        <w:rPr>
          <w:rFonts w:ascii="Arial" w:hAnsi="Arial" w:cs="Arial"/>
          <w:sz w:val="22"/>
          <w:szCs w:val="22"/>
        </w:rPr>
        <w:t>Attendu que, postérieurement au jugement attaqué, l’appelant a obtenu du président du SIAEP la production d’un bordereau de titres établissant que le débiteur du titre 7/2005 émis le 5 septembre 2005, pour un montant de 1</w:t>
      </w:r>
      <w:r w:rsidR="000B666F">
        <w:rPr>
          <w:rFonts w:ascii="Arial" w:hAnsi="Arial" w:cs="Arial"/>
          <w:sz w:val="22"/>
          <w:szCs w:val="22"/>
        </w:rPr>
        <w:t> </w:t>
      </w:r>
      <w:r w:rsidRPr="00AC09B3">
        <w:rPr>
          <w:rFonts w:ascii="Arial" w:hAnsi="Arial" w:cs="Arial"/>
          <w:sz w:val="22"/>
          <w:szCs w:val="22"/>
        </w:rPr>
        <w:t>432,78 €, était la société SFR, pour une « redevance 2004 » ;</w:t>
      </w:r>
    </w:p>
    <w:p w:rsidR="004E59FB" w:rsidRPr="00AC09B3" w:rsidRDefault="0040485F" w:rsidP="00AC09B3">
      <w:pPr>
        <w:spacing w:after="240"/>
        <w:ind w:firstLine="0"/>
        <w:rPr>
          <w:rFonts w:ascii="Arial" w:hAnsi="Arial" w:cs="Arial"/>
          <w:sz w:val="22"/>
          <w:szCs w:val="22"/>
        </w:rPr>
      </w:pPr>
      <w:r w:rsidRPr="00AC09B3">
        <w:rPr>
          <w:rFonts w:ascii="Arial" w:hAnsi="Arial" w:cs="Arial"/>
          <w:sz w:val="22"/>
          <w:szCs w:val="22"/>
        </w:rPr>
        <w:t>Attendu en revanche</w:t>
      </w:r>
      <w:r w:rsidR="00511100" w:rsidRPr="00AC09B3">
        <w:rPr>
          <w:rFonts w:ascii="Arial" w:hAnsi="Arial" w:cs="Arial"/>
          <w:sz w:val="22"/>
          <w:szCs w:val="22"/>
        </w:rPr>
        <w:t xml:space="preserve"> que l’appelant n’a pas été en mesure de prouver l’envoi d’un commandement à la société SFR au premier semestre 2009</w:t>
      </w:r>
      <w:r w:rsidR="004D24D9" w:rsidRPr="00AC09B3">
        <w:rPr>
          <w:rFonts w:ascii="Arial" w:hAnsi="Arial" w:cs="Arial"/>
          <w:sz w:val="22"/>
          <w:szCs w:val="22"/>
        </w:rPr>
        <w:t xml:space="preserve"> pour exiger le règlement de ce titre</w:t>
      </w:r>
      <w:r w:rsidR="00511100" w:rsidRPr="00AC09B3">
        <w:rPr>
          <w:rFonts w:ascii="Arial" w:hAnsi="Arial" w:cs="Arial"/>
          <w:sz w:val="22"/>
          <w:szCs w:val="22"/>
        </w:rPr>
        <w:t>, comme il soutient l’</w:t>
      </w:r>
      <w:r w:rsidR="004E59FB" w:rsidRPr="00AC09B3">
        <w:rPr>
          <w:rFonts w:ascii="Arial" w:hAnsi="Arial" w:cs="Arial"/>
          <w:sz w:val="22"/>
          <w:szCs w:val="22"/>
        </w:rPr>
        <w:t xml:space="preserve">avoir fait par </w:t>
      </w:r>
      <w:r w:rsidR="001A3C74" w:rsidRPr="00AC09B3">
        <w:rPr>
          <w:rFonts w:ascii="Arial" w:hAnsi="Arial" w:cs="Arial"/>
          <w:sz w:val="22"/>
          <w:szCs w:val="22"/>
        </w:rPr>
        <w:t>le tru</w:t>
      </w:r>
      <w:r w:rsidR="004D24D9" w:rsidRPr="00AC09B3">
        <w:rPr>
          <w:rFonts w:ascii="Arial" w:hAnsi="Arial" w:cs="Arial"/>
          <w:sz w:val="22"/>
          <w:szCs w:val="22"/>
        </w:rPr>
        <w:t xml:space="preserve">chement </w:t>
      </w:r>
      <w:r w:rsidR="004E59FB" w:rsidRPr="00AC09B3">
        <w:rPr>
          <w:rFonts w:ascii="Arial" w:hAnsi="Arial" w:cs="Arial"/>
          <w:sz w:val="22"/>
          <w:szCs w:val="22"/>
        </w:rPr>
        <w:t>de la direction des services informatiques Nord</w:t>
      </w:r>
      <w:r w:rsidR="000B666F">
        <w:rPr>
          <w:rFonts w:ascii="Arial" w:hAnsi="Arial" w:cs="Arial"/>
          <w:sz w:val="22"/>
          <w:szCs w:val="22"/>
        </w:rPr>
        <w:t>-</w:t>
      </w:r>
      <w:r w:rsidR="004E59FB" w:rsidRPr="00AC09B3">
        <w:rPr>
          <w:rFonts w:ascii="Arial" w:hAnsi="Arial" w:cs="Arial"/>
          <w:sz w:val="22"/>
          <w:szCs w:val="22"/>
        </w:rPr>
        <w:t>Picardie de la direction g</w:t>
      </w:r>
      <w:r w:rsidR="004D24D9" w:rsidRPr="00AC09B3">
        <w:rPr>
          <w:rFonts w:ascii="Arial" w:hAnsi="Arial" w:cs="Arial"/>
          <w:sz w:val="22"/>
          <w:szCs w:val="22"/>
        </w:rPr>
        <w:t>énérale des finances publiques ;</w:t>
      </w:r>
    </w:p>
    <w:p w:rsidR="004E59FB" w:rsidRPr="00AC09B3" w:rsidRDefault="004E59FB" w:rsidP="00AC09B3">
      <w:pPr>
        <w:spacing w:after="240"/>
        <w:ind w:firstLine="0"/>
        <w:rPr>
          <w:rFonts w:ascii="Arial" w:hAnsi="Arial" w:cs="Arial"/>
          <w:sz w:val="22"/>
          <w:szCs w:val="22"/>
        </w:rPr>
      </w:pPr>
      <w:r w:rsidRPr="00AC09B3">
        <w:rPr>
          <w:rFonts w:ascii="Arial" w:hAnsi="Arial" w:cs="Arial"/>
          <w:sz w:val="22"/>
          <w:szCs w:val="22"/>
        </w:rPr>
        <w:t>Attendu qu’il n’est pas davantage établi que ce commandement, à supposer qu’il ait été adressé, ait été valablement notifié à la société SFR ; que cette dernière n’a, en outre, pas attesté de quelque manière une reconnaissance de la créance qui serait de nature à avoir interrompu la prescription ;</w:t>
      </w:r>
    </w:p>
    <w:p w:rsidR="004E59FB" w:rsidRPr="00AC09B3" w:rsidRDefault="004E59FB" w:rsidP="00AC09B3">
      <w:pPr>
        <w:spacing w:after="240"/>
        <w:ind w:firstLine="0"/>
        <w:rPr>
          <w:rFonts w:ascii="Arial" w:hAnsi="Arial" w:cs="Arial"/>
          <w:sz w:val="22"/>
          <w:szCs w:val="22"/>
        </w:rPr>
      </w:pPr>
      <w:r w:rsidRPr="00AC09B3">
        <w:rPr>
          <w:rFonts w:ascii="Arial" w:hAnsi="Arial" w:cs="Arial"/>
          <w:sz w:val="22"/>
          <w:szCs w:val="22"/>
        </w:rPr>
        <w:t xml:space="preserve">Attendu dès lors que c’est à bon droit que la chambre régionale a jugé qu’à défaut d’acte interruptif dont l’existence serait prouvée, le recouvrement du titre 7/2005 s’est trouvé définitivement compromis le 6 septembre 2009, par l’effet de la </w:t>
      </w:r>
      <w:r w:rsidR="00C25B4B" w:rsidRPr="00AC09B3">
        <w:rPr>
          <w:rFonts w:ascii="Arial" w:hAnsi="Arial" w:cs="Arial"/>
          <w:sz w:val="22"/>
          <w:szCs w:val="22"/>
        </w:rPr>
        <w:t xml:space="preserve">prescription </w:t>
      </w:r>
      <w:r w:rsidRPr="00AC09B3">
        <w:rPr>
          <w:rFonts w:ascii="Arial" w:hAnsi="Arial" w:cs="Arial"/>
          <w:sz w:val="22"/>
          <w:szCs w:val="22"/>
        </w:rPr>
        <w:t>quadriennale de l’action en recouvrement instituée par l’article L.</w:t>
      </w:r>
      <w:r w:rsidR="000B666F">
        <w:rPr>
          <w:rFonts w:ascii="Arial" w:hAnsi="Arial" w:cs="Arial"/>
          <w:sz w:val="22"/>
          <w:szCs w:val="22"/>
        </w:rPr>
        <w:t> </w:t>
      </w:r>
      <w:r w:rsidRPr="00AC09B3">
        <w:rPr>
          <w:rFonts w:ascii="Arial" w:hAnsi="Arial" w:cs="Arial"/>
          <w:sz w:val="22"/>
          <w:szCs w:val="22"/>
        </w:rPr>
        <w:t xml:space="preserve">1617-5 susvisé du code général des collectivités territoriales, soit au cours de la gestion et sous la responsabilité de </w:t>
      </w:r>
      <w:r w:rsidR="00F160F8">
        <w:rPr>
          <w:rFonts w:ascii="Arial" w:hAnsi="Arial" w:cs="Arial"/>
          <w:sz w:val="22"/>
          <w:szCs w:val="22"/>
        </w:rPr>
        <w:t>M. X</w:t>
      </w:r>
      <w:r w:rsidRPr="00AC09B3">
        <w:rPr>
          <w:rFonts w:ascii="Arial" w:hAnsi="Arial" w:cs="Arial"/>
          <w:sz w:val="22"/>
          <w:szCs w:val="22"/>
        </w:rPr>
        <w:t xml:space="preserve"> qui n’a, au demeurant, pas émis de réserve sur la gestion de son prédécesseur ;</w:t>
      </w:r>
    </w:p>
    <w:p w:rsidR="00A57C30" w:rsidRDefault="00A57C30" w:rsidP="00AC09B3">
      <w:pPr>
        <w:spacing w:after="240"/>
        <w:ind w:firstLine="0"/>
        <w:rPr>
          <w:rFonts w:ascii="Arial" w:hAnsi="Arial" w:cs="Arial"/>
          <w:sz w:val="22"/>
          <w:szCs w:val="22"/>
        </w:rPr>
      </w:pPr>
    </w:p>
    <w:p w:rsidR="004E59FB" w:rsidRPr="00AC09B3" w:rsidRDefault="004E59FB" w:rsidP="00AC09B3">
      <w:pPr>
        <w:spacing w:after="240"/>
        <w:ind w:firstLine="0"/>
        <w:rPr>
          <w:rFonts w:ascii="Arial" w:hAnsi="Arial" w:cs="Arial"/>
          <w:sz w:val="22"/>
          <w:szCs w:val="22"/>
        </w:rPr>
      </w:pPr>
      <w:r w:rsidRPr="00AC09B3">
        <w:rPr>
          <w:rFonts w:ascii="Arial" w:hAnsi="Arial" w:cs="Arial"/>
          <w:sz w:val="22"/>
          <w:szCs w:val="22"/>
        </w:rPr>
        <w:lastRenderedPageBreak/>
        <w:t>Attendu que les autres éléments développés par l’appelant</w:t>
      </w:r>
      <w:r w:rsidR="000A417A" w:rsidRPr="00AC09B3">
        <w:rPr>
          <w:rFonts w:ascii="Arial" w:hAnsi="Arial" w:cs="Arial"/>
          <w:sz w:val="22"/>
          <w:szCs w:val="22"/>
        </w:rPr>
        <w:t xml:space="preserve"> qui se rattachent à des dysfonctionnements informatiques survenus postérieurement à la prescription du titre, aux difficultés du poste comptable et aux résultats positifs néanmoins obtenus par celui-ci en matière de recouvrement dans le contexte difficile que constituerait la</w:t>
      </w:r>
      <w:r w:rsidR="003128A8" w:rsidRPr="00AC09B3">
        <w:rPr>
          <w:rFonts w:ascii="Arial" w:hAnsi="Arial" w:cs="Arial"/>
          <w:sz w:val="22"/>
          <w:szCs w:val="22"/>
        </w:rPr>
        <w:t xml:space="preserve"> région de la </w:t>
      </w:r>
      <w:r w:rsidR="007177A2" w:rsidRPr="00AC09B3">
        <w:rPr>
          <w:rFonts w:ascii="Arial" w:hAnsi="Arial" w:cs="Arial"/>
          <w:sz w:val="22"/>
          <w:szCs w:val="22"/>
        </w:rPr>
        <w:t>Thiérache</w:t>
      </w:r>
      <w:r w:rsidR="003128A8" w:rsidRPr="00AC09B3">
        <w:rPr>
          <w:rFonts w:ascii="Arial" w:hAnsi="Arial" w:cs="Arial"/>
          <w:sz w:val="22"/>
          <w:szCs w:val="22"/>
        </w:rPr>
        <w:t>, touche</w:t>
      </w:r>
      <w:r w:rsidR="000A417A" w:rsidRPr="00AC09B3">
        <w:rPr>
          <w:rFonts w:ascii="Arial" w:hAnsi="Arial" w:cs="Arial"/>
          <w:sz w:val="22"/>
          <w:szCs w:val="22"/>
        </w:rPr>
        <w:t xml:space="preserve">nt aux circonstances dans lesquelles </w:t>
      </w:r>
      <w:r w:rsidR="00F160F8">
        <w:rPr>
          <w:rFonts w:ascii="Arial" w:hAnsi="Arial" w:cs="Arial"/>
          <w:sz w:val="22"/>
          <w:szCs w:val="22"/>
        </w:rPr>
        <w:t>M. X</w:t>
      </w:r>
      <w:r w:rsidR="000A417A" w:rsidRPr="00AC09B3">
        <w:rPr>
          <w:rFonts w:ascii="Arial" w:hAnsi="Arial" w:cs="Arial"/>
          <w:sz w:val="22"/>
          <w:szCs w:val="22"/>
        </w:rPr>
        <w:t xml:space="preserve"> a exercé son action et non à l’existence </w:t>
      </w:r>
      <w:r w:rsidR="0040485F" w:rsidRPr="00AC09B3">
        <w:rPr>
          <w:rFonts w:ascii="Arial" w:hAnsi="Arial" w:cs="Arial"/>
          <w:sz w:val="22"/>
          <w:szCs w:val="22"/>
        </w:rPr>
        <w:t>même du manquement ayant causé le</w:t>
      </w:r>
      <w:r w:rsidR="000A417A" w:rsidRPr="00AC09B3">
        <w:rPr>
          <w:rFonts w:ascii="Arial" w:hAnsi="Arial" w:cs="Arial"/>
          <w:sz w:val="22"/>
          <w:szCs w:val="22"/>
        </w:rPr>
        <w:t xml:space="preserve"> préjudice financier qui lui est reproché ; qu’ils pourraient, le cas échéant, être évoqués à l’appui d’une demande de remise gracieuse du débet transmise au ministre chargé des finances ;</w:t>
      </w:r>
    </w:p>
    <w:p w:rsidR="00F477C6" w:rsidRPr="00AC09B3" w:rsidRDefault="00F477C6" w:rsidP="00AC09B3">
      <w:pPr>
        <w:spacing w:after="240"/>
        <w:ind w:firstLine="0"/>
        <w:rPr>
          <w:rFonts w:ascii="Arial" w:hAnsi="Arial" w:cs="Arial"/>
          <w:sz w:val="22"/>
          <w:szCs w:val="22"/>
        </w:rPr>
      </w:pPr>
      <w:r w:rsidRPr="00AC09B3">
        <w:rPr>
          <w:rFonts w:ascii="Arial" w:hAnsi="Arial" w:cs="Arial"/>
          <w:sz w:val="22"/>
          <w:szCs w:val="22"/>
        </w:rPr>
        <w:t>Attendu que dans son courrier susvisé du</w:t>
      </w:r>
      <w:r w:rsidR="00CC648E" w:rsidRPr="00AC09B3">
        <w:rPr>
          <w:rFonts w:ascii="Arial" w:hAnsi="Arial" w:cs="Arial"/>
          <w:sz w:val="22"/>
          <w:szCs w:val="22"/>
        </w:rPr>
        <w:t xml:space="preserve"> 16 </w:t>
      </w:r>
      <w:r w:rsidR="00AD781F" w:rsidRPr="00AC09B3">
        <w:rPr>
          <w:rFonts w:ascii="Arial" w:hAnsi="Arial" w:cs="Arial"/>
          <w:sz w:val="22"/>
          <w:szCs w:val="22"/>
        </w:rPr>
        <w:t xml:space="preserve">avril 2015, </w:t>
      </w:r>
      <w:r w:rsidR="00F160F8">
        <w:rPr>
          <w:rFonts w:ascii="Arial" w:hAnsi="Arial" w:cs="Arial"/>
          <w:sz w:val="22"/>
          <w:szCs w:val="22"/>
        </w:rPr>
        <w:t>M.</w:t>
      </w:r>
      <w:r w:rsidR="000B666F">
        <w:rPr>
          <w:rFonts w:ascii="Arial" w:hAnsi="Arial" w:cs="Arial"/>
          <w:sz w:val="22"/>
          <w:szCs w:val="22"/>
        </w:rPr>
        <w:t> </w:t>
      </w:r>
      <w:r w:rsidR="00F160F8">
        <w:rPr>
          <w:rFonts w:ascii="Arial" w:hAnsi="Arial" w:cs="Arial"/>
          <w:sz w:val="22"/>
          <w:szCs w:val="22"/>
        </w:rPr>
        <w:t>X</w:t>
      </w:r>
      <w:r w:rsidR="00AD781F" w:rsidRPr="00AC09B3">
        <w:rPr>
          <w:rFonts w:ascii="Arial" w:hAnsi="Arial" w:cs="Arial"/>
          <w:sz w:val="22"/>
          <w:szCs w:val="22"/>
        </w:rPr>
        <w:t xml:space="preserve"> allègue</w:t>
      </w:r>
      <w:r w:rsidRPr="00AC09B3">
        <w:rPr>
          <w:rFonts w:ascii="Arial" w:hAnsi="Arial" w:cs="Arial"/>
          <w:sz w:val="22"/>
          <w:szCs w:val="22"/>
        </w:rPr>
        <w:t xml:space="preserve"> </w:t>
      </w:r>
      <w:r w:rsidR="00AD781F" w:rsidRPr="00AC09B3">
        <w:rPr>
          <w:rFonts w:ascii="Arial" w:hAnsi="Arial" w:cs="Arial"/>
          <w:sz w:val="22"/>
          <w:szCs w:val="22"/>
        </w:rPr>
        <w:t>des</w:t>
      </w:r>
      <w:r w:rsidR="00340ACC" w:rsidRPr="00AC09B3">
        <w:rPr>
          <w:rFonts w:ascii="Arial" w:hAnsi="Arial" w:cs="Arial"/>
          <w:sz w:val="22"/>
          <w:szCs w:val="22"/>
        </w:rPr>
        <w:t xml:space="preserve"> vices de forme qui auraient</w:t>
      </w:r>
      <w:r w:rsidR="00CC648E" w:rsidRPr="00AC09B3">
        <w:rPr>
          <w:rFonts w:ascii="Arial" w:hAnsi="Arial" w:cs="Arial"/>
          <w:sz w:val="22"/>
          <w:szCs w:val="22"/>
        </w:rPr>
        <w:t xml:space="preserve"> affecté</w:t>
      </w:r>
      <w:r w:rsidR="00424FB5" w:rsidRPr="00AC09B3">
        <w:rPr>
          <w:rFonts w:ascii="Arial" w:hAnsi="Arial" w:cs="Arial"/>
          <w:sz w:val="22"/>
          <w:szCs w:val="22"/>
        </w:rPr>
        <w:t xml:space="preserve"> la</w:t>
      </w:r>
      <w:r w:rsidR="00CC648E" w:rsidRPr="00AC09B3">
        <w:rPr>
          <w:rFonts w:ascii="Arial" w:hAnsi="Arial" w:cs="Arial"/>
          <w:sz w:val="22"/>
          <w:szCs w:val="22"/>
        </w:rPr>
        <w:t xml:space="preserve"> procédure de première instance ;</w:t>
      </w:r>
      <w:r w:rsidR="007A24C4" w:rsidRPr="00AC09B3">
        <w:rPr>
          <w:rFonts w:ascii="Arial" w:hAnsi="Arial" w:cs="Arial"/>
          <w:sz w:val="22"/>
          <w:szCs w:val="22"/>
        </w:rPr>
        <w:t xml:space="preserve"> qu’aucun moyen nouveau</w:t>
      </w:r>
      <w:r w:rsidR="00CC648E" w:rsidRPr="00AC09B3">
        <w:rPr>
          <w:rFonts w:ascii="Arial" w:hAnsi="Arial" w:cs="Arial"/>
          <w:sz w:val="22"/>
          <w:szCs w:val="22"/>
        </w:rPr>
        <w:t xml:space="preserve"> </w:t>
      </w:r>
      <w:r w:rsidR="00AD781F" w:rsidRPr="00AC09B3">
        <w:rPr>
          <w:rFonts w:ascii="Arial" w:hAnsi="Arial" w:cs="Arial"/>
          <w:sz w:val="22"/>
          <w:szCs w:val="22"/>
        </w:rPr>
        <w:t>présent</w:t>
      </w:r>
      <w:r w:rsidR="007A24C4" w:rsidRPr="00AC09B3">
        <w:rPr>
          <w:rFonts w:ascii="Arial" w:hAnsi="Arial" w:cs="Arial"/>
          <w:sz w:val="22"/>
          <w:szCs w:val="22"/>
        </w:rPr>
        <w:t>é</w:t>
      </w:r>
      <w:r w:rsidR="00424FB5" w:rsidRPr="00AC09B3">
        <w:rPr>
          <w:rFonts w:ascii="Arial" w:hAnsi="Arial" w:cs="Arial"/>
          <w:sz w:val="22"/>
          <w:szCs w:val="22"/>
        </w:rPr>
        <w:t xml:space="preserve"> postérieurement à l’expiration du délai </w:t>
      </w:r>
      <w:r w:rsidR="000F3FC5" w:rsidRPr="00AC09B3">
        <w:rPr>
          <w:rFonts w:ascii="Arial" w:hAnsi="Arial" w:cs="Arial"/>
          <w:sz w:val="22"/>
          <w:szCs w:val="22"/>
        </w:rPr>
        <w:t xml:space="preserve">réglementaire </w:t>
      </w:r>
      <w:r w:rsidR="00424FB5" w:rsidRPr="00AC09B3">
        <w:rPr>
          <w:rFonts w:ascii="Arial" w:hAnsi="Arial" w:cs="Arial"/>
          <w:sz w:val="22"/>
          <w:szCs w:val="22"/>
        </w:rPr>
        <w:t xml:space="preserve">d’appel </w:t>
      </w:r>
      <w:r w:rsidR="007A24C4" w:rsidRPr="00AC09B3">
        <w:rPr>
          <w:rFonts w:ascii="Arial" w:hAnsi="Arial" w:cs="Arial"/>
          <w:sz w:val="22"/>
          <w:szCs w:val="22"/>
        </w:rPr>
        <w:t>n’est recevable</w:t>
      </w:r>
      <w:r w:rsidR="00424FB5" w:rsidRPr="00AC09B3">
        <w:rPr>
          <w:rFonts w:ascii="Arial" w:hAnsi="Arial" w:cs="Arial"/>
          <w:sz w:val="22"/>
          <w:szCs w:val="22"/>
        </w:rPr>
        <w:t xml:space="preserve"> ; </w:t>
      </w:r>
      <w:r w:rsidR="007A24C4" w:rsidRPr="00AC09B3">
        <w:rPr>
          <w:rFonts w:ascii="Arial" w:hAnsi="Arial" w:cs="Arial"/>
          <w:sz w:val="22"/>
          <w:szCs w:val="22"/>
        </w:rPr>
        <w:t xml:space="preserve">que dans ce même courrier, </w:t>
      </w:r>
      <w:r w:rsidR="00F160F8">
        <w:rPr>
          <w:rFonts w:ascii="Arial" w:hAnsi="Arial" w:cs="Arial"/>
          <w:sz w:val="22"/>
          <w:szCs w:val="22"/>
        </w:rPr>
        <w:t>M. X</w:t>
      </w:r>
      <w:r w:rsidR="007A24C4" w:rsidRPr="00AC09B3">
        <w:rPr>
          <w:rFonts w:ascii="Arial" w:hAnsi="Arial" w:cs="Arial"/>
          <w:sz w:val="22"/>
          <w:szCs w:val="22"/>
        </w:rPr>
        <w:t xml:space="preserve"> invoque également un vice de forme dans la procédure d’appel en cours ; qu’il soutient que le</w:t>
      </w:r>
      <w:r w:rsidR="00C2604D" w:rsidRPr="00AC09B3">
        <w:rPr>
          <w:rFonts w:ascii="Arial" w:hAnsi="Arial" w:cs="Arial"/>
          <w:sz w:val="22"/>
          <w:szCs w:val="22"/>
        </w:rPr>
        <w:t xml:space="preserve"> dépôt du rapport d’in</w:t>
      </w:r>
      <w:r w:rsidR="007A24C4" w:rsidRPr="00AC09B3">
        <w:rPr>
          <w:rFonts w:ascii="Arial" w:hAnsi="Arial" w:cs="Arial"/>
          <w:sz w:val="22"/>
          <w:szCs w:val="22"/>
        </w:rPr>
        <w:t>struction avant la fin du délai qui lui était accordé pour présenter ses observations a empêché la prise en compte de ces dernières ; qu’aucune règle de procédure ne fixe le délai de dépôt de ce rapport qui clôt l’instruction ; qu’en outre, à l’audience publique, en application de l’article R.</w:t>
      </w:r>
      <w:r w:rsidR="000B666F">
        <w:rPr>
          <w:rFonts w:ascii="Arial" w:hAnsi="Arial" w:cs="Arial"/>
          <w:sz w:val="22"/>
          <w:szCs w:val="22"/>
        </w:rPr>
        <w:t> </w:t>
      </w:r>
      <w:r w:rsidR="007A24C4" w:rsidRPr="00AC09B3">
        <w:rPr>
          <w:rFonts w:ascii="Arial" w:hAnsi="Arial" w:cs="Arial"/>
          <w:sz w:val="22"/>
          <w:szCs w:val="22"/>
        </w:rPr>
        <w:t>142-9 du code des juridictions financières,</w:t>
      </w:r>
      <w:r w:rsidR="000B666F">
        <w:rPr>
          <w:rFonts w:ascii="Arial" w:hAnsi="Arial" w:cs="Arial"/>
          <w:sz w:val="22"/>
          <w:szCs w:val="22"/>
        </w:rPr>
        <w:t xml:space="preserve"> </w:t>
      </w:r>
      <w:r w:rsidR="00812D66" w:rsidRPr="00AC09B3">
        <w:rPr>
          <w:rFonts w:ascii="Arial" w:hAnsi="Arial" w:cs="Arial"/>
          <w:sz w:val="22"/>
          <w:szCs w:val="22"/>
        </w:rPr>
        <w:t>« </w:t>
      </w:r>
      <w:r w:rsidR="007A24C4" w:rsidRPr="00AC09B3">
        <w:rPr>
          <w:rFonts w:ascii="Arial" w:hAnsi="Arial" w:cs="Arial"/>
          <w:sz w:val="22"/>
          <w:szCs w:val="22"/>
        </w:rPr>
        <w:t xml:space="preserve"> toute partie à l’instance peut formuler, soit en personne, soit par un avocat au Conseil d’Etat</w:t>
      </w:r>
      <w:r w:rsidR="00812D66" w:rsidRPr="00AC09B3">
        <w:rPr>
          <w:rFonts w:ascii="Arial" w:hAnsi="Arial" w:cs="Arial"/>
          <w:sz w:val="22"/>
          <w:szCs w:val="22"/>
        </w:rPr>
        <w:t xml:space="preserve"> et à la Cour de Cassation ou un avocat, des observations précisant celles fournies par écrit sur l’affaire qui le concerne » ; qu’au cas d’espèce, la Cour a pris en considération l</w:t>
      </w:r>
      <w:r w:rsidR="00C2604D" w:rsidRPr="00AC09B3">
        <w:rPr>
          <w:rFonts w:ascii="Arial" w:hAnsi="Arial" w:cs="Arial"/>
          <w:sz w:val="22"/>
          <w:szCs w:val="22"/>
        </w:rPr>
        <w:t>es mémoires co</w:t>
      </w:r>
      <w:r w:rsidR="00812D66" w:rsidRPr="00AC09B3">
        <w:rPr>
          <w:rFonts w:ascii="Arial" w:hAnsi="Arial" w:cs="Arial"/>
          <w:sz w:val="22"/>
          <w:szCs w:val="22"/>
        </w:rPr>
        <w:t>mplémentaires susvisés produits par l’appelant après la clôture de l’instruction</w:t>
      </w:r>
      <w:r w:rsidR="000B666F">
        <w:rPr>
          <w:rFonts w:ascii="Arial" w:hAnsi="Arial" w:cs="Arial"/>
          <w:sz w:val="22"/>
          <w:szCs w:val="22"/>
        </w:rPr>
        <w:t> ;</w:t>
      </w:r>
    </w:p>
    <w:p w:rsidR="007146AA" w:rsidRPr="00AC09B3" w:rsidRDefault="007146AA" w:rsidP="00AC09B3">
      <w:pPr>
        <w:spacing w:after="80"/>
        <w:ind w:firstLine="0"/>
        <w:rPr>
          <w:rFonts w:ascii="Arial" w:hAnsi="Arial" w:cs="Arial"/>
          <w:sz w:val="22"/>
          <w:szCs w:val="22"/>
        </w:rPr>
      </w:pPr>
    </w:p>
    <w:p w:rsidR="00E84E46" w:rsidRPr="00AC09B3" w:rsidRDefault="00E84E46" w:rsidP="00AC09B3">
      <w:pPr>
        <w:spacing w:after="80"/>
        <w:ind w:firstLine="0"/>
        <w:rPr>
          <w:rFonts w:ascii="Arial" w:hAnsi="Arial" w:cs="Arial"/>
          <w:sz w:val="22"/>
          <w:szCs w:val="22"/>
        </w:rPr>
      </w:pPr>
      <w:r w:rsidRPr="00AC09B3">
        <w:rPr>
          <w:rFonts w:ascii="Arial" w:hAnsi="Arial" w:cs="Arial"/>
          <w:sz w:val="22"/>
          <w:szCs w:val="22"/>
        </w:rPr>
        <w:t>Par ces motifs,</w:t>
      </w:r>
    </w:p>
    <w:p w:rsidR="00E84E46" w:rsidRPr="00AC09B3" w:rsidRDefault="00E84E46" w:rsidP="00AC09B3">
      <w:pPr>
        <w:spacing w:after="80"/>
        <w:ind w:firstLine="0"/>
        <w:rPr>
          <w:rFonts w:ascii="Arial" w:hAnsi="Arial" w:cs="Arial"/>
          <w:sz w:val="22"/>
          <w:szCs w:val="22"/>
        </w:rPr>
      </w:pPr>
    </w:p>
    <w:p w:rsidR="00E84E46" w:rsidRPr="00AC09B3" w:rsidRDefault="00E84E46" w:rsidP="00AC09B3">
      <w:pPr>
        <w:spacing w:after="80"/>
        <w:ind w:firstLine="0"/>
        <w:jc w:val="center"/>
        <w:rPr>
          <w:rFonts w:ascii="Arial" w:hAnsi="Arial" w:cs="Arial"/>
          <w:sz w:val="22"/>
          <w:szCs w:val="22"/>
        </w:rPr>
      </w:pPr>
      <w:r w:rsidRPr="00AC09B3">
        <w:rPr>
          <w:rFonts w:ascii="Arial" w:hAnsi="Arial" w:cs="Arial"/>
          <w:sz w:val="22"/>
          <w:szCs w:val="22"/>
        </w:rPr>
        <w:t>DECIDE :</w:t>
      </w:r>
    </w:p>
    <w:p w:rsidR="00E84E46" w:rsidRPr="00AC09B3" w:rsidRDefault="00E84E46" w:rsidP="00AC09B3">
      <w:pPr>
        <w:spacing w:after="80"/>
        <w:ind w:firstLine="0"/>
        <w:rPr>
          <w:rFonts w:ascii="Arial" w:hAnsi="Arial" w:cs="Arial"/>
          <w:sz w:val="22"/>
          <w:szCs w:val="22"/>
        </w:rPr>
      </w:pPr>
    </w:p>
    <w:p w:rsidR="00B73D24" w:rsidRPr="00A869EB" w:rsidRDefault="000A417A" w:rsidP="00AC09B3">
      <w:pPr>
        <w:spacing w:after="80"/>
        <w:ind w:firstLine="0"/>
        <w:rPr>
          <w:rFonts w:ascii="Arial" w:hAnsi="Arial" w:cs="Arial"/>
        </w:rPr>
      </w:pPr>
      <w:r w:rsidRPr="000B666F">
        <w:rPr>
          <w:rFonts w:ascii="Arial" w:hAnsi="Arial" w:cs="Arial"/>
          <w:b/>
          <w:sz w:val="22"/>
          <w:szCs w:val="22"/>
        </w:rPr>
        <w:t>Article unique</w:t>
      </w:r>
      <w:r w:rsidR="00B73D24" w:rsidRPr="00AC09B3">
        <w:rPr>
          <w:rFonts w:ascii="Arial" w:hAnsi="Arial" w:cs="Arial"/>
          <w:sz w:val="22"/>
          <w:szCs w:val="22"/>
        </w:rPr>
        <w:t xml:space="preserve"> –</w:t>
      </w:r>
      <w:r w:rsidR="00E84E46" w:rsidRPr="00AC09B3">
        <w:rPr>
          <w:rFonts w:ascii="Arial" w:hAnsi="Arial" w:cs="Arial"/>
          <w:sz w:val="22"/>
          <w:szCs w:val="22"/>
        </w:rPr>
        <w:t xml:space="preserve"> </w:t>
      </w:r>
      <w:r w:rsidRPr="00AC09B3">
        <w:rPr>
          <w:rFonts w:ascii="Arial" w:hAnsi="Arial" w:cs="Arial"/>
          <w:sz w:val="22"/>
          <w:szCs w:val="22"/>
        </w:rPr>
        <w:t xml:space="preserve">La requête de </w:t>
      </w:r>
      <w:r w:rsidR="00F160F8">
        <w:rPr>
          <w:rFonts w:ascii="Arial" w:hAnsi="Arial" w:cs="Arial"/>
          <w:sz w:val="22"/>
          <w:szCs w:val="22"/>
        </w:rPr>
        <w:t>M. X</w:t>
      </w:r>
      <w:r w:rsidRPr="00A869EB">
        <w:rPr>
          <w:rFonts w:ascii="Arial" w:hAnsi="Arial" w:cs="Arial"/>
        </w:rPr>
        <w:t xml:space="preserve"> est rejetée.</w:t>
      </w:r>
    </w:p>
    <w:p w:rsidR="00E84E46" w:rsidRPr="00A869EB" w:rsidRDefault="00E84E46" w:rsidP="00E84E46">
      <w:pPr>
        <w:spacing w:after="80"/>
        <w:rPr>
          <w:rFonts w:ascii="Arial" w:hAnsi="Arial" w:cs="Arial"/>
        </w:rPr>
      </w:pPr>
    </w:p>
    <w:p w:rsidR="00E84E46" w:rsidRPr="00A869EB" w:rsidRDefault="00E84E46" w:rsidP="00E84E46">
      <w:pPr>
        <w:tabs>
          <w:tab w:val="center" w:pos="5245"/>
        </w:tabs>
        <w:spacing w:after="80"/>
        <w:ind w:firstLine="0"/>
        <w:jc w:val="center"/>
        <w:rPr>
          <w:rFonts w:ascii="Arial" w:hAnsi="Arial" w:cs="Arial"/>
        </w:rPr>
      </w:pPr>
      <w:r w:rsidRPr="00A869EB">
        <w:rPr>
          <w:rFonts w:ascii="Arial" w:hAnsi="Arial" w:cs="Arial"/>
        </w:rPr>
        <w:t>------------</w:t>
      </w:r>
    </w:p>
    <w:p w:rsidR="00E84E46" w:rsidRPr="00A869EB" w:rsidRDefault="00E84E46" w:rsidP="00E84E46">
      <w:pPr>
        <w:spacing w:after="80"/>
        <w:rPr>
          <w:rFonts w:ascii="Arial" w:hAnsi="Arial" w:cs="Arial"/>
        </w:rPr>
      </w:pPr>
    </w:p>
    <w:p w:rsidR="00272F84" w:rsidRPr="00272F84" w:rsidRDefault="00272F84" w:rsidP="00272F84">
      <w:pPr>
        <w:spacing w:before="120" w:after="240"/>
        <w:ind w:firstLine="0"/>
        <w:rPr>
          <w:rFonts w:ascii="Arial" w:hAnsi="Arial" w:cs="Arial"/>
          <w:sz w:val="22"/>
          <w:szCs w:val="22"/>
        </w:rPr>
      </w:pPr>
      <w:r w:rsidRPr="00272F84">
        <w:rPr>
          <w:rFonts w:ascii="Arial" w:hAnsi="Arial" w:cs="Arial"/>
          <w:sz w:val="22"/>
          <w:szCs w:val="22"/>
        </w:rPr>
        <w:t xml:space="preserve">Fait et jugé en la Cour des comptes, quatrième chambre, première section. Présents : M. Jean-Philippe </w:t>
      </w:r>
      <w:r w:rsidR="001C6013">
        <w:rPr>
          <w:rFonts w:ascii="Arial" w:hAnsi="Arial" w:cs="Arial"/>
          <w:sz w:val="22"/>
          <w:szCs w:val="22"/>
        </w:rPr>
        <w:t>V</w:t>
      </w:r>
      <w:r w:rsidR="001C6013" w:rsidRPr="00272F84">
        <w:rPr>
          <w:rFonts w:ascii="Arial" w:hAnsi="Arial" w:cs="Arial"/>
          <w:sz w:val="22"/>
          <w:szCs w:val="22"/>
        </w:rPr>
        <w:t>achia</w:t>
      </w:r>
      <w:r w:rsidRPr="00272F84">
        <w:rPr>
          <w:rFonts w:ascii="Arial" w:hAnsi="Arial" w:cs="Arial"/>
          <w:sz w:val="22"/>
          <w:szCs w:val="22"/>
        </w:rPr>
        <w:t xml:space="preserve">, président de chambre, président de la formation, M. Yves </w:t>
      </w:r>
      <w:r w:rsidR="001C6013">
        <w:rPr>
          <w:rFonts w:ascii="Arial" w:hAnsi="Arial" w:cs="Arial"/>
          <w:sz w:val="22"/>
          <w:szCs w:val="22"/>
        </w:rPr>
        <w:t>R</w:t>
      </w:r>
      <w:r w:rsidR="001C6013" w:rsidRPr="00272F84">
        <w:rPr>
          <w:rFonts w:ascii="Arial" w:hAnsi="Arial" w:cs="Arial"/>
          <w:sz w:val="22"/>
          <w:szCs w:val="22"/>
        </w:rPr>
        <w:t>olland</w:t>
      </w:r>
      <w:r w:rsidRPr="00272F84">
        <w:rPr>
          <w:rFonts w:ascii="Arial" w:hAnsi="Arial" w:cs="Arial"/>
          <w:sz w:val="22"/>
          <w:szCs w:val="22"/>
        </w:rPr>
        <w:t xml:space="preserve">, président de section, </w:t>
      </w:r>
      <w:r w:rsidR="000B666F" w:rsidRPr="000B666F">
        <w:rPr>
          <w:rFonts w:ascii="Arial" w:hAnsi="Arial" w:cs="Arial"/>
          <w:sz w:val="22"/>
          <w:szCs w:val="22"/>
        </w:rPr>
        <w:t>M</w:t>
      </w:r>
      <w:r w:rsidR="000B666F" w:rsidRPr="000B666F">
        <w:rPr>
          <w:rFonts w:ascii="Arial" w:hAnsi="Arial" w:cs="Arial"/>
          <w:sz w:val="22"/>
          <w:szCs w:val="22"/>
          <w:vertAlign w:val="superscript"/>
        </w:rPr>
        <w:t>me</w:t>
      </w:r>
      <w:r w:rsidR="000B666F">
        <w:rPr>
          <w:rFonts w:ascii="Arial" w:hAnsi="Arial" w:cs="Arial"/>
          <w:sz w:val="22"/>
          <w:szCs w:val="22"/>
        </w:rPr>
        <w:t> </w:t>
      </w:r>
      <w:r w:rsidRPr="00272F84">
        <w:rPr>
          <w:rFonts w:ascii="Arial" w:hAnsi="Arial" w:cs="Arial"/>
          <w:sz w:val="22"/>
          <w:szCs w:val="22"/>
        </w:rPr>
        <w:t xml:space="preserve">Anne </w:t>
      </w:r>
      <w:r w:rsidR="001C6013">
        <w:rPr>
          <w:rFonts w:ascii="Arial" w:hAnsi="Arial" w:cs="Arial"/>
          <w:sz w:val="22"/>
          <w:szCs w:val="22"/>
        </w:rPr>
        <w:t>Froment-</w:t>
      </w:r>
      <w:proofErr w:type="spellStart"/>
      <w:r w:rsidR="001C6013">
        <w:rPr>
          <w:rFonts w:ascii="Arial" w:hAnsi="Arial" w:cs="Arial"/>
          <w:sz w:val="22"/>
          <w:szCs w:val="22"/>
        </w:rPr>
        <w:t>M</w:t>
      </w:r>
      <w:r w:rsidR="001C6013" w:rsidRPr="00272F84">
        <w:rPr>
          <w:rFonts w:ascii="Arial" w:hAnsi="Arial" w:cs="Arial"/>
          <w:sz w:val="22"/>
          <w:szCs w:val="22"/>
        </w:rPr>
        <w:t>eurice</w:t>
      </w:r>
      <w:proofErr w:type="spellEnd"/>
      <w:r w:rsidRPr="00272F84">
        <w:rPr>
          <w:rFonts w:ascii="Arial" w:hAnsi="Arial" w:cs="Arial"/>
          <w:sz w:val="22"/>
          <w:szCs w:val="22"/>
        </w:rPr>
        <w:t xml:space="preserve">, présidente de chambre maintenue en activité, MM. Gérard </w:t>
      </w:r>
      <w:r w:rsidR="001C6013">
        <w:rPr>
          <w:rFonts w:ascii="Arial" w:hAnsi="Arial" w:cs="Arial"/>
          <w:sz w:val="22"/>
          <w:szCs w:val="22"/>
        </w:rPr>
        <w:t>G</w:t>
      </w:r>
      <w:r w:rsidR="001C6013" w:rsidRPr="00272F84">
        <w:rPr>
          <w:rFonts w:ascii="Arial" w:hAnsi="Arial" w:cs="Arial"/>
          <w:sz w:val="22"/>
          <w:szCs w:val="22"/>
        </w:rPr>
        <w:t>anser</w:t>
      </w:r>
      <w:r w:rsidRPr="00272F84">
        <w:rPr>
          <w:rFonts w:ascii="Arial" w:hAnsi="Arial" w:cs="Arial"/>
          <w:sz w:val="22"/>
          <w:szCs w:val="22"/>
        </w:rPr>
        <w:t xml:space="preserve">, Jean-Pierre Lafaure et </w:t>
      </w:r>
      <w:r w:rsidR="000B666F" w:rsidRPr="000B666F">
        <w:rPr>
          <w:rFonts w:ascii="Arial" w:hAnsi="Arial" w:cs="Arial"/>
          <w:sz w:val="22"/>
          <w:szCs w:val="22"/>
        </w:rPr>
        <w:t>M</w:t>
      </w:r>
      <w:r w:rsidR="000B666F" w:rsidRPr="000B666F">
        <w:rPr>
          <w:rFonts w:ascii="Arial" w:hAnsi="Arial" w:cs="Arial"/>
          <w:sz w:val="22"/>
          <w:szCs w:val="22"/>
          <w:vertAlign w:val="superscript"/>
        </w:rPr>
        <w:t>me</w:t>
      </w:r>
      <w:r w:rsidR="000B666F">
        <w:rPr>
          <w:rFonts w:ascii="Arial" w:hAnsi="Arial" w:cs="Arial"/>
          <w:sz w:val="22"/>
          <w:szCs w:val="22"/>
        </w:rPr>
        <w:t> </w:t>
      </w:r>
      <w:r w:rsidRPr="00272F84">
        <w:rPr>
          <w:rFonts w:ascii="Arial" w:hAnsi="Arial" w:cs="Arial"/>
          <w:sz w:val="22"/>
          <w:szCs w:val="22"/>
        </w:rPr>
        <w:t>Laurence Engel, conseillers maîtres.</w:t>
      </w:r>
    </w:p>
    <w:p w:rsidR="00AC09B3" w:rsidRPr="00AC09B3" w:rsidRDefault="00AC09B3" w:rsidP="00AC09B3">
      <w:pPr>
        <w:spacing w:after="80"/>
        <w:ind w:firstLine="0"/>
        <w:rPr>
          <w:rFonts w:ascii="Arial" w:hAnsi="Arial" w:cs="Arial"/>
          <w:sz w:val="22"/>
          <w:szCs w:val="22"/>
        </w:rPr>
      </w:pPr>
    </w:p>
    <w:p w:rsidR="00AC09B3" w:rsidRPr="00AC09B3" w:rsidRDefault="00AC09B3" w:rsidP="00AC09B3">
      <w:pPr>
        <w:spacing w:after="80"/>
        <w:ind w:firstLine="0"/>
        <w:rPr>
          <w:rFonts w:ascii="Arial" w:hAnsi="Arial" w:cs="Arial"/>
          <w:sz w:val="22"/>
          <w:szCs w:val="22"/>
        </w:rPr>
      </w:pPr>
      <w:r w:rsidRPr="00AC09B3">
        <w:rPr>
          <w:rFonts w:ascii="Arial" w:hAnsi="Arial" w:cs="Arial"/>
          <w:sz w:val="22"/>
          <w:szCs w:val="22"/>
        </w:rPr>
        <w:t xml:space="preserve">En présence de </w:t>
      </w:r>
      <w:r w:rsidR="000B666F" w:rsidRPr="000B666F">
        <w:rPr>
          <w:rFonts w:ascii="Arial" w:hAnsi="Arial" w:cs="Arial"/>
          <w:sz w:val="22"/>
          <w:szCs w:val="22"/>
        </w:rPr>
        <w:t>M</w:t>
      </w:r>
      <w:r w:rsidR="000B666F" w:rsidRPr="000B666F">
        <w:rPr>
          <w:rFonts w:ascii="Arial" w:hAnsi="Arial" w:cs="Arial"/>
          <w:sz w:val="22"/>
          <w:szCs w:val="22"/>
          <w:vertAlign w:val="superscript"/>
        </w:rPr>
        <w:t>me</w:t>
      </w:r>
      <w:r w:rsidR="000B666F">
        <w:rPr>
          <w:rFonts w:ascii="Arial" w:hAnsi="Arial" w:cs="Arial"/>
          <w:sz w:val="22"/>
          <w:szCs w:val="22"/>
        </w:rPr>
        <w:t> </w:t>
      </w:r>
      <w:bookmarkStart w:id="0" w:name="_GoBack"/>
      <w:bookmarkEnd w:id="0"/>
      <w:r w:rsidRPr="00AC09B3">
        <w:rPr>
          <w:rFonts w:ascii="Arial" w:hAnsi="Arial" w:cs="Arial"/>
          <w:sz w:val="22"/>
          <w:szCs w:val="22"/>
        </w:rPr>
        <w:t xml:space="preserve">Marie-Hélène </w:t>
      </w:r>
      <w:r w:rsidR="001C6013">
        <w:rPr>
          <w:rFonts w:ascii="Arial" w:hAnsi="Arial" w:cs="Arial"/>
          <w:sz w:val="22"/>
          <w:szCs w:val="22"/>
        </w:rPr>
        <w:t>Paris-V</w:t>
      </w:r>
      <w:r w:rsidR="001C6013" w:rsidRPr="00AC09B3">
        <w:rPr>
          <w:rFonts w:ascii="Arial" w:hAnsi="Arial" w:cs="Arial"/>
          <w:sz w:val="22"/>
          <w:szCs w:val="22"/>
        </w:rPr>
        <w:t>arin</w:t>
      </w:r>
      <w:r w:rsidRPr="00AC09B3">
        <w:rPr>
          <w:rFonts w:ascii="Arial" w:hAnsi="Arial" w:cs="Arial"/>
          <w:sz w:val="22"/>
          <w:szCs w:val="22"/>
        </w:rPr>
        <w:t>, greffière de séance.</w:t>
      </w:r>
    </w:p>
    <w:p w:rsidR="00AC09B3" w:rsidRPr="00AC09B3" w:rsidRDefault="00AC09B3" w:rsidP="00AC09B3">
      <w:pPr>
        <w:spacing w:after="80"/>
        <w:ind w:firstLine="0"/>
        <w:rPr>
          <w:rFonts w:ascii="Arial" w:hAnsi="Arial" w:cs="Arial"/>
          <w:sz w:val="22"/>
          <w:szCs w:val="22"/>
        </w:rPr>
      </w:pPr>
    </w:p>
    <w:p w:rsidR="00AC09B3" w:rsidRPr="00AC09B3" w:rsidRDefault="00AC09B3" w:rsidP="00AC09B3">
      <w:pPr>
        <w:spacing w:after="80"/>
        <w:rPr>
          <w:rFonts w:ascii="Arial" w:hAnsi="Arial" w:cs="Arial"/>
        </w:rPr>
      </w:pPr>
    </w:p>
    <w:p w:rsidR="00AC09B3" w:rsidRDefault="00AC09B3" w:rsidP="00AC09B3">
      <w:pPr>
        <w:spacing w:after="80"/>
        <w:rPr>
          <w:rFonts w:ascii="Arial" w:hAnsi="Arial" w:cs="Arial"/>
        </w:rPr>
      </w:pPr>
    </w:p>
    <w:p w:rsidR="00AC09B3" w:rsidRDefault="00AC09B3" w:rsidP="00AC09B3">
      <w:pPr>
        <w:spacing w:after="80"/>
        <w:rPr>
          <w:rFonts w:ascii="Arial" w:hAnsi="Arial" w:cs="Arial"/>
        </w:rPr>
      </w:pPr>
    </w:p>
    <w:p w:rsidR="00AC09B3" w:rsidRPr="00AC09B3" w:rsidRDefault="00AC09B3" w:rsidP="00AC09B3">
      <w:pPr>
        <w:spacing w:after="80"/>
        <w:rPr>
          <w:rFonts w:ascii="Arial" w:hAnsi="Arial" w:cs="Arial"/>
        </w:rPr>
      </w:pPr>
    </w:p>
    <w:p w:rsidR="00AC09B3" w:rsidRPr="00AC09B3" w:rsidRDefault="00AC09B3" w:rsidP="00AC09B3">
      <w:pPr>
        <w:spacing w:after="80"/>
        <w:ind w:firstLine="0"/>
        <w:rPr>
          <w:rFonts w:ascii="Arial" w:hAnsi="Arial" w:cs="Arial"/>
        </w:rPr>
      </w:pPr>
    </w:p>
    <w:tbl>
      <w:tblPr>
        <w:tblW w:w="0" w:type="auto"/>
        <w:tblInd w:w="34" w:type="dxa"/>
        <w:tblLook w:val="00A0" w:firstRow="1" w:lastRow="0" w:firstColumn="1" w:lastColumn="0" w:noHBand="0" w:noVBand="0"/>
      </w:tblPr>
      <w:tblGrid>
        <w:gridCol w:w="4616"/>
        <w:gridCol w:w="4530"/>
      </w:tblGrid>
      <w:tr w:rsidR="00AC09B3" w:rsidRPr="00AC09B3" w:rsidTr="00A57C30">
        <w:tc>
          <w:tcPr>
            <w:tcW w:w="4616" w:type="dxa"/>
          </w:tcPr>
          <w:p w:rsidR="00AC09B3" w:rsidRPr="00AC09B3" w:rsidRDefault="00AC09B3" w:rsidP="00AC09B3">
            <w:pPr>
              <w:spacing w:after="80"/>
              <w:rPr>
                <w:rFonts w:ascii="Arial" w:hAnsi="Arial" w:cs="Arial"/>
                <w:b/>
                <w:sz w:val="22"/>
                <w:szCs w:val="22"/>
              </w:rPr>
            </w:pPr>
            <w:r w:rsidRPr="00AC09B3">
              <w:rPr>
                <w:rFonts w:ascii="Arial" w:hAnsi="Arial" w:cs="Arial"/>
                <w:b/>
                <w:sz w:val="22"/>
                <w:szCs w:val="22"/>
              </w:rPr>
              <w:t>Marie-Hélène PARIS-VARIN</w:t>
            </w:r>
          </w:p>
          <w:p w:rsidR="00AC09B3" w:rsidRPr="00AC09B3" w:rsidRDefault="00AC09B3" w:rsidP="00AC09B3">
            <w:pPr>
              <w:spacing w:after="80"/>
              <w:rPr>
                <w:rFonts w:ascii="Arial" w:hAnsi="Arial" w:cs="Arial"/>
                <w:b/>
                <w:sz w:val="22"/>
                <w:szCs w:val="22"/>
              </w:rPr>
            </w:pPr>
          </w:p>
        </w:tc>
        <w:tc>
          <w:tcPr>
            <w:tcW w:w="4530" w:type="dxa"/>
          </w:tcPr>
          <w:p w:rsidR="00AC09B3" w:rsidRPr="00AC09B3" w:rsidRDefault="00AC09B3" w:rsidP="00AC09B3">
            <w:pPr>
              <w:spacing w:after="80"/>
              <w:rPr>
                <w:rFonts w:ascii="Arial" w:hAnsi="Arial" w:cs="Arial"/>
                <w:b/>
                <w:sz w:val="22"/>
                <w:szCs w:val="22"/>
              </w:rPr>
            </w:pPr>
            <w:r w:rsidRPr="00AC09B3">
              <w:rPr>
                <w:rFonts w:ascii="Arial" w:hAnsi="Arial" w:cs="Arial"/>
                <w:b/>
                <w:sz w:val="22"/>
                <w:szCs w:val="22"/>
              </w:rPr>
              <w:t>Jean-Philippe VACHIA</w:t>
            </w:r>
          </w:p>
          <w:p w:rsidR="00AC09B3" w:rsidRPr="00AC09B3" w:rsidRDefault="00AC09B3" w:rsidP="00AC09B3">
            <w:pPr>
              <w:spacing w:after="80"/>
              <w:rPr>
                <w:rFonts w:ascii="Arial" w:hAnsi="Arial" w:cs="Arial"/>
                <w:b/>
                <w:sz w:val="22"/>
                <w:szCs w:val="22"/>
              </w:rPr>
            </w:pPr>
          </w:p>
        </w:tc>
      </w:tr>
    </w:tbl>
    <w:p w:rsidR="00AC09B3" w:rsidRPr="00AC09B3" w:rsidRDefault="00AC09B3" w:rsidP="00AC09B3">
      <w:pPr>
        <w:spacing w:after="80"/>
        <w:rPr>
          <w:rFonts w:ascii="Arial" w:hAnsi="Arial" w:cs="Arial"/>
          <w:sz w:val="22"/>
          <w:szCs w:val="22"/>
        </w:rPr>
      </w:pPr>
    </w:p>
    <w:p w:rsidR="00AC09B3" w:rsidRPr="00AC09B3" w:rsidRDefault="00AC09B3" w:rsidP="00AC09B3">
      <w:pPr>
        <w:spacing w:after="80"/>
        <w:ind w:firstLine="0"/>
        <w:rPr>
          <w:rFonts w:ascii="Arial" w:hAnsi="Arial" w:cs="Arial"/>
          <w:sz w:val="22"/>
          <w:szCs w:val="22"/>
        </w:rPr>
      </w:pPr>
      <w:r w:rsidRPr="00AC09B3">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AC09B3" w:rsidRPr="00AC09B3" w:rsidRDefault="00AC09B3" w:rsidP="00AC09B3">
      <w:pPr>
        <w:spacing w:after="80"/>
        <w:ind w:firstLine="0"/>
        <w:rPr>
          <w:rFonts w:ascii="Arial" w:hAnsi="Arial" w:cs="Arial"/>
          <w:sz w:val="22"/>
          <w:szCs w:val="22"/>
        </w:rPr>
      </w:pPr>
    </w:p>
    <w:p w:rsidR="00AC09B3" w:rsidRPr="00AC09B3" w:rsidRDefault="00AC09B3" w:rsidP="00AC09B3">
      <w:pPr>
        <w:spacing w:after="80"/>
        <w:rPr>
          <w:rFonts w:ascii="Arial" w:hAnsi="Arial" w:cs="Arial"/>
        </w:rPr>
      </w:pPr>
    </w:p>
    <w:p w:rsidR="00AC09B3" w:rsidRPr="00AC09B3" w:rsidRDefault="00AC09B3" w:rsidP="00AC09B3">
      <w:pPr>
        <w:spacing w:after="80"/>
        <w:rPr>
          <w:rFonts w:ascii="Arial" w:hAnsi="Arial" w:cs="Arial"/>
        </w:rPr>
      </w:pPr>
    </w:p>
    <w:p w:rsidR="002F36B2" w:rsidRPr="00A869EB" w:rsidRDefault="002F36B2" w:rsidP="00AC09B3">
      <w:pPr>
        <w:spacing w:after="80"/>
        <w:rPr>
          <w:rFonts w:ascii="Arial" w:hAnsi="Arial" w:cs="Arial"/>
          <w:u w:val="single"/>
        </w:rPr>
      </w:pPr>
    </w:p>
    <w:sectPr w:rsidR="002F36B2" w:rsidRPr="00A869EB" w:rsidSect="00865E07">
      <w:headerReference w:type="even" r:id="rId9"/>
      <w:headerReference w:type="default" r:id="rId10"/>
      <w:footerReference w:type="even" r:id="rId11"/>
      <w:footerReference w:type="defaul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D99" w:rsidRDefault="00FD6D99">
      <w:r>
        <w:separator/>
      </w:r>
    </w:p>
  </w:endnote>
  <w:endnote w:type="continuationSeparator" w:id="0">
    <w:p w:rsidR="00FD6D99" w:rsidRDefault="00FD6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CF" w:rsidRDefault="00EB3CC4" w:rsidP="001455CF">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1455CF" w:rsidRDefault="00FD6D99" w:rsidP="001455CF">
    <w:pPr>
      <w:pStyle w:val="Pieddepage"/>
    </w:pPr>
  </w:p>
  <w:p w:rsidR="001455CF" w:rsidRDefault="00FD6D99" w:rsidP="001455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CF" w:rsidRDefault="00FD6D99" w:rsidP="001455CF">
    <w:pPr>
      <w:pStyle w:val="Pieddepage"/>
      <w:ind w:firstLine="0"/>
      <w:jc w:val="center"/>
      <w:rPr>
        <w:rStyle w:val="Numrodepage"/>
      </w:rPr>
    </w:pPr>
  </w:p>
  <w:p w:rsidR="001455CF" w:rsidRDefault="00FD6D99" w:rsidP="001455CF">
    <w:pPr>
      <w:pStyle w:val="Pieddepage"/>
    </w:pPr>
  </w:p>
  <w:p w:rsidR="001455CF" w:rsidRDefault="00FD6D99" w:rsidP="001455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D99" w:rsidRDefault="00FD6D99">
      <w:r>
        <w:separator/>
      </w:r>
    </w:p>
  </w:footnote>
  <w:footnote w:type="continuationSeparator" w:id="0">
    <w:p w:rsidR="00FD6D99" w:rsidRDefault="00FD6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CF" w:rsidRDefault="00EB3CC4" w:rsidP="001455CF">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1455CF" w:rsidRDefault="00FD6D99" w:rsidP="001455CF">
    <w:pPr>
      <w:pStyle w:val="En-tte"/>
    </w:pPr>
  </w:p>
  <w:p w:rsidR="001455CF" w:rsidRDefault="00FD6D99" w:rsidP="001455C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1982"/>
      <w:docPartObj>
        <w:docPartGallery w:val="Page Numbers (Top of Page)"/>
        <w:docPartUnique/>
      </w:docPartObj>
    </w:sdtPr>
    <w:sdtEndPr>
      <w:rPr>
        <w:sz w:val="22"/>
        <w:szCs w:val="22"/>
      </w:rPr>
    </w:sdtEndPr>
    <w:sdtContent>
      <w:p w:rsidR="00865E07" w:rsidRPr="00865E07" w:rsidRDefault="00865E07">
        <w:pPr>
          <w:pStyle w:val="En-tte"/>
          <w:jc w:val="right"/>
          <w:rPr>
            <w:sz w:val="22"/>
            <w:szCs w:val="22"/>
          </w:rPr>
        </w:pPr>
        <w:r w:rsidRPr="00865E07">
          <w:rPr>
            <w:sz w:val="22"/>
            <w:szCs w:val="22"/>
          </w:rPr>
          <w:fldChar w:fldCharType="begin"/>
        </w:r>
        <w:r w:rsidRPr="00865E07">
          <w:rPr>
            <w:sz w:val="22"/>
            <w:szCs w:val="22"/>
          </w:rPr>
          <w:instrText>PAGE   \* MERGEFORMAT</w:instrText>
        </w:r>
        <w:r w:rsidRPr="00865E07">
          <w:rPr>
            <w:sz w:val="22"/>
            <w:szCs w:val="22"/>
          </w:rPr>
          <w:fldChar w:fldCharType="separate"/>
        </w:r>
        <w:r w:rsidR="000B666F">
          <w:rPr>
            <w:noProof/>
            <w:sz w:val="22"/>
            <w:szCs w:val="22"/>
          </w:rPr>
          <w:t>3</w:t>
        </w:r>
        <w:r w:rsidRPr="00865E07">
          <w:rPr>
            <w:sz w:val="22"/>
            <w:szCs w:val="22"/>
          </w:rPr>
          <w:fldChar w:fldCharType="end"/>
        </w:r>
        <w:r w:rsidRPr="00865E07">
          <w:rPr>
            <w:sz w:val="22"/>
            <w:szCs w:val="22"/>
          </w:rPr>
          <w:t>/4</w:t>
        </w:r>
      </w:p>
    </w:sdtContent>
  </w:sdt>
  <w:p w:rsidR="001455CF" w:rsidRDefault="00FD6D99" w:rsidP="001455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C65"/>
    <w:multiLevelType w:val="hybridMultilevel"/>
    <w:tmpl w:val="CA581EA0"/>
    <w:lvl w:ilvl="0" w:tplc="ACA83FEC">
      <w:start w:val="3"/>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9420C"/>
    <w:rsid w:val="000A417A"/>
    <w:rsid w:val="000A70A9"/>
    <w:rsid w:val="000B666F"/>
    <w:rsid w:val="000F3599"/>
    <w:rsid w:val="000F3FC5"/>
    <w:rsid w:val="00121938"/>
    <w:rsid w:val="001305ED"/>
    <w:rsid w:val="0017254A"/>
    <w:rsid w:val="001A34F6"/>
    <w:rsid w:val="001A3C74"/>
    <w:rsid w:val="001B450C"/>
    <w:rsid w:val="001C6013"/>
    <w:rsid w:val="001F0781"/>
    <w:rsid w:val="001F44AD"/>
    <w:rsid w:val="00200906"/>
    <w:rsid w:val="00212EED"/>
    <w:rsid w:val="00244C57"/>
    <w:rsid w:val="002461BC"/>
    <w:rsid w:val="002568A5"/>
    <w:rsid w:val="00266453"/>
    <w:rsid w:val="00272F84"/>
    <w:rsid w:val="002740FF"/>
    <w:rsid w:val="00292347"/>
    <w:rsid w:val="002A0B71"/>
    <w:rsid w:val="002E696D"/>
    <w:rsid w:val="002F0728"/>
    <w:rsid w:val="002F36B2"/>
    <w:rsid w:val="002F6584"/>
    <w:rsid w:val="00310EAC"/>
    <w:rsid w:val="003128A8"/>
    <w:rsid w:val="00312EBF"/>
    <w:rsid w:val="0031485A"/>
    <w:rsid w:val="00314B32"/>
    <w:rsid w:val="00340ACC"/>
    <w:rsid w:val="003468F5"/>
    <w:rsid w:val="00363E14"/>
    <w:rsid w:val="003914D3"/>
    <w:rsid w:val="003A5206"/>
    <w:rsid w:val="003B3CD8"/>
    <w:rsid w:val="003D4933"/>
    <w:rsid w:val="003D4985"/>
    <w:rsid w:val="003D60BE"/>
    <w:rsid w:val="004023F3"/>
    <w:rsid w:val="00404714"/>
    <w:rsid w:val="0040485F"/>
    <w:rsid w:val="0040765A"/>
    <w:rsid w:val="00413C9B"/>
    <w:rsid w:val="00424FB5"/>
    <w:rsid w:val="004A12A2"/>
    <w:rsid w:val="004A5A8A"/>
    <w:rsid w:val="004C48E3"/>
    <w:rsid w:val="004D24D9"/>
    <w:rsid w:val="004E40FD"/>
    <w:rsid w:val="004E59FB"/>
    <w:rsid w:val="00511100"/>
    <w:rsid w:val="00531F9D"/>
    <w:rsid w:val="0053378C"/>
    <w:rsid w:val="00551A1E"/>
    <w:rsid w:val="00561430"/>
    <w:rsid w:val="0057399B"/>
    <w:rsid w:val="005A66BC"/>
    <w:rsid w:val="00600182"/>
    <w:rsid w:val="00631225"/>
    <w:rsid w:val="00635CF9"/>
    <w:rsid w:val="00651233"/>
    <w:rsid w:val="00673CEB"/>
    <w:rsid w:val="006A1F3B"/>
    <w:rsid w:val="006A40D1"/>
    <w:rsid w:val="006B01DB"/>
    <w:rsid w:val="006B3309"/>
    <w:rsid w:val="006C5826"/>
    <w:rsid w:val="00710B67"/>
    <w:rsid w:val="00714681"/>
    <w:rsid w:val="007146AA"/>
    <w:rsid w:val="007177A2"/>
    <w:rsid w:val="00721FD9"/>
    <w:rsid w:val="00735157"/>
    <w:rsid w:val="00773827"/>
    <w:rsid w:val="007A24C4"/>
    <w:rsid w:val="007C00D7"/>
    <w:rsid w:val="007C610B"/>
    <w:rsid w:val="00800689"/>
    <w:rsid w:val="00812D66"/>
    <w:rsid w:val="00847C69"/>
    <w:rsid w:val="008504D8"/>
    <w:rsid w:val="008521B3"/>
    <w:rsid w:val="00861F67"/>
    <w:rsid w:val="00865E07"/>
    <w:rsid w:val="0087748C"/>
    <w:rsid w:val="00896F60"/>
    <w:rsid w:val="008B21D3"/>
    <w:rsid w:val="008B4A05"/>
    <w:rsid w:val="008C10A0"/>
    <w:rsid w:val="008C2ED4"/>
    <w:rsid w:val="008C3BA5"/>
    <w:rsid w:val="008D2DD0"/>
    <w:rsid w:val="008D6AA7"/>
    <w:rsid w:val="008E6A46"/>
    <w:rsid w:val="00902DE6"/>
    <w:rsid w:val="009159C0"/>
    <w:rsid w:val="0092211F"/>
    <w:rsid w:val="009C3E7F"/>
    <w:rsid w:val="009F13DE"/>
    <w:rsid w:val="009F4888"/>
    <w:rsid w:val="00A57C30"/>
    <w:rsid w:val="00A65C4D"/>
    <w:rsid w:val="00A72FCE"/>
    <w:rsid w:val="00A760DC"/>
    <w:rsid w:val="00A766C2"/>
    <w:rsid w:val="00A869EB"/>
    <w:rsid w:val="00AC09B3"/>
    <w:rsid w:val="00AC2523"/>
    <w:rsid w:val="00AD781F"/>
    <w:rsid w:val="00AF125A"/>
    <w:rsid w:val="00AF1EEB"/>
    <w:rsid w:val="00B62B6F"/>
    <w:rsid w:val="00B67AD0"/>
    <w:rsid w:val="00B73D24"/>
    <w:rsid w:val="00B9619D"/>
    <w:rsid w:val="00BA1793"/>
    <w:rsid w:val="00BA1E69"/>
    <w:rsid w:val="00BB12FF"/>
    <w:rsid w:val="00BC3618"/>
    <w:rsid w:val="00BD4BB4"/>
    <w:rsid w:val="00BD5CDC"/>
    <w:rsid w:val="00BD7D6E"/>
    <w:rsid w:val="00C00350"/>
    <w:rsid w:val="00C25B4B"/>
    <w:rsid w:val="00C2604D"/>
    <w:rsid w:val="00C414D1"/>
    <w:rsid w:val="00C46834"/>
    <w:rsid w:val="00C57609"/>
    <w:rsid w:val="00C606B9"/>
    <w:rsid w:val="00C60E48"/>
    <w:rsid w:val="00C7028D"/>
    <w:rsid w:val="00C71E7B"/>
    <w:rsid w:val="00C73893"/>
    <w:rsid w:val="00C77005"/>
    <w:rsid w:val="00CC648E"/>
    <w:rsid w:val="00CD77A0"/>
    <w:rsid w:val="00CE69C1"/>
    <w:rsid w:val="00CF051F"/>
    <w:rsid w:val="00D1326C"/>
    <w:rsid w:val="00D17492"/>
    <w:rsid w:val="00D554D9"/>
    <w:rsid w:val="00D564FE"/>
    <w:rsid w:val="00D804F0"/>
    <w:rsid w:val="00DA5004"/>
    <w:rsid w:val="00DA7607"/>
    <w:rsid w:val="00DC487F"/>
    <w:rsid w:val="00DE2849"/>
    <w:rsid w:val="00DE5C13"/>
    <w:rsid w:val="00E10692"/>
    <w:rsid w:val="00E10705"/>
    <w:rsid w:val="00E11D72"/>
    <w:rsid w:val="00E22BDF"/>
    <w:rsid w:val="00E304C2"/>
    <w:rsid w:val="00E63F31"/>
    <w:rsid w:val="00E65D96"/>
    <w:rsid w:val="00E745F6"/>
    <w:rsid w:val="00E83C90"/>
    <w:rsid w:val="00E84E46"/>
    <w:rsid w:val="00EB3CC4"/>
    <w:rsid w:val="00EE01AD"/>
    <w:rsid w:val="00F11CEB"/>
    <w:rsid w:val="00F160F8"/>
    <w:rsid w:val="00F22162"/>
    <w:rsid w:val="00F22994"/>
    <w:rsid w:val="00F477C6"/>
    <w:rsid w:val="00F5569E"/>
    <w:rsid w:val="00F83EDE"/>
    <w:rsid w:val="00FB59E8"/>
    <w:rsid w:val="00FD6D99"/>
    <w:rsid w:val="00FD76D4"/>
    <w:rsid w:val="00FF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spacing w:after="0" w:line="240" w:lineRule="auto"/>
      <w:ind w:firstLine="851"/>
      <w:jc w:val="both"/>
    </w:pPr>
    <w:rPr>
      <w:rFonts w:ascii="Times New Roman" w:eastAsia="Times New Roman" w:hAnsi="Times New Roman" w:cs="Times New Roman"/>
      <w:sz w:val="24"/>
      <w:szCs w:val="24"/>
      <w:lang w:eastAsia="fr-FR"/>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basedOn w:val="Policepardfaut"/>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basedOn w:val="Policepardfaut"/>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basedOn w:val="Policepardfaut"/>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Marquedecommentaire">
    <w:name w:val="annotation reference"/>
    <w:basedOn w:val="Policepardfaut"/>
    <w:uiPriority w:val="99"/>
    <w:semiHidden/>
    <w:unhideWhenUsed/>
    <w:rsid w:val="0009420C"/>
    <w:rPr>
      <w:sz w:val="16"/>
      <w:szCs w:val="16"/>
    </w:rPr>
  </w:style>
  <w:style w:type="paragraph" w:styleId="Commentaire">
    <w:name w:val="annotation text"/>
    <w:basedOn w:val="Normal"/>
    <w:link w:val="CommentaireCar"/>
    <w:uiPriority w:val="99"/>
    <w:semiHidden/>
    <w:unhideWhenUsed/>
    <w:rsid w:val="0009420C"/>
    <w:rPr>
      <w:sz w:val="20"/>
      <w:szCs w:val="20"/>
    </w:rPr>
  </w:style>
  <w:style w:type="character" w:customStyle="1" w:styleId="CommentaireCar">
    <w:name w:val="Commentaire Car"/>
    <w:basedOn w:val="Policepardfaut"/>
    <w:link w:val="Commentaire"/>
    <w:uiPriority w:val="99"/>
    <w:semiHidden/>
    <w:rsid w:val="0009420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9420C"/>
    <w:rPr>
      <w:b/>
      <w:bCs/>
    </w:rPr>
  </w:style>
  <w:style w:type="character" w:customStyle="1" w:styleId="ObjetducommentaireCar">
    <w:name w:val="Objet du commentaire Car"/>
    <w:basedOn w:val="CommentaireCar"/>
    <w:link w:val="Objetducommentaire"/>
    <w:uiPriority w:val="99"/>
    <w:semiHidden/>
    <w:rsid w:val="0009420C"/>
    <w:rPr>
      <w:rFonts w:ascii="Times New Roman" w:eastAsia="Times New Roman" w:hAnsi="Times New Roman" w:cs="Times New Roman"/>
      <w:b/>
      <w:bCs/>
      <w:sz w:val="20"/>
      <w:szCs w:val="20"/>
      <w:lang w:eastAsia="fr-FR"/>
    </w:rPr>
  </w:style>
  <w:style w:type="paragraph" w:styleId="Rvision">
    <w:name w:val="Revision"/>
    <w:hidden/>
    <w:uiPriority w:val="99"/>
    <w:semiHidden/>
    <w:rsid w:val="0009420C"/>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9420C"/>
    <w:rPr>
      <w:rFonts w:ascii="Tahoma" w:hAnsi="Tahoma" w:cs="Tahoma"/>
      <w:sz w:val="16"/>
      <w:szCs w:val="16"/>
    </w:rPr>
  </w:style>
  <w:style w:type="character" w:customStyle="1" w:styleId="TextedebullesCar">
    <w:name w:val="Texte de bulles Car"/>
    <w:basedOn w:val="Policepardfaut"/>
    <w:link w:val="Textedebulles"/>
    <w:uiPriority w:val="99"/>
    <w:semiHidden/>
    <w:rsid w:val="0009420C"/>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spacing w:after="0" w:line="240" w:lineRule="auto"/>
      <w:ind w:firstLine="851"/>
      <w:jc w:val="both"/>
    </w:pPr>
    <w:rPr>
      <w:rFonts w:ascii="Times New Roman" w:eastAsia="Times New Roman" w:hAnsi="Times New Roman" w:cs="Times New Roman"/>
      <w:sz w:val="24"/>
      <w:szCs w:val="24"/>
      <w:lang w:eastAsia="fr-FR"/>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basedOn w:val="Policepardfaut"/>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basedOn w:val="Policepardfaut"/>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basedOn w:val="Policepardfaut"/>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Marquedecommentaire">
    <w:name w:val="annotation reference"/>
    <w:basedOn w:val="Policepardfaut"/>
    <w:uiPriority w:val="99"/>
    <w:semiHidden/>
    <w:unhideWhenUsed/>
    <w:rsid w:val="0009420C"/>
    <w:rPr>
      <w:sz w:val="16"/>
      <w:szCs w:val="16"/>
    </w:rPr>
  </w:style>
  <w:style w:type="paragraph" w:styleId="Commentaire">
    <w:name w:val="annotation text"/>
    <w:basedOn w:val="Normal"/>
    <w:link w:val="CommentaireCar"/>
    <w:uiPriority w:val="99"/>
    <w:semiHidden/>
    <w:unhideWhenUsed/>
    <w:rsid w:val="0009420C"/>
    <w:rPr>
      <w:sz w:val="20"/>
      <w:szCs w:val="20"/>
    </w:rPr>
  </w:style>
  <w:style w:type="character" w:customStyle="1" w:styleId="CommentaireCar">
    <w:name w:val="Commentaire Car"/>
    <w:basedOn w:val="Policepardfaut"/>
    <w:link w:val="Commentaire"/>
    <w:uiPriority w:val="99"/>
    <w:semiHidden/>
    <w:rsid w:val="0009420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9420C"/>
    <w:rPr>
      <w:b/>
      <w:bCs/>
    </w:rPr>
  </w:style>
  <w:style w:type="character" w:customStyle="1" w:styleId="ObjetducommentaireCar">
    <w:name w:val="Objet du commentaire Car"/>
    <w:basedOn w:val="CommentaireCar"/>
    <w:link w:val="Objetducommentaire"/>
    <w:uiPriority w:val="99"/>
    <w:semiHidden/>
    <w:rsid w:val="0009420C"/>
    <w:rPr>
      <w:rFonts w:ascii="Times New Roman" w:eastAsia="Times New Roman" w:hAnsi="Times New Roman" w:cs="Times New Roman"/>
      <w:b/>
      <w:bCs/>
      <w:sz w:val="20"/>
      <w:szCs w:val="20"/>
      <w:lang w:eastAsia="fr-FR"/>
    </w:rPr>
  </w:style>
  <w:style w:type="paragraph" w:styleId="Rvision">
    <w:name w:val="Revision"/>
    <w:hidden/>
    <w:uiPriority w:val="99"/>
    <w:semiHidden/>
    <w:rsid w:val="0009420C"/>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9420C"/>
    <w:rPr>
      <w:rFonts w:ascii="Tahoma" w:hAnsi="Tahoma" w:cs="Tahoma"/>
      <w:sz w:val="16"/>
      <w:szCs w:val="16"/>
    </w:rPr>
  </w:style>
  <w:style w:type="character" w:customStyle="1" w:styleId="TextedebullesCar">
    <w:name w:val="Texte de bulles Car"/>
    <w:basedOn w:val="Policepardfaut"/>
    <w:link w:val="Textedebulles"/>
    <w:uiPriority w:val="99"/>
    <w:semiHidden/>
    <w:rsid w:val="0009420C"/>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1187</Words>
  <Characters>6532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11</cp:revision>
  <cp:lastPrinted>2015-05-26T08:19:00Z</cp:lastPrinted>
  <dcterms:created xsi:type="dcterms:W3CDTF">2015-05-27T11:47:00Z</dcterms:created>
  <dcterms:modified xsi:type="dcterms:W3CDTF">2015-06-29T11:56:00Z</dcterms:modified>
</cp:coreProperties>
</file>