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707" w:rsidRPr="007F2707" w:rsidRDefault="007F2707" w:rsidP="007F2707"/>
    <w:p w:rsidR="003E76DE" w:rsidRPr="003E76DE" w:rsidRDefault="00BA4F93">
      <w:pPr>
        <w:rPr>
          <w:rFonts w:cs="Arial"/>
        </w:rPr>
      </w:pPr>
      <w:r w:rsidRPr="003E76DE">
        <w:rPr>
          <w:rFonts w:cs="Arial"/>
          <w:noProof/>
          <w:lang w:eastAsia="fr-FR"/>
        </w:rPr>
        <w:drawing>
          <wp:anchor distT="0" distB="0" distL="114300" distR="114300" simplePos="0" relativeHeight="251659264" behindDoc="0" locked="0" layoutInCell="1" allowOverlap="1" wp14:anchorId="0D47B503" wp14:editId="12F7DD4E">
            <wp:simplePos x="0" y="0"/>
            <wp:positionH relativeFrom="column">
              <wp:posOffset>-728345</wp:posOffset>
            </wp:positionH>
            <wp:positionV relativeFrom="paragraph">
              <wp:posOffset>-562610</wp:posOffset>
            </wp:positionV>
            <wp:extent cx="7559040" cy="1258570"/>
            <wp:effectExtent l="19050" t="0" r="3810" b="0"/>
            <wp:wrapTopAndBottom/>
            <wp:docPr id="468008388" name="32355592449e9555b"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279945" name="N_COUR_BANDEAU-ENTETE.jpg"/>
                    <pic:cNvPicPr/>
                  </pic:nvPicPr>
                  <pic:blipFill>
                    <a:blip r:embed="rId9"/>
                    <a:stretch>
                      <a:fillRect/>
                    </a:stretch>
                  </pic:blipFill>
                  <pic:spPr>
                    <a:xfrm>
                      <a:off x="0" y="0"/>
                      <a:ext cx="7559040" cy="1258570"/>
                    </a:xfrm>
                    <a:prstGeom prst="rect">
                      <a:avLst/>
                    </a:prstGeom>
                  </pic:spPr>
                </pic:pic>
              </a:graphicData>
            </a:graphic>
          </wp:anchor>
        </w:drawing>
      </w:r>
    </w:p>
    <w:tbl>
      <w:tblPr>
        <w:tblW w:w="9889" w:type="dxa"/>
        <w:tblLook w:val="00A0" w:firstRow="1" w:lastRow="0" w:firstColumn="1" w:lastColumn="0" w:noHBand="0" w:noVBand="0"/>
      </w:tblPr>
      <w:tblGrid>
        <w:gridCol w:w="5103"/>
        <w:gridCol w:w="4786"/>
      </w:tblGrid>
      <w:tr w:rsidR="009F58BA" w:rsidRPr="00607A37" w:rsidTr="00F942D7">
        <w:tc>
          <w:tcPr>
            <w:tcW w:w="5103" w:type="dxa"/>
          </w:tcPr>
          <w:p w:rsidR="009F58BA" w:rsidRPr="00607A37" w:rsidRDefault="00BA4F93" w:rsidP="007D4EFB">
            <w:pPr>
              <w:spacing w:line="240" w:lineRule="auto"/>
              <w:ind w:right="1474"/>
              <w:jc w:val="center"/>
              <w:rPr>
                <w:rFonts w:eastAsia="Times New Roman" w:cs="Arial"/>
                <w:sz w:val="22"/>
                <w:lang w:eastAsia="fr-FR"/>
              </w:rPr>
            </w:pPr>
            <w:r w:rsidRPr="00607A37">
              <w:rPr>
                <w:rFonts w:eastAsia="Times New Roman" w:cs="Arial"/>
                <w:sz w:val="22"/>
                <w:lang w:eastAsia="fr-FR"/>
              </w:rPr>
              <w:t>QUATRIÈME CHAMBRE</w:t>
            </w:r>
          </w:p>
          <w:p w:rsidR="009F58BA" w:rsidRPr="00607A37" w:rsidRDefault="00BA4F93" w:rsidP="007D4EFB">
            <w:pPr>
              <w:spacing w:line="240" w:lineRule="auto"/>
              <w:ind w:right="1474"/>
              <w:jc w:val="center"/>
              <w:rPr>
                <w:rFonts w:eastAsia="Times New Roman" w:cs="Arial"/>
                <w:b/>
                <w:sz w:val="22"/>
                <w:lang w:eastAsia="fr-FR"/>
              </w:rPr>
            </w:pPr>
            <w:r w:rsidRPr="00607A37">
              <w:rPr>
                <w:rFonts w:eastAsia="Times New Roman" w:cs="Arial"/>
                <w:b/>
                <w:sz w:val="22"/>
                <w:lang w:eastAsia="fr-FR"/>
              </w:rPr>
              <w:t>-------</w:t>
            </w:r>
          </w:p>
          <w:p w:rsidR="009F58BA" w:rsidRPr="00607A37" w:rsidRDefault="00BA4F93" w:rsidP="007D4EFB">
            <w:pPr>
              <w:spacing w:line="240" w:lineRule="auto"/>
              <w:ind w:right="1474"/>
              <w:jc w:val="center"/>
              <w:rPr>
                <w:rFonts w:eastAsia="Times New Roman" w:cs="Arial"/>
                <w:sz w:val="22"/>
                <w:lang w:eastAsia="fr-FR"/>
              </w:rPr>
            </w:pPr>
            <w:r w:rsidRPr="00607A37">
              <w:rPr>
                <w:rFonts w:eastAsia="Times New Roman" w:cs="Arial"/>
                <w:sz w:val="22"/>
                <w:lang w:eastAsia="fr-FR"/>
              </w:rPr>
              <w:t>Première section</w:t>
            </w:r>
          </w:p>
          <w:p w:rsidR="009F58BA" w:rsidRPr="00607A37" w:rsidRDefault="00BA4F93" w:rsidP="007D4EFB">
            <w:pPr>
              <w:spacing w:line="240" w:lineRule="auto"/>
              <w:ind w:right="1474"/>
              <w:jc w:val="center"/>
              <w:rPr>
                <w:rFonts w:eastAsia="Times New Roman" w:cs="Arial"/>
                <w:b/>
                <w:sz w:val="22"/>
                <w:lang w:eastAsia="fr-FR"/>
              </w:rPr>
            </w:pPr>
            <w:r w:rsidRPr="00607A37">
              <w:rPr>
                <w:rFonts w:eastAsia="Times New Roman" w:cs="Arial"/>
                <w:b/>
                <w:sz w:val="22"/>
                <w:lang w:eastAsia="fr-FR"/>
              </w:rPr>
              <w:t>-------</w:t>
            </w:r>
          </w:p>
          <w:p w:rsidR="009F58BA" w:rsidRPr="00607A37" w:rsidRDefault="00BA4F93" w:rsidP="007D4EFB">
            <w:pPr>
              <w:spacing w:line="240" w:lineRule="auto"/>
              <w:ind w:right="1474"/>
              <w:jc w:val="center"/>
              <w:rPr>
                <w:rFonts w:eastAsia="Times New Roman" w:cs="Arial"/>
                <w:sz w:val="22"/>
                <w:lang w:eastAsia="fr-FR"/>
              </w:rPr>
            </w:pPr>
            <w:r w:rsidRPr="00607A37">
              <w:rPr>
                <w:rFonts w:eastAsia="Times New Roman" w:cs="Arial"/>
                <w:sz w:val="22"/>
                <w:lang w:eastAsia="fr-FR"/>
              </w:rPr>
              <w:t xml:space="preserve">Arrêt n° </w:t>
            </w:r>
            <w:r w:rsidR="00076CB3" w:rsidRPr="00607A37">
              <w:rPr>
                <w:rFonts w:eastAsia="Times New Roman" w:cs="Arial"/>
                <w:sz w:val="22"/>
                <w:lang w:eastAsia="fr-FR"/>
              </w:rPr>
              <w:t>72576</w:t>
            </w:r>
          </w:p>
          <w:p w:rsidR="009F58BA" w:rsidRPr="00607A37" w:rsidRDefault="00F445A8" w:rsidP="007D4EFB">
            <w:pPr>
              <w:spacing w:line="240" w:lineRule="auto"/>
              <w:ind w:right="1474"/>
              <w:jc w:val="center"/>
              <w:rPr>
                <w:rFonts w:eastAsia="Times New Roman" w:cs="Arial"/>
                <w:sz w:val="22"/>
                <w:lang w:eastAsia="fr-FR"/>
              </w:rPr>
            </w:pPr>
          </w:p>
          <w:p w:rsidR="009F58BA" w:rsidRPr="00607A37" w:rsidRDefault="00BA4F93" w:rsidP="007D4EFB">
            <w:pPr>
              <w:spacing w:line="240" w:lineRule="auto"/>
              <w:ind w:right="1474"/>
              <w:jc w:val="center"/>
              <w:rPr>
                <w:rFonts w:eastAsia="Times New Roman" w:cs="Arial"/>
                <w:sz w:val="22"/>
                <w:lang w:eastAsia="fr-FR"/>
              </w:rPr>
            </w:pPr>
            <w:r w:rsidRPr="00607A37">
              <w:rPr>
                <w:rFonts w:eastAsia="Times New Roman" w:cs="Arial"/>
                <w:sz w:val="22"/>
                <w:lang w:eastAsia="fr-FR"/>
              </w:rPr>
              <w:t xml:space="preserve">Audience publique du </w:t>
            </w:r>
            <w:r w:rsidR="00076CB3" w:rsidRPr="00607A37">
              <w:rPr>
                <w:rFonts w:eastAsia="Times New Roman" w:cs="Arial"/>
                <w:sz w:val="22"/>
                <w:lang w:eastAsia="fr-FR"/>
              </w:rPr>
              <w:t>9 juillet 2015</w:t>
            </w:r>
          </w:p>
          <w:p w:rsidR="009F58BA" w:rsidRPr="00607A37" w:rsidRDefault="00F445A8" w:rsidP="007D4EFB">
            <w:pPr>
              <w:spacing w:line="240" w:lineRule="auto"/>
              <w:ind w:right="1474"/>
              <w:jc w:val="center"/>
              <w:rPr>
                <w:rFonts w:eastAsia="Times New Roman" w:cs="Arial"/>
                <w:sz w:val="22"/>
                <w:lang w:eastAsia="fr-FR"/>
              </w:rPr>
            </w:pPr>
          </w:p>
          <w:p w:rsidR="009F58BA" w:rsidRPr="00607A37" w:rsidRDefault="00BA4F93" w:rsidP="007D4EFB">
            <w:pPr>
              <w:spacing w:line="240" w:lineRule="auto"/>
              <w:ind w:right="1474"/>
              <w:jc w:val="center"/>
              <w:rPr>
                <w:rFonts w:eastAsia="Times New Roman" w:cs="Arial"/>
                <w:i/>
                <w:sz w:val="22"/>
                <w:lang w:eastAsia="fr-FR"/>
              </w:rPr>
            </w:pPr>
            <w:r w:rsidRPr="00607A37">
              <w:rPr>
                <w:rFonts w:eastAsia="Times New Roman" w:cs="Arial"/>
                <w:sz w:val="22"/>
                <w:lang w:eastAsia="fr-FR"/>
              </w:rPr>
              <w:t xml:space="preserve">Prononcé du </w:t>
            </w:r>
            <w:r w:rsidR="00076CB3" w:rsidRPr="00607A37">
              <w:rPr>
                <w:rFonts w:eastAsia="Times New Roman" w:cs="Arial"/>
                <w:sz w:val="22"/>
                <w:lang w:eastAsia="fr-FR"/>
              </w:rPr>
              <w:t>10 septembre 2015</w:t>
            </w:r>
          </w:p>
          <w:p w:rsidR="009F58BA" w:rsidRPr="00607A37" w:rsidRDefault="00F445A8">
            <w:pPr>
              <w:spacing w:line="240" w:lineRule="auto"/>
              <w:rPr>
                <w:rFonts w:eastAsia="Times New Roman" w:cs="Arial"/>
                <w:sz w:val="22"/>
                <w:lang w:eastAsia="fr-FR"/>
              </w:rPr>
            </w:pPr>
          </w:p>
        </w:tc>
        <w:tc>
          <w:tcPr>
            <w:tcW w:w="4786" w:type="dxa"/>
          </w:tcPr>
          <w:p w:rsidR="00607A37" w:rsidRDefault="00076CB3">
            <w:pPr>
              <w:spacing w:line="240" w:lineRule="auto"/>
              <w:rPr>
                <w:rFonts w:eastAsia="Times New Roman" w:cs="Arial"/>
                <w:sz w:val="22"/>
                <w:lang w:eastAsia="fr-FR"/>
              </w:rPr>
            </w:pPr>
            <w:r w:rsidRPr="00607A37">
              <w:rPr>
                <w:rFonts w:eastAsia="Times New Roman" w:cs="Arial"/>
                <w:sz w:val="22"/>
                <w:lang w:eastAsia="fr-FR"/>
              </w:rPr>
              <w:t>COMMUNE DE VENELLES</w:t>
            </w:r>
          </w:p>
          <w:p w:rsidR="009F58BA" w:rsidRPr="00607A37" w:rsidRDefault="00076CB3">
            <w:pPr>
              <w:spacing w:line="240" w:lineRule="auto"/>
              <w:rPr>
                <w:rFonts w:eastAsia="Times New Roman" w:cs="Arial"/>
                <w:sz w:val="22"/>
                <w:lang w:eastAsia="fr-FR"/>
              </w:rPr>
            </w:pPr>
            <w:r w:rsidRPr="00607A37">
              <w:rPr>
                <w:rFonts w:eastAsia="Times New Roman" w:cs="Arial"/>
                <w:sz w:val="22"/>
                <w:lang w:eastAsia="fr-FR"/>
              </w:rPr>
              <w:t>(BOUCHES-DU-RH</w:t>
            </w:r>
            <w:r w:rsidR="00A25A2D" w:rsidRPr="00607A37">
              <w:rPr>
                <w:rFonts w:eastAsia="Times New Roman" w:cs="Arial"/>
                <w:sz w:val="22"/>
                <w:lang w:eastAsia="fr-FR"/>
              </w:rPr>
              <w:t>Ô</w:t>
            </w:r>
            <w:r w:rsidRPr="00607A37">
              <w:rPr>
                <w:rFonts w:eastAsia="Times New Roman" w:cs="Arial"/>
                <w:sz w:val="22"/>
                <w:lang w:eastAsia="fr-FR"/>
              </w:rPr>
              <w:t>NE)</w:t>
            </w:r>
          </w:p>
          <w:p w:rsidR="009F58BA" w:rsidRPr="00607A37" w:rsidRDefault="00F445A8">
            <w:pPr>
              <w:spacing w:line="240" w:lineRule="auto"/>
              <w:rPr>
                <w:rFonts w:eastAsia="Times New Roman" w:cs="Arial"/>
                <w:sz w:val="22"/>
                <w:lang w:eastAsia="fr-FR"/>
              </w:rPr>
            </w:pPr>
          </w:p>
          <w:p w:rsidR="00E72BBA" w:rsidRPr="00607A37" w:rsidRDefault="00E72BBA">
            <w:pPr>
              <w:spacing w:line="240" w:lineRule="auto"/>
              <w:rPr>
                <w:rFonts w:eastAsia="Times New Roman" w:cs="Arial"/>
                <w:sz w:val="22"/>
                <w:lang w:eastAsia="fr-FR"/>
              </w:rPr>
            </w:pPr>
          </w:p>
          <w:p w:rsidR="009F58BA" w:rsidRPr="00607A37" w:rsidRDefault="00BA4F93">
            <w:pPr>
              <w:spacing w:line="240" w:lineRule="auto"/>
              <w:rPr>
                <w:rFonts w:eastAsia="Times New Roman" w:cs="Arial"/>
                <w:sz w:val="22"/>
                <w:lang w:eastAsia="fr-FR"/>
              </w:rPr>
            </w:pPr>
            <w:r w:rsidRPr="00607A37">
              <w:rPr>
                <w:rFonts w:eastAsia="Times New Roman" w:cs="Arial"/>
                <w:sz w:val="22"/>
                <w:lang w:eastAsia="fr-FR"/>
              </w:rPr>
              <w:t xml:space="preserve">Appel d’un jugement de la chambre régionale des comptes de </w:t>
            </w:r>
            <w:r w:rsidR="00076CB3" w:rsidRPr="00607A37">
              <w:rPr>
                <w:rFonts w:eastAsia="Times New Roman" w:cs="Arial"/>
                <w:sz w:val="22"/>
                <w:lang w:eastAsia="fr-FR"/>
              </w:rPr>
              <w:t>Provence-Alpes-Côte d’Azur</w:t>
            </w:r>
          </w:p>
          <w:p w:rsidR="009F58BA" w:rsidRPr="00607A37" w:rsidRDefault="00F445A8">
            <w:pPr>
              <w:spacing w:line="240" w:lineRule="auto"/>
              <w:rPr>
                <w:rFonts w:eastAsia="Times New Roman" w:cs="Arial"/>
                <w:sz w:val="22"/>
                <w:lang w:eastAsia="fr-FR"/>
              </w:rPr>
            </w:pPr>
          </w:p>
          <w:p w:rsidR="00E72BBA" w:rsidRPr="00607A37" w:rsidRDefault="00E72BBA">
            <w:pPr>
              <w:spacing w:line="240" w:lineRule="auto"/>
              <w:rPr>
                <w:rFonts w:eastAsia="Times New Roman" w:cs="Arial"/>
                <w:sz w:val="22"/>
                <w:lang w:eastAsia="fr-FR"/>
              </w:rPr>
            </w:pPr>
          </w:p>
          <w:p w:rsidR="009F58BA" w:rsidRPr="00607A37" w:rsidRDefault="00BA4F93" w:rsidP="00E72BBA">
            <w:pPr>
              <w:spacing w:line="240" w:lineRule="auto"/>
              <w:rPr>
                <w:rFonts w:eastAsia="Times New Roman" w:cs="Arial"/>
                <w:sz w:val="22"/>
                <w:lang w:eastAsia="fr-FR"/>
              </w:rPr>
            </w:pPr>
            <w:r w:rsidRPr="00607A37">
              <w:rPr>
                <w:rFonts w:eastAsia="Times New Roman" w:cs="Arial"/>
                <w:sz w:val="22"/>
                <w:lang w:eastAsia="fr-FR"/>
              </w:rPr>
              <w:t>Rapport n° </w:t>
            </w:r>
            <w:r w:rsidR="00076CB3" w:rsidRPr="00607A37">
              <w:rPr>
                <w:rFonts w:eastAsia="Times New Roman" w:cs="Arial"/>
                <w:sz w:val="22"/>
                <w:lang w:eastAsia="fr-FR"/>
              </w:rPr>
              <w:t>2015-207-0</w:t>
            </w:r>
          </w:p>
        </w:tc>
      </w:tr>
    </w:tbl>
    <w:p w:rsidR="00C744AF" w:rsidRPr="00607A37" w:rsidRDefault="00F445A8" w:rsidP="00C744AF">
      <w:pPr>
        <w:spacing w:line="240" w:lineRule="auto"/>
        <w:ind w:left="5670"/>
        <w:rPr>
          <w:rFonts w:eastAsia="Times New Roman" w:cs="Arial"/>
          <w:sz w:val="22"/>
          <w:lang w:eastAsia="fr-FR"/>
        </w:rPr>
      </w:pPr>
    </w:p>
    <w:p w:rsidR="00C744AF" w:rsidRPr="00607A37" w:rsidRDefault="00F445A8" w:rsidP="00C744AF">
      <w:pPr>
        <w:spacing w:line="240" w:lineRule="auto"/>
        <w:ind w:left="5670"/>
        <w:rPr>
          <w:rFonts w:eastAsia="Times New Roman" w:cs="Arial"/>
          <w:sz w:val="22"/>
          <w:lang w:eastAsia="fr-FR"/>
        </w:rPr>
      </w:pPr>
    </w:p>
    <w:p w:rsidR="00C744AF" w:rsidRPr="00607A37" w:rsidRDefault="00BA4F93" w:rsidP="00C744AF">
      <w:pPr>
        <w:tabs>
          <w:tab w:val="center" w:pos="9072"/>
        </w:tabs>
        <w:spacing w:line="240" w:lineRule="auto"/>
        <w:jc w:val="center"/>
        <w:rPr>
          <w:rFonts w:eastAsia="Times New Roman" w:cs="Arial"/>
          <w:sz w:val="22"/>
          <w:lang w:eastAsia="fr-FR"/>
        </w:rPr>
      </w:pPr>
      <w:r w:rsidRPr="00607A37">
        <w:rPr>
          <w:rFonts w:eastAsia="Times New Roman" w:cs="Arial"/>
          <w:sz w:val="22"/>
          <w:lang w:eastAsia="fr-FR"/>
        </w:rPr>
        <w:t>République Française,</w:t>
      </w:r>
    </w:p>
    <w:p w:rsidR="00C744AF" w:rsidRPr="00607A37" w:rsidRDefault="00BA4F93" w:rsidP="00C744AF">
      <w:pPr>
        <w:tabs>
          <w:tab w:val="center" w:pos="9072"/>
        </w:tabs>
        <w:spacing w:line="240" w:lineRule="auto"/>
        <w:jc w:val="center"/>
        <w:rPr>
          <w:rFonts w:eastAsia="Times New Roman" w:cs="Arial"/>
          <w:sz w:val="22"/>
          <w:lang w:eastAsia="fr-FR"/>
        </w:rPr>
      </w:pPr>
      <w:r w:rsidRPr="00607A37">
        <w:rPr>
          <w:rFonts w:eastAsia="Times New Roman" w:cs="Arial"/>
          <w:sz w:val="22"/>
          <w:lang w:eastAsia="fr-FR"/>
        </w:rPr>
        <w:t>Au nom du peuple français,</w:t>
      </w:r>
    </w:p>
    <w:p w:rsidR="00C744AF" w:rsidRPr="00607A37" w:rsidRDefault="00F445A8" w:rsidP="00C744AF">
      <w:pPr>
        <w:tabs>
          <w:tab w:val="center" w:pos="9072"/>
        </w:tabs>
        <w:spacing w:line="240" w:lineRule="auto"/>
        <w:jc w:val="center"/>
        <w:rPr>
          <w:rFonts w:eastAsia="Times New Roman" w:cs="Arial"/>
          <w:sz w:val="22"/>
          <w:lang w:eastAsia="fr-FR"/>
        </w:rPr>
      </w:pPr>
    </w:p>
    <w:p w:rsidR="00C744AF" w:rsidRPr="00607A37" w:rsidRDefault="00BA4F93" w:rsidP="00C744AF">
      <w:pPr>
        <w:tabs>
          <w:tab w:val="center" w:pos="9072"/>
        </w:tabs>
        <w:spacing w:before="120" w:after="360" w:line="240" w:lineRule="auto"/>
        <w:jc w:val="center"/>
        <w:rPr>
          <w:rFonts w:eastAsia="Times New Roman" w:cs="Arial"/>
          <w:sz w:val="22"/>
          <w:lang w:eastAsia="fr-FR"/>
        </w:rPr>
      </w:pPr>
      <w:r w:rsidRPr="00607A37">
        <w:rPr>
          <w:rFonts w:eastAsia="Times New Roman" w:cs="Arial"/>
          <w:sz w:val="22"/>
          <w:lang w:eastAsia="fr-FR"/>
        </w:rPr>
        <w:t>La Cour,</w:t>
      </w:r>
    </w:p>
    <w:p w:rsidR="00683CE7" w:rsidRPr="00607A37" w:rsidRDefault="00076CB3" w:rsidP="00683CE7">
      <w:pPr>
        <w:pStyle w:val="PS"/>
        <w:spacing w:before="100" w:beforeAutospacing="1" w:after="100" w:afterAutospacing="1"/>
        <w:ind w:left="0" w:firstLine="0"/>
        <w:rPr>
          <w:rFonts w:ascii="Arial" w:hAnsi="Arial" w:cs="Arial"/>
          <w:sz w:val="22"/>
        </w:rPr>
      </w:pPr>
      <w:r w:rsidRPr="00607A37">
        <w:rPr>
          <w:rFonts w:ascii="Arial" w:hAnsi="Arial" w:cs="Arial"/>
          <w:sz w:val="22"/>
        </w:rPr>
        <w:t>Vu la requête, enregistrée le 27 octobre 2014 au greffe de la chambre régionale des comptes de Provence-Alpes-Côte d’Azur, par laquelle M. </w:t>
      </w:r>
      <w:r w:rsidR="00240F6C">
        <w:rPr>
          <w:rFonts w:ascii="Arial" w:hAnsi="Arial" w:cs="Arial"/>
          <w:sz w:val="22"/>
        </w:rPr>
        <w:t>X</w:t>
      </w:r>
      <w:r w:rsidRPr="00607A37">
        <w:rPr>
          <w:rFonts w:ascii="Arial" w:hAnsi="Arial" w:cs="Arial"/>
          <w:sz w:val="22"/>
        </w:rPr>
        <w:t xml:space="preserve">, comptable de la commune de Venelles, a interjeté appel du jugement n° 2014-0009, par lequel ladite chambre régionale l’a constitué débiteur </w:t>
      </w:r>
      <w:r w:rsidRPr="00607A37">
        <w:rPr>
          <w:rFonts w:ascii="Arial" w:hAnsi="Arial" w:cs="Arial"/>
          <w:color w:val="000000"/>
          <w:sz w:val="22"/>
        </w:rPr>
        <w:t>de la commune de Venelles</w:t>
      </w:r>
      <w:r w:rsidRPr="00607A37">
        <w:rPr>
          <w:rFonts w:ascii="Arial" w:hAnsi="Arial" w:cs="Arial"/>
          <w:sz w:val="22"/>
        </w:rPr>
        <w:t xml:space="preserve"> des sommes de</w:t>
      </w:r>
      <w:r w:rsidR="007D4EFB">
        <w:rPr>
          <w:rFonts w:ascii="Arial" w:hAnsi="Arial" w:cs="Arial"/>
          <w:sz w:val="22"/>
        </w:rPr>
        <w:t xml:space="preserve"> </w:t>
      </w:r>
      <w:r w:rsidRPr="00607A37">
        <w:rPr>
          <w:rFonts w:ascii="Arial" w:hAnsi="Arial" w:cs="Arial"/>
          <w:sz w:val="22"/>
        </w:rPr>
        <w:t>1 880 €, de 2 160 € et de 611 €</w:t>
      </w:r>
      <w:r w:rsidRPr="00607A37">
        <w:rPr>
          <w:rFonts w:ascii="Arial" w:hAnsi="Arial" w:cs="Arial"/>
          <w:color w:val="000000"/>
          <w:sz w:val="22"/>
        </w:rPr>
        <w:t>, augmentées des intérêts de droit calculés à</w:t>
      </w:r>
      <w:r w:rsidR="007D4EFB">
        <w:rPr>
          <w:rFonts w:ascii="Arial" w:hAnsi="Arial" w:cs="Arial"/>
          <w:color w:val="000000"/>
          <w:sz w:val="22"/>
        </w:rPr>
        <w:t xml:space="preserve"> </w:t>
      </w:r>
      <w:r w:rsidRPr="00607A37">
        <w:rPr>
          <w:rFonts w:ascii="Arial" w:hAnsi="Arial" w:cs="Arial"/>
          <w:color w:val="000000"/>
          <w:sz w:val="22"/>
        </w:rPr>
        <w:t>compter du</w:t>
      </w:r>
      <w:r w:rsidR="007D4EFB">
        <w:rPr>
          <w:rFonts w:ascii="Arial" w:hAnsi="Arial" w:cs="Arial"/>
          <w:color w:val="000000"/>
          <w:sz w:val="22"/>
        </w:rPr>
        <w:t xml:space="preserve"> </w:t>
      </w:r>
      <w:r w:rsidRPr="00607A37">
        <w:rPr>
          <w:rFonts w:ascii="Arial" w:hAnsi="Arial" w:cs="Arial"/>
          <w:color w:val="000000"/>
          <w:sz w:val="22"/>
        </w:rPr>
        <w:t>10 janvier 2014</w:t>
      </w:r>
      <w:r w:rsidR="007D4EFB">
        <w:rPr>
          <w:rFonts w:ascii="Arial" w:hAnsi="Arial" w:cs="Arial"/>
          <w:color w:val="000000"/>
          <w:sz w:val="22"/>
        </w:rPr>
        <w:t> </w:t>
      </w:r>
      <w:r w:rsidR="007D4EFB">
        <w:rPr>
          <w:rFonts w:ascii="Arial" w:hAnsi="Arial" w:cs="Arial"/>
          <w:sz w:val="22"/>
        </w:rPr>
        <w:t>;</w:t>
      </w:r>
    </w:p>
    <w:p w:rsidR="00076CB3" w:rsidRPr="00607A37" w:rsidRDefault="00076CB3" w:rsidP="00683CE7">
      <w:pPr>
        <w:pStyle w:val="PS"/>
        <w:spacing w:before="100" w:beforeAutospacing="1" w:after="100" w:afterAutospacing="1"/>
        <w:ind w:left="0" w:firstLine="0"/>
        <w:rPr>
          <w:rFonts w:ascii="Arial" w:hAnsi="Arial" w:cs="Arial"/>
          <w:sz w:val="22"/>
          <w:szCs w:val="18"/>
        </w:rPr>
      </w:pPr>
      <w:r w:rsidRPr="00607A37">
        <w:rPr>
          <w:rFonts w:ascii="Arial" w:hAnsi="Arial" w:cs="Arial"/>
          <w:sz w:val="22"/>
          <w:szCs w:val="18"/>
        </w:rPr>
        <w:t>Vu le réquisitoire du Procureur général près la Cour des comptes n°</w:t>
      </w:r>
      <w:r w:rsidR="00607A37">
        <w:rPr>
          <w:rFonts w:ascii="Arial" w:hAnsi="Arial" w:cs="Arial"/>
          <w:sz w:val="22"/>
          <w:szCs w:val="18"/>
        </w:rPr>
        <w:t> </w:t>
      </w:r>
      <w:r w:rsidRPr="00607A37">
        <w:rPr>
          <w:rFonts w:ascii="Arial" w:hAnsi="Arial" w:cs="Arial"/>
          <w:sz w:val="22"/>
          <w:szCs w:val="18"/>
        </w:rPr>
        <w:t>2015-4 du 20 janvier 2015 transmettant à</w:t>
      </w:r>
      <w:r w:rsidR="007D4EFB">
        <w:rPr>
          <w:rFonts w:ascii="Arial" w:hAnsi="Arial" w:cs="Arial"/>
          <w:sz w:val="22"/>
          <w:szCs w:val="18"/>
        </w:rPr>
        <w:t xml:space="preserve"> </w:t>
      </w:r>
      <w:r w:rsidRPr="00607A37">
        <w:rPr>
          <w:rFonts w:ascii="Arial" w:hAnsi="Arial" w:cs="Arial"/>
          <w:sz w:val="22"/>
          <w:szCs w:val="18"/>
        </w:rPr>
        <w:t>la</w:t>
      </w:r>
      <w:r w:rsidR="007D4EFB">
        <w:rPr>
          <w:rFonts w:ascii="Arial" w:hAnsi="Arial" w:cs="Arial"/>
          <w:sz w:val="22"/>
          <w:szCs w:val="18"/>
        </w:rPr>
        <w:t xml:space="preserve"> </w:t>
      </w:r>
      <w:r w:rsidRPr="00607A37">
        <w:rPr>
          <w:rFonts w:ascii="Arial" w:hAnsi="Arial" w:cs="Arial"/>
          <w:sz w:val="22"/>
          <w:szCs w:val="18"/>
        </w:rPr>
        <w:t>Cour la requête précitée ;</w:t>
      </w:r>
    </w:p>
    <w:p w:rsidR="00076CB3" w:rsidRPr="00607A37" w:rsidRDefault="00076CB3" w:rsidP="00076CB3">
      <w:pPr>
        <w:pStyle w:val="PS"/>
        <w:spacing w:before="100" w:beforeAutospacing="1" w:after="100" w:afterAutospacing="1"/>
        <w:ind w:left="0" w:firstLine="0"/>
        <w:rPr>
          <w:rFonts w:ascii="Arial" w:hAnsi="Arial" w:cs="Arial"/>
          <w:sz w:val="22"/>
        </w:rPr>
      </w:pPr>
      <w:r w:rsidRPr="00607A37">
        <w:rPr>
          <w:rFonts w:ascii="Arial" w:hAnsi="Arial" w:cs="Arial"/>
          <w:sz w:val="22"/>
        </w:rPr>
        <w:t>Vu les pièces de la procédure suivie en première instance et produites en appel</w:t>
      </w:r>
      <w:r w:rsidR="007D4EFB">
        <w:rPr>
          <w:rFonts w:ascii="Arial" w:hAnsi="Arial" w:cs="Arial"/>
          <w:sz w:val="22"/>
        </w:rPr>
        <w:t> ;</w:t>
      </w:r>
    </w:p>
    <w:p w:rsidR="00076CB3" w:rsidRPr="00607A37" w:rsidRDefault="00076CB3" w:rsidP="00076CB3">
      <w:pPr>
        <w:pStyle w:val="PS"/>
        <w:spacing w:before="100" w:beforeAutospacing="1" w:after="100" w:afterAutospacing="1"/>
        <w:ind w:left="0" w:firstLine="0"/>
        <w:rPr>
          <w:rFonts w:ascii="Arial" w:hAnsi="Arial" w:cs="Arial"/>
          <w:sz w:val="22"/>
        </w:rPr>
      </w:pPr>
      <w:r w:rsidRPr="00607A37">
        <w:rPr>
          <w:rFonts w:ascii="Arial" w:hAnsi="Arial" w:cs="Arial"/>
          <w:sz w:val="22"/>
        </w:rPr>
        <w:t>Vu l’article 60 de la loi de finances n° 63-156 du 23 février 1963 modifiée</w:t>
      </w:r>
      <w:r w:rsidR="007D4EFB">
        <w:rPr>
          <w:rFonts w:ascii="Arial" w:hAnsi="Arial" w:cs="Arial"/>
          <w:sz w:val="22"/>
        </w:rPr>
        <w:t> ;</w:t>
      </w:r>
    </w:p>
    <w:p w:rsidR="00076CB3" w:rsidRPr="00607A37" w:rsidRDefault="00076CB3" w:rsidP="00076CB3">
      <w:pPr>
        <w:pStyle w:val="PS"/>
        <w:spacing w:before="100" w:beforeAutospacing="1" w:after="100" w:afterAutospacing="1"/>
        <w:ind w:left="0" w:firstLine="0"/>
        <w:rPr>
          <w:rFonts w:ascii="Arial" w:hAnsi="Arial" w:cs="Arial"/>
          <w:sz w:val="22"/>
        </w:rPr>
      </w:pPr>
      <w:r w:rsidRPr="00607A37">
        <w:rPr>
          <w:rFonts w:ascii="Arial" w:hAnsi="Arial" w:cs="Arial"/>
          <w:sz w:val="22"/>
        </w:rPr>
        <w:t>Vu le code général des collectivités territoriales ;</w:t>
      </w:r>
    </w:p>
    <w:p w:rsidR="00076CB3" w:rsidRPr="00607A37" w:rsidRDefault="00076CB3" w:rsidP="00076CB3">
      <w:pPr>
        <w:pStyle w:val="PS"/>
        <w:spacing w:before="100" w:beforeAutospacing="1" w:after="100" w:afterAutospacing="1"/>
        <w:ind w:left="0" w:firstLine="0"/>
        <w:rPr>
          <w:rFonts w:ascii="Arial" w:hAnsi="Arial" w:cs="Arial"/>
          <w:sz w:val="22"/>
        </w:rPr>
      </w:pPr>
      <w:r w:rsidRPr="00607A37">
        <w:rPr>
          <w:rFonts w:ascii="Arial" w:hAnsi="Arial" w:cs="Arial"/>
          <w:sz w:val="22"/>
        </w:rPr>
        <w:t>Vu le code des juridictions financières ;</w:t>
      </w:r>
    </w:p>
    <w:p w:rsidR="00076CB3" w:rsidRPr="00607A37" w:rsidRDefault="00076CB3" w:rsidP="00076CB3">
      <w:pPr>
        <w:pStyle w:val="PS"/>
        <w:spacing w:before="100" w:beforeAutospacing="1" w:after="100" w:afterAutospacing="1"/>
        <w:ind w:left="0" w:firstLine="0"/>
        <w:rPr>
          <w:rFonts w:ascii="Arial" w:hAnsi="Arial" w:cs="Arial"/>
          <w:sz w:val="22"/>
        </w:rPr>
      </w:pPr>
      <w:r w:rsidRPr="00607A37">
        <w:rPr>
          <w:rFonts w:ascii="Arial" w:hAnsi="Arial" w:cs="Arial"/>
          <w:sz w:val="22"/>
        </w:rPr>
        <w:t>Vu le décret n°</w:t>
      </w:r>
      <w:r w:rsidR="00285DCC">
        <w:rPr>
          <w:rFonts w:ascii="Arial" w:hAnsi="Arial" w:cs="Arial"/>
          <w:sz w:val="22"/>
        </w:rPr>
        <w:t> </w:t>
      </w:r>
      <w:r w:rsidRPr="00607A37">
        <w:rPr>
          <w:rFonts w:ascii="Arial" w:hAnsi="Arial" w:cs="Arial"/>
          <w:sz w:val="22"/>
        </w:rPr>
        <w:t>62-1587 du 29 décembre 1962 modifié portant règlement général sur la comptabilité publique</w:t>
      </w:r>
      <w:r w:rsidR="007D4EFB">
        <w:rPr>
          <w:rFonts w:ascii="Arial" w:hAnsi="Arial" w:cs="Arial"/>
          <w:sz w:val="22"/>
        </w:rPr>
        <w:t xml:space="preserve"> </w:t>
      </w:r>
      <w:r w:rsidRPr="00607A37">
        <w:rPr>
          <w:rFonts w:ascii="Arial" w:hAnsi="Arial" w:cs="Arial"/>
          <w:sz w:val="22"/>
        </w:rPr>
        <w:t>en vigueur au moment des faits</w:t>
      </w:r>
      <w:r w:rsidR="007D4EFB">
        <w:rPr>
          <w:rFonts w:ascii="Arial" w:hAnsi="Arial" w:cs="Arial"/>
          <w:sz w:val="22"/>
        </w:rPr>
        <w:t> ;</w:t>
      </w:r>
    </w:p>
    <w:p w:rsidR="00076CB3" w:rsidRPr="00607A37" w:rsidRDefault="00076CB3" w:rsidP="00076CB3">
      <w:pPr>
        <w:pStyle w:val="PS"/>
        <w:spacing w:before="100" w:beforeAutospacing="1" w:after="100" w:afterAutospacing="1"/>
        <w:ind w:left="0" w:firstLine="0"/>
        <w:rPr>
          <w:rFonts w:ascii="Arial" w:hAnsi="Arial" w:cs="Arial"/>
          <w:sz w:val="22"/>
        </w:rPr>
      </w:pPr>
      <w:r w:rsidRPr="00607A37">
        <w:rPr>
          <w:rFonts w:ascii="Arial" w:hAnsi="Arial" w:cs="Arial"/>
          <w:sz w:val="22"/>
        </w:rPr>
        <w:t xml:space="preserve">Vu le rapport de </w:t>
      </w:r>
      <w:r w:rsidR="007D4EFB" w:rsidRPr="007D4EFB">
        <w:rPr>
          <w:rFonts w:ascii="Arial" w:hAnsi="Arial" w:cs="Arial"/>
          <w:sz w:val="22"/>
        </w:rPr>
        <w:t>M</w:t>
      </w:r>
      <w:r w:rsidR="007D4EFB" w:rsidRPr="007D4EFB">
        <w:rPr>
          <w:rFonts w:ascii="Arial" w:hAnsi="Arial" w:cs="Arial"/>
          <w:sz w:val="22"/>
          <w:vertAlign w:val="superscript"/>
        </w:rPr>
        <w:t>me</w:t>
      </w:r>
      <w:r w:rsidR="007D4EFB">
        <w:rPr>
          <w:rFonts w:ascii="Arial" w:hAnsi="Arial" w:cs="Arial"/>
          <w:sz w:val="22"/>
        </w:rPr>
        <w:t xml:space="preserve"> </w:t>
      </w:r>
      <w:r w:rsidRPr="00607A37">
        <w:rPr>
          <w:rFonts w:ascii="Arial" w:hAnsi="Arial" w:cs="Arial"/>
          <w:sz w:val="22"/>
        </w:rPr>
        <w:t>Catherine D</w:t>
      </w:r>
      <w:r w:rsidR="00683CE7" w:rsidRPr="00607A37">
        <w:rPr>
          <w:rFonts w:ascii="Arial" w:hAnsi="Arial" w:cs="Arial"/>
          <w:sz w:val="22"/>
        </w:rPr>
        <w:t>É</w:t>
      </w:r>
      <w:r w:rsidRPr="00607A37">
        <w:rPr>
          <w:rFonts w:ascii="Arial" w:hAnsi="Arial" w:cs="Arial"/>
          <w:sz w:val="22"/>
        </w:rPr>
        <w:t>MIER, conseillère maître ;</w:t>
      </w:r>
    </w:p>
    <w:p w:rsidR="00076CB3" w:rsidRPr="00607A37" w:rsidRDefault="00076CB3" w:rsidP="00076CB3">
      <w:pPr>
        <w:pStyle w:val="PS"/>
        <w:spacing w:before="100" w:beforeAutospacing="1" w:after="100" w:afterAutospacing="1"/>
        <w:ind w:left="0" w:firstLine="0"/>
        <w:rPr>
          <w:rFonts w:ascii="Arial" w:hAnsi="Arial" w:cs="Arial"/>
          <w:sz w:val="22"/>
        </w:rPr>
      </w:pPr>
      <w:r w:rsidRPr="00607A37">
        <w:rPr>
          <w:rFonts w:ascii="Arial" w:hAnsi="Arial" w:cs="Arial"/>
          <w:sz w:val="22"/>
        </w:rPr>
        <w:t>Vu le mémoire complémentaire de M.</w:t>
      </w:r>
      <w:r w:rsidR="00CD7C6D">
        <w:rPr>
          <w:rFonts w:ascii="Arial" w:hAnsi="Arial" w:cs="Arial"/>
          <w:sz w:val="22"/>
        </w:rPr>
        <w:t> </w:t>
      </w:r>
      <w:r w:rsidR="00240F6C">
        <w:rPr>
          <w:rFonts w:ascii="Arial" w:hAnsi="Arial" w:cs="Arial"/>
          <w:sz w:val="22"/>
        </w:rPr>
        <w:t>X</w:t>
      </w:r>
      <w:r w:rsidRPr="00607A37">
        <w:rPr>
          <w:rFonts w:ascii="Arial" w:hAnsi="Arial" w:cs="Arial"/>
          <w:sz w:val="22"/>
        </w:rPr>
        <w:t xml:space="preserve"> en date du 9 juin 2015 ;</w:t>
      </w:r>
    </w:p>
    <w:p w:rsidR="00076CB3" w:rsidRPr="00607A37" w:rsidRDefault="00076CB3" w:rsidP="00076CB3">
      <w:pPr>
        <w:pStyle w:val="PS"/>
        <w:spacing w:before="100" w:beforeAutospacing="1" w:after="100" w:afterAutospacing="1"/>
        <w:ind w:left="0" w:firstLine="0"/>
        <w:rPr>
          <w:rFonts w:ascii="Arial" w:hAnsi="Arial" w:cs="Arial"/>
          <w:sz w:val="22"/>
        </w:rPr>
      </w:pPr>
      <w:r w:rsidRPr="00607A37">
        <w:rPr>
          <w:rFonts w:ascii="Arial" w:hAnsi="Arial" w:cs="Arial"/>
          <w:sz w:val="22"/>
        </w:rPr>
        <w:t>Vu les conclusions n°</w:t>
      </w:r>
      <w:r w:rsidR="00CD7C6D">
        <w:rPr>
          <w:rFonts w:ascii="Arial" w:hAnsi="Arial" w:cs="Arial"/>
          <w:sz w:val="22"/>
        </w:rPr>
        <w:t> </w:t>
      </w:r>
      <w:r w:rsidRPr="00607A37">
        <w:rPr>
          <w:rFonts w:ascii="Arial" w:hAnsi="Arial" w:cs="Arial"/>
          <w:sz w:val="22"/>
        </w:rPr>
        <w:t>357 du Procureur général du 10 juin 2015</w:t>
      </w:r>
      <w:r w:rsidR="007D4EFB">
        <w:rPr>
          <w:rFonts w:ascii="Arial" w:hAnsi="Arial" w:cs="Arial"/>
          <w:sz w:val="22"/>
        </w:rPr>
        <w:t> ;</w:t>
      </w:r>
    </w:p>
    <w:p w:rsidR="00076CB3" w:rsidRPr="00607A37" w:rsidRDefault="00076CB3" w:rsidP="00076CB3">
      <w:pPr>
        <w:pStyle w:val="PS"/>
        <w:spacing w:before="100" w:beforeAutospacing="1" w:after="100" w:afterAutospacing="1"/>
        <w:ind w:left="0" w:firstLine="0"/>
        <w:rPr>
          <w:rFonts w:ascii="Arial" w:hAnsi="Arial" w:cs="Arial"/>
          <w:sz w:val="22"/>
        </w:rPr>
      </w:pPr>
      <w:r w:rsidRPr="00607A37">
        <w:rPr>
          <w:rFonts w:ascii="Arial" w:hAnsi="Arial" w:cs="Arial"/>
          <w:sz w:val="22"/>
        </w:rPr>
        <w:t xml:space="preserve">Entendu, lors de l’audience publique du 9 juillet 2015, </w:t>
      </w:r>
      <w:r w:rsidR="007D4EFB" w:rsidRPr="007D4EFB">
        <w:rPr>
          <w:rFonts w:ascii="Arial" w:hAnsi="Arial" w:cs="Arial"/>
          <w:sz w:val="22"/>
        </w:rPr>
        <w:t>M</w:t>
      </w:r>
      <w:r w:rsidR="007D4EFB" w:rsidRPr="007D4EFB">
        <w:rPr>
          <w:rFonts w:ascii="Arial" w:hAnsi="Arial" w:cs="Arial"/>
          <w:sz w:val="22"/>
          <w:vertAlign w:val="superscript"/>
        </w:rPr>
        <w:t>me</w:t>
      </w:r>
      <w:r w:rsidR="007D4EFB">
        <w:rPr>
          <w:rFonts w:ascii="Arial" w:hAnsi="Arial" w:cs="Arial"/>
          <w:sz w:val="22"/>
        </w:rPr>
        <w:t xml:space="preserve"> </w:t>
      </w:r>
      <w:r w:rsidRPr="00607A37">
        <w:rPr>
          <w:rFonts w:ascii="Arial" w:hAnsi="Arial" w:cs="Arial"/>
          <w:sz w:val="22"/>
        </w:rPr>
        <w:t>D</w:t>
      </w:r>
      <w:r w:rsidR="00607A37">
        <w:rPr>
          <w:rFonts w:ascii="Arial" w:hAnsi="Arial" w:cs="Arial"/>
          <w:sz w:val="22"/>
        </w:rPr>
        <w:t>É</w:t>
      </w:r>
      <w:r w:rsidRPr="00607A37">
        <w:rPr>
          <w:rFonts w:ascii="Arial" w:hAnsi="Arial" w:cs="Arial"/>
          <w:sz w:val="22"/>
        </w:rPr>
        <w:t>MIER en son rapport, et</w:t>
      </w:r>
      <w:r w:rsidR="007D4EFB">
        <w:rPr>
          <w:rFonts w:ascii="Arial" w:hAnsi="Arial" w:cs="Arial"/>
          <w:sz w:val="22"/>
        </w:rPr>
        <w:t xml:space="preserve"> </w:t>
      </w:r>
      <w:r w:rsidRPr="00607A37">
        <w:rPr>
          <w:rFonts w:ascii="Arial" w:hAnsi="Arial" w:cs="Arial"/>
          <w:sz w:val="22"/>
        </w:rPr>
        <w:t>M.</w:t>
      </w:r>
      <w:r w:rsidR="00607A37">
        <w:rPr>
          <w:rFonts w:ascii="Arial" w:hAnsi="Arial" w:cs="Arial"/>
          <w:sz w:val="22"/>
        </w:rPr>
        <w:t> </w:t>
      </w:r>
      <w:r w:rsidRPr="00607A37">
        <w:rPr>
          <w:rFonts w:ascii="Arial" w:hAnsi="Arial" w:cs="Arial"/>
          <w:sz w:val="22"/>
        </w:rPr>
        <w:t>Christian MICHAUT, avocat général, en les conclusions du parquet</w:t>
      </w:r>
      <w:r w:rsidR="007D4EFB">
        <w:rPr>
          <w:rFonts w:ascii="Arial" w:hAnsi="Arial" w:cs="Arial"/>
          <w:sz w:val="22"/>
        </w:rPr>
        <w:t> </w:t>
      </w:r>
      <w:r w:rsidRPr="00607A37">
        <w:rPr>
          <w:rFonts w:ascii="Arial" w:hAnsi="Arial" w:cs="Arial"/>
          <w:sz w:val="22"/>
        </w:rPr>
        <w:t>;</w:t>
      </w:r>
    </w:p>
    <w:p w:rsidR="00076CB3" w:rsidRPr="00607A37" w:rsidRDefault="00076CB3" w:rsidP="00076CB3">
      <w:pPr>
        <w:pStyle w:val="PS"/>
        <w:spacing w:before="100" w:beforeAutospacing="1" w:after="100" w:afterAutospacing="1"/>
        <w:ind w:left="0" w:firstLine="0"/>
        <w:rPr>
          <w:rFonts w:ascii="Arial" w:hAnsi="Arial" w:cs="Arial"/>
          <w:sz w:val="22"/>
        </w:rPr>
      </w:pPr>
      <w:r w:rsidRPr="00607A37">
        <w:rPr>
          <w:rFonts w:ascii="Arial" w:hAnsi="Arial" w:cs="Arial"/>
          <w:sz w:val="22"/>
        </w:rPr>
        <w:t xml:space="preserve">Après avoir entendu, en délibéré, </w:t>
      </w:r>
      <w:r w:rsidR="007D4EFB" w:rsidRPr="007D4EFB">
        <w:rPr>
          <w:rFonts w:ascii="Arial" w:hAnsi="Arial" w:cs="Arial"/>
          <w:sz w:val="22"/>
        </w:rPr>
        <w:t>M</w:t>
      </w:r>
      <w:r w:rsidR="007D4EFB" w:rsidRPr="007D4EFB">
        <w:rPr>
          <w:rFonts w:ascii="Arial" w:hAnsi="Arial" w:cs="Arial"/>
          <w:sz w:val="22"/>
          <w:vertAlign w:val="superscript"/>
        </w:rPr>
        <w:t>me</w:t>
      </w:r>
      <w:r w:rsidR="007D4EFB">
        <w:rPr>
          <w:rFonts w:ascii="Arial" w:hAnsi="Arial" w:cs="Arial"/>
          <w:sz w:val="22"/>
        </w:rPr>
        <w:t xml:space="preserve"> </w:t>
      </w:r>
      <w:r w:rsidRPr="00607A37">
        <w:rPr>
          <w:rFonts w:ascii="Arial" w:hAnsi="Arial" w:cs="Arial"/>
          <w:sz w:val="22"/>
        </w:rPr>
        <w:t>Anne FROMENT-MEURICE, présidente de chambre maintenue en activité, en ses observations ;</w:t>
      </w:r>
    </w:p>
    <w:p w:rsidR="00076CB3" w:rsidRPr="00607A37" w:rsidRDefault="00076CB3" w:rsidP="00076CB3">
      <w:pPr>
        <w:pStyle w:val="PS"/>
        <w:spacing w:before="100" w:beforeAutospacing="1" w:after="100" w:afterAutospacing="1"/>
        <w:ind w:left="0" w:firstLine="0"/>
        <w:rPr>
          <w:rFonts w:ascii="Arial" w:hAnsi="Arial" w:cs="Arial"/>
          <w:sz w:val="22"/>
        </w:rPr>
      </w:pPr>
      <w:r w:rsidRPr="00607A37">
        <w:rPr>
          <w:rFonts w:ascii="Arial" w:hAnsi="Arial" w:cs="Arial"/>
          <w:sz w:val="22"/>
        </w:rPr>
        <w:lastRenderedPageBreak/>
        <w:t>Attendu que par le jugement entrepris, la chambre régionale des comptes de Provence-Alpes-Côte d’Azur a mis en débet M.</w:t>
      </w:r>
      <w:r w:rsidR="00607A37">
        <w:rPr>
          <w:rFonts w:ascii="Arial" w:hAnsi="Arial" w:cs="Arial"/>
          <w:sz w:val="22"/>
        </w:rPr>
        <w:t> </w:t>
      </w:r>
      <w:r w:rsidR="00240F6C">
        <w:rPr>
          <w:rFonts w:ascii="Arial" w:hAnsi="Arial" w:cs="Arial"/>
          <w:sz w:val="22"/>
        </w:rPr>
        <w:t>X</w:t>
      </w:r>
      <w:r w:rsidRPr="00607A37">
        <w:rPr>
          <w:rFonts w:ascii="Arial" w:hAnsi="Arial" w:cs="Arial"/>
          <w:sz w:val="22"/>
        </w:rPr>
        <w:t>, comptable appelant, pour avoir payé des dépenses de prestations de service en l’absence de pièces justificatives suffisantes pour les sommes de 1</w:t>
      </w:r>
      <w:r w:rsidR="00607A37">
        <w:rPr>
          <w:rFonts w:ascii="Arial" w:hAnsi="Arial" w:cs="Arial"/>
          <w:sz w:val="22"/>
        </w:rPr>
        <w:t> </w:t>
      </w:r>
      <w:r w:rsidRPr="00607A37">
        <w:rPr>
          <w:rFonts w:ascii="Arial" w:hAnsi="Arial" w:cs="Arial"/>
          <w:sz w:val="22"/>
        </w:rPr>
        <w:t>880 €, de 2 160 € et de 611 € ; qu’elle a</w:t>
      </w:r>
      <w:r w:rsidR="007D4EFB">
        <w:rPr>
          <w:rFonts w:ascii="Arial" w:hAnsi="Arial" w:cs="Arial"/>
          <w:sz w:val="22"/>
        </w:rPr>
        <w:t xml:space="preserve"> </w:t>
      </w:r>
      <w:r w:rsidRPr="00607A37">
        <w:rPr>
          <w:rFonts w:ascii="Arial" w:hAnsi="Arial" w:cs="Arial"/>
          <w:sz w:val="22"/>
        </w:rPr>
        <w:t>considéré que ces paiements effectués en l’absence d’accord préalable formalisé entre les parties pour les deux premiers et en l’absence d’un avenant pour le troisième, étaient indus et avaient donc causé un préjudice financier à la commune ;</w:t>
      </w:r>
    </w:p>
    <w:p w:rsidR="00076CB3" w:rsidRPr="00607A37" w:rsidRDefault="00076CB3" w:rsidP="00076CB3">
      <w:pPr>
        <w:pStyle w:val="PS"/>
        <w:spacing w:before="100" w:beforeAutospacing="1" w:after="100" w:afterAutospacing="1"/>
        <w:ind w:left="0" w:firstLine="0"/>
        <w:rPr>
          <w:rFonts w:ascii="Arial" w:hAnsi="Arial" w:cs="Arial"/>
          <w:b/>
          <w:i/>
          <w:sz w:val="22"/>
        </w:rPr>
      </w:pPr>
      <w:r w:rsidRPr="00607A37">
        <w:rPr>
          <w:rFonts w:ascii="Arial" w:hAnsi="Arial" w:cs="Arial"/>
          <w:b/>
          <w:i/>
          <w:sz w:val="22"/>
        </w:rPr>
        <w:t>Sur le manquement au titre des mandats n° 467 de 1</w:t>
      </w:r>
      <w:r w:rsidR="00607A37">
        <w:rPr>
          <w:rFonts w:ascii="Arial" w:hAnsi="Arial" w:cs="Arial"/>
          <w:b/>
          <w:i/>
          <w:sz w:val="22"/>
        </w:rPr>
        <w:t> </w:t>
      </w:r>
      <w:r w:rsidRPr="00607A37">
        <w:rPr>
          <w:rFonts w:ascii="Arial" w:hAnsi="Arial" w:cs="Arial"/>
          <w:b/>
          <w:i/>
          <w:sz w:val="22"/>
        </w:rPr>
        <w:t>880</w:t>
      </w:r>
      <w:r w:rsidR="00607A37">
        <w:rPr>
          <w:rFonts w:ascii="Arial" w:hAnsi="Arial" w:cs="Arial"/>
          <w:b/>
          <w:i/>
          <w:sz w:val="22"/>
        </w:rPr>
        <w:t> </w:t>
      </w:r>
      <w:r w:rsidRPr="00607A37">
        <w:rPr>
          <w:rFonts w:ascii="Arial" w:hAnsi="Arial" w:cs="Arial"/>
          <w:b/>
          <w:i/>
          <w:sz w:val="22"/>
        </w:rPr>
        <w:t>€ du 9 février 2011 et n°</w:t>
      </w:r>
      <w:r w:rsidR="00E93EFC" w:rsidRPr="00607A37">
        <w:rPr>
          <w:rFonts w:ascii="Arial" w:hAnsi="Arial" w:cs="Arial"/>
          <w:b/>
          <w:i/>
          <w:sz w:val="22"/>
        </w:rPr>
        <w:t> </w:t>
      </w:r>
      <w:r w:rsidRPr="00607A37">
        <w:rPr>
          <w:rFonts w:ascii="Arial" w:hAnsi="Arial" w:cs="Arial"/>
          <w:b/>
          <w:i/>
          <w:sz w:val="22"/>
        </w:rPr>
        <w:t>441 de 2</w:t>
      </w:r>
      <w:r w:rsidR="00607A37">
        <w:rPr>
          <w:rFonts w:ascii="Arial" w:hAnsi="Arial" w:cs="Arial"/>
          <w:b/>
          <w:i/>
          <w:sz w:val="22"/>
        </w:rPr>
        <w:t> </w:t>
      </w:r>
      <w:r w:rsidRPr="00607A37">
        <w:rPr>
          <w:rFonts w:ascii="Arial" w:hAnsi="Arial" w:cs="Arial"/>
          <w:b/>
          <w:i/>
          <w:sz w:val="22"/>
        </w:rPr>
        <w:t>160</w:t>
      </w:r>
      <w:r w:rsidR="00607A37">
        <w:rPr>
          <w:rFonts w:ascii="Arial" w:hAnsi="Arial" w:cs="Arial"/>
          <w:b/>
          <w:i/>
          <w:sz w:val="22"/>
        </w:rPr>
        <w:t> </w:t>
      </w:r>
      <w:r w:rsidR="00E93EFC" w:rsidRPr="00607A37">
        <w:rPr>
          <w:rFonts w:ascii="Arial" w:hAnsi="Arial" w:cs="Arial"/>
          <w:b/>
          <w:i/>
          <w:sz w:val="22"/>
        </w:rPr>
        <w:t>€</w:t>
      </w:r>
      <w:r w:rsidRPr="00607A37">
        <w:rPr>
          <w:rFonts w:ascii="Arial" w:hAnsi="Arial" w:cs="Arial"/>
          <w:b/>
          <w:i/>
          <w:sz w:val="22"/>
        </w:rPr>
        <w:t xml:space="preserve"> </w:t>
      </w:r>
      <w:r w:rsidR="00E93EFC" w:rsidRPr="00607A37">
        <w:rPr>
          <w:rFonts w:ascii="Arial" w:hAnsi="Arial" w:cs="Arial"/>
          <w:b/>
          <w:i/>
          <w:sz w:val="22"/>
        </w:rPr>
        <w:t>du</w:t>
      </w:r>
      <w:r w:rsidR="00683CE7" w:rsidRPr="00607A37">
        <w:rPr>
          <w:rFonts w:ascii="Arial" w:hAnsi="Arial" w:cs="Arial"/>
          <w:b/>
          <w:i/>
          <w:sz w:val="22"/>
        </w:rPr>
        <w:t> </w:t>
      </w:r>
      <w:r w:rsidRPr="00607A37">
        <w:rPr>
          <w:rFonts w:ascii="Arial" w:hAnsi="Arial" w:cs="Arial"/>
          <w:b/>
          <w:i/>
          <w:sz w:val="22"/>
        </w:rPr>
        <w:t>2 janvier 2012</w:t>
      </w:r>
    </w:p>
    <w:p w:rsidR="00076CB3" w:rsidRDefault="00076CB3" w:rsidP="00607A37">
      <w:pPr>
        <w:pStyle w:val="Paragraphedeliste"/>
        <w:spacing w:before="240" w:after="240"/>
        <w:ind w:left="0"/>
        <w:jc w:val="both"/>
        <w:rPr>
          <w:rFonts w:cs="Arial"/>
          <w:sz w:val="22"/>
        </w:rPr>
      </w:pPr>
      <w:r w:rsidRPr="00607A37">
        <w:rPr>
          <w:rFonts w:cs="Arial"/>
          <w:sz w:val="22"/>
        </w:rPr>
        <w:t>Attendu que les dépenses de 1</w:t>
      </w:r>
      <w:r w:rsidR="00607A37">
        <w:rPr>
          <w:rFonts w:cs="Arial"/>
          <w:sz w:val="22"/>
        </w:rPr>
        <w:t> </w:t>
      </w:r>
      <w:r w:rsidRPr="00607A37">
        <w:rPr>
          <w:rFonts w:cs="Arial"/>
          <w:sz w:val="22"/>
        </w:rPr>
        <w:t>880 </w:t>
      </w:r>
      <w:r w:rsidR="008D5FF9" w:rsidRPr="00607A37">
        <w:rPr>
          <w:rFonts w:cs="Arial"/>
          <w:sz w:val="22"/>
        </w:rPr>
        <w:t>€</w:t>
      </w:r>
      <w:r w:rsidRPr="00607A37">
        <w:rPr>
          <w:rFonts w:cs="Arial"/>
          <w:sz w:val="22"/>
        </w:rPr>
        <w:t xml:space="preserve"> (mandat n°</w:t>
      </w:r>
      <w:r w:rsidR="00607A37">
        <w:rPr>
          <w:rFonts w:cs="Arial"/>
          <w:sz w:val="22"/>
        </w:rPr>
        <w:t> </w:t>
      </w:r>
      <w:r w:rsidRPr="00607A37">
        <w:rPr>
          <w:rFonts w:cs="Arial"/>
          <w:sz w:val="22"/>
        </w:rPr>
        <w:t>467) et de 2</w:t>
      </w:r>
      <w:r w:rsidR="00607A37">
        <w:rPr>
          <w:rFonts w:cs="Arial"/>
          <w:sz w:val="22"/>
        </w:rPr>
        <w:t> </w:t>
      </w:r>
      <w:r w:rsidRPr="00607A37">
        <w:rPr>
          <w:rFonts w:cs="Arial"/>
          <w:sz w:val="22"/>
        </w:rPr>
        <w:t>160</w:t>
      </w:r>
      <w:r w:rsidR="00607A37">
        <w:rPr>
          <w:rFonts w:cs="Arial"/>
          <w:sz w:val="22"/>
        </w:rPr>
        <w:t> </w:t>
      </w:r>
      <w:r w:rsidR="008D5FF9" w:rsidRPr="00607A37">
        <w:rPr>
          <w:rFonts w:cs="Arial"/>
          <w:sz w:val="22"/>
        </w:rPr>
        <w:t xml:space="preserve">€ </w:t>
      </w:r>
      <w:r w:rsidRPr="00607A37">
        <w:rPr>
          <w:rFonts w:cs="Arial"/>
          <w:sz w:val="22"/>
        </w:rPr>
        <w:t>(mandat n°</w:t>
      </w:r>
      <w:r w:rsidR="00607A37">
        <w:rPr>
          <w:rFonts w:cs="Arial"/>
          <w:sz w:val="22"/>
        </w:rPr>
        <w:t> </w:t>
      </w:r>
      <w:r w:rsidRPr="00607A37">
        <w:rPr>
          <w:rFonts w:cs="Arial"/>
          <w:sz w:val="22"/>
        </w:rPr>
        <w:t>441) ont</w:t>
      </w:r>
      <w:r w:rsidR="007D4EFB">
        <w:rPr>
          <w:rFonts w:cs="Arial"/>
          <w:sz w:val="22"/>
        </w:rPr>
        <w:t xml:space="preserve"> </w:t>
      </w:r>
      <w:r w:rsidRPr="00607A37">
        <w:rPr>
          <w:rFonts w:cs="Arial"/>
          <w:sz w:val="22"/>
        </w:rPr>
        <w:t>donné lieu à paiement, sans que les contrats auxquels elles se rapportaient aient été signés par la collectivité pour le paiement de 1</w:t>
      </w:r>
      <w:r w:rsidR="008D5FF9" w:rsidRPr="00607A37">
        <w:rPr>
          <w:rFonts w:cs="Arial"/>
          <w:sz w:val="22"/>
        </w:rPr>
        <w:t> </w:t>
      </w:r>
      <w:r w:rsidRPr="00607A37">
        <w:rPr>
          <w:rFonts w:cs="Arial"/>
          <w:sz w:val="22"/>
        </w:rPr>
        <w:t>880</w:t>
      </w:r>
      <w:r w:rsidR="008D5FF9" w:rsidRPr="00607A37">
        <w:rPr>
          <w:rFonts w:cs="Arial"/>
          <w:sz w:val="22"/>
        </w:rPr>
        <w:t> </w:t>
      </w:r>
      <w:r w:rsidRPr="00607A37">
        <w:rPr>
          <w:rFonts w:cs="Arial"/>
          <w:sz w:val="22"/>
        </w:rPr>
        <w:t>€ et par l’entreprise et la collectivité pour celui de 2</w:t>
      </w:r>
      <w:r w:rsidR="008D5FF9" w:rsidRPr="00607A37">
        <w:rPr>
          <w:rFonts w:cs="Arial"/>
          <w:sz w:val="22"/>
        </w:rPr>
        <w:t> </w:t>
      </w:r>
      <w:r w:rsidRPr="00607A37">
        <w:rPr>
          <w:rFonts w:cs="Arial"/>
          <w:sz w:val="22"/>
        </w:rPr>
        <w:t>160</w:t>
      </w:r>
      <w:r w:rsidR="008D5FF9" w:rsidRPr="00607A37">
        <w:rPr>
          <w:rFonts w:cs="Arial"/>
          <w:sz w:val="22"/>
        </w:rPr>
        <w:t> </w:t>
      </w:r>
      <w:r w:rsidRPr="00607A37">
        <w:rPr>
          <w:rFonts w:cs="Arial"/>
          <w:sz w:val="22"/>
        </w:rPr>
        <w:t>€, bien que se rattachant à des prestations dont le montant global annuel requérait  un écrit formalisé des parties, en application de l’article</w:t>
      </w:r>
      <w:r w:rsidR="007D4EFB">
        <w:rPr>
          <w:rFonts w:cs="Arial"/>
          <w:sz w:val="22"/>
        </w:rPr>
        <w:t xml:space="preserve"> </w:t>
      </w:r>
      <w:r w:rsidRPr="00607A37">
        <w:rPr>
          <w:rFonts w:cs="Arial"/>
          <w:sz w:val="22"/>
        </w:rPr>
        <w:t>11 du code des marchés publics ;</w:t>
      </w:r>
    </w:p>
    <w:p w:rsidR="006166C5" w:rsidRDefault="006166C5" w:rsidP="00607A37">
      <w:pPr>
        <w:pStyle w:val="Paragraphedeliste"/>
        <w:spacing w:before="240" w:after="240"/>
        <w:ind w:left="0"/>
        <w:jc w:val="both"/>
        <w:rPr>
          <w:rFonts w:cs="Arial"/>
          <w:sz w:val="22"/>
        </w:rPr>
      </w:pPr>
    </w:p>
    <w:p w:rsidR="00076CB3" w:rsidRDefault="00076CB3" w:rsidP="00607A37">
      <w:pPr>
        <w:pStyle w:val="Paragraphedeliste"/>
        <w:spacing w:before="240" w:after="240"/>
        <w:ind w:left="0"/>
        <w:jc w:val="both"/>
        <w:rPr>
          <w:rFonts w:cs="Arial"/>
          <w:sz w:val="22"/>
        </w:rPr>
      </w:pPr>
      <w:r w:rsidRPr="00607A37">
        <w:rPr>
          <w:rFonts w:cs="Arial"/>
          <w:sz w:val="22"/>
        </w:rPr>
        <w:t>Attendu que le comptable appelant fait valoir que « les contrats ont été acceptés du fait du consentement éclairé du prestataire et de l’ordonnateur », que les bons de commande ont « généré des mandats validés par la mairie et liquidés par elle », que les factures ont été vérifiées et acceptées par l’ordonnateur, qu’ainsi, il y a bien eu formation d’un contrat au sens classique du code civil ;</w:t>
      </w:r>
    </w:p>
    <w:p w:rsidR="00607A37" w:rsidRPr="00607A37" w:rsidRDefault="00607A37" w:rsidP="00607A37">
      <w:pPr>
        <w:pStyle w:val="Paragraphedeliste"/>
        <w:spacing w:before="240" w:after="240"/>
        <w:ind w:left="0"/>
        <w:jc w:val="both"/>
        <w:rPr>
          <w:rFonts w:cs="Arial"/>
          <w:sz w:val="22"/>
        </w:rPr>
      </w:pPr>
    </w:p>
    <w:p w:rsidR="00076CB3" w:rsidRDefault="00076CB3" w:rsidP="00607A37">
      <w:pPr>
        <w:pStyle w:val="Paragraphedeliste"/>
        <w:spacing w:before="240" w:after="240"/>
        <w:ind w:left="0"/>
        <w:jc w:val="both"/>
        <w:rPr>
          <w:rFonts w:cs="Arial"/>
          <w:sz w:val="22"/>
        </w:rPr>
      </w:pPr>
      <w:r w:rsidRPr="00607A37">
        <w:rPr>
          <w:rFonts w:cs="Arial"/>
          <w:sz w:val="22"/>
        </w:rPr>
        <w:t>Attendu que les mandats en cause relèvent d’une catégorie de prestations dont le montant global annuel en</w:t>
      </w:r>
      <w:r w:rsidR="007D4EFB">
        <w:rPr>
          <w:rFonts w:cs="Arial"/>
          <w:sz w:val="22"/>
        </w:rPr>
        <w:t xml:space="preserve"> </w:t>
      </w:r>
      <w:r w:rsidRPr="00607A37">
        <w:rPr>
          <w:rFonts w:cs="Arial"/>
          <w:sz w:val="22"/>
        </w:rPr>
        <w:t>2011 et 2012 atteignait le seuil au-delà duquel l’article</w:t>
      </w:r>
      <w:r w:rsidR="007D4EFB">
        <w:rPr>
          <w:rFonts w:cs="Arial"/>
          <w:sz w:val="22"/>
        </w:rPr>
        <w:t xml:space="preserve"> </w:t>
      </w:r>
      <w:r w:rsidRPr="00607A37">
        <w:rPr>
          <w:rFonts w:cs="Arial"/>
          <w:sz w:val="22"/>
        </w:rPr>
        <w:t>11 du code des marchés publics impose un écrit signé formalisant l’accord des parties ; que s’agissant du mandat n°</w:t>
      </w:r>
      <w:r w:rsidR="008D5FF9" w:rsidRPr="00607A37">
        <w:rPr>
          <w:rFonts w:cs="Arial"/>
          <w:sz w:val="22"/>
        </w:rPr>
        <w:t> </w:t>
      </w:r>
      <w:r w:rsidRPr="00607A37">
        <w:rPr>
          <w:rFonts w:cs="Arial"/>
          <w:sz w:val="22"/>
        </w:rPr>
        <w:t>441 de 2</w:t>
      </w:r>
      <w:r w:rsidR="00607A37">
        <w:rPr>
          <w:rFonts w:cs="Arial"/>
          <w:sz w:val="22"/>
        </w:rPr>
        <w:t> </w:t>
      </w:r>
      <w:r w:rsidRPr="00607A37">
        <w:rPr>
          <w:rFonts w:cs="Arial"/>
          <w:sz w:val="22"/>
        </w:rPr>
        <w:t>160</w:t>
      </w:r>
      <w:r w:rsidR="00607A37">
        <w:rPr>
          <w:rFonts w:cs="Arial"/>
          <w:sz w:val="22"/>
        </w:rPr>
        <w:t> </w:t>
      </w:r>
      <w:r w:rsidRPr="00607A37">
        <w:rPr>
          <w:rFonts w:cs="Arial"/>
          <w:sz w:val="22"/>
        </w:rPr>
        <w:t>€, le contrat écrit à l’appui n’était signé ni par l’ordonnateur de la commune, ni par l’entreprise et qu’en outre, il n’était pas accompagné d’un bon de commande signé par l’ordonnateur, contrairement</w:t>
      </w:r>
      <w:r w:rsidR="00607A37">
        <w:rPr>
          <w:rFonts w:cs="Arial"/>
          <w:sz w:val="22"/>
        </w:rPr>
        <w:t xml:space="preserve"> à ce qu’allègue le comptable ;</w:t>
      </w:r>
    </w:p>
    <w:p w:rsidR="00607A37" w:rsidRPr="00607A37" w:rsidRDefault="00607A37" w:rsidP="00607A37">
      <w:pPr>
        <w:pStyle w:val="Paragraphedeliste"/>
        <w:spacing w:before="240" w:after="240"/>
        <w:ind w:left="0"/>
        <w:jc w:val="both"/>
        <w:rPr>
          <w:rFonts w:cs="Arial"/>
          <w:sz w:val="22"/>
        </w:rPr>
      </w:pPr>
    </w:p>
    <w:p w:rsidR="00076CB3" w:rsidRDefault="00076CB3" w:rsidP="00607A37">
      <w:pPr>
        <w:pStyle w:val="Paragraphedeliste"/>
        <w:spacing w:before="240" w:after="240"/>
        <w:ind w:left="0"/>
        <w:jc w:val="both"/>
        <w:rPr>
          <w:rFonts w:cs="Arial"/>
          <w:sz w:val="22"/>
        </w:rPr>
      </w:pPr>
      <w:r w:rsidRPr="00607A37">
        <w:rPr>
          <w:rFonts w:cs="Arial"/>
          <w:sz w:val="22"/>
        </w:rPr>
        <w:t>Attendu, en ce qui concerne le mandat n°</w:t>
      </w:r>
      <w:r w:rsidR="00607A37">
        <w:rPr>
          <w:rFonts w:cs="Arial"/>
          <w:sz w:val="22"/>
        </w:rPr>
        <w:t> </w:t>
      </w:r>
      <w:r w:rsidRPr="00607A37">
        <w:rPr>
          <w:rFonts w:cs="Arial"/>
          <w:sz w:val="22"/>
        </w:rPr>
        <w:t>467 de 1</w:t>
      </w:r>
      <w:r w:rsidR="00683CE7" w:rsidRPr="00607A37">
        <w:rPr>
          <w:rFonts w:cs="Arial"/>
          <w:sz w:val="22"/>
        </w:rPr>
        <w:t> </w:t>
      </w:r>
      <w:r w:rsidRPr="00607A37">
        <w:rPr>
          <w:rFonts w:cs="Arial"/>
          <w:sz w:val="22"/>
        </w:rPr>
        <w:t>880</w:t>
      </w:r>
      <w:r w:rsidR="00683CE7" w:rsidRPr="00607A37">
        <w:rPr>
          <w:rFonts w:cs="Arial"/>
          <w:sz w:val="22"/>
        </w:rPr>
        <w:t> </w:t>
      </w:r>
      <w:r w:rsidRPr="00607A37">
        <w:rPr>
          <w:rFonts w:cs="Arial"/>
          <w:sz w:val="22"/>
        </w:rPr>
        <w:t xml:space="preserve">€, que le Procureur général près la Cour des comptes considère, dans ses conclusions, que </w:t>
      </w:r>
      <w:r w:rsidRPr="00607A37">
        <w:rPr>
          <w:rFonts w:cs="Arial"/>
          <w:i/>
          <w:sz w:val="22"/>
        </w:rPr>
        <w:t>«</w:t>
      </w:r>
      <w:r w:rsidRPr="00607A37">
        <w:rPr>
          <w:rFonts w:cs="Arial"/>
          <w:sz w:val="22"/>
        </w:rPr>
        <w:t> </w:t>
      </w:r>
      <w:r w:rsidRPr="00607A37">
        <w:rPr>
          <w:rFonts w:cs="Arial"/>
          <w:i/>
          <w:sz w:val="22"/>
        </w:rPr>
        <w:t>si n’étaient joints au mandat que la facture et le contrat, signé par l’entreprise mais non par la collectivité, la demande d’achat a été produite en cours d’instruction. Antérieure au paiement, signée par l’ordonnateur, cette pièce donne un fondement juridique à la dépense ; que le débet serait à infirmer »</w:t>
      </w:r>
      <w:r w:rsidRPr="00607A37">
        <w:rPr>
          <w:rFonts w:cs="Arial"/>
          <w:sz w:val="22"/>
        </w:rPr>
        <w:t> ; que si la mention de cette demande d’achat qui aurait été produite en réponse au réquisitoire, figure bien dans les conclusions de première instance du ministère public, cette pièce n’est  présente ni dans le dossier de l’appel, ni dans les pièces de la procédure de première instance qui y sont jointes ; qu’elle ne peut, en conséquence, être prise en considération pour infirmer le débet</w:t>
      </w:r>
      <w:r w:rsidR="007D4EFB">
        <w:rPr>
          <w:rFonts w:cs="Arial"/>
          <w:sz w:val="22"/>
        </w:rPr>
        <w:t xml:space="preserve"> </w:t>
      </w:r>
      <w:r w:rsidRPr="00607A37">
        <w:rPr>
          <w:rFonts w:cs="Arial"/>
          <w:sz w:val="22"/>
        </w:rPr>
        <w:t>par le juge des comptes, qui n’étant pas juge du contrat, ne peut se prononcer qu’au vu de pièces écrites décrivant la portée de l’engagement des parties et comportant l’ensemble des énonciations prévues par la liste des pièces justificatives, conformément aux rubriques 422 et 423 de l’article D.</w:t>
      </w:r>
      <w:r w:rsidR="008D5FF9" w:rsidRPr="00607A37">
        <w:rPr>
          <w:rFonts w:cs="Arial"/>
          <w:sz w:val="22"/>
        </w:rPr>
        <w:t> </w:t>
      </w:r>
      <w:r w:rsidRPr="00607A37">
        <w:rPr>
          <w:rFonts w:cs="Arial"/>
          <w:sz w:val="22"/>
        </w:rPr>
        <w:t>1917-19 du code général des collectivités territoriales</w:t>
      </w:r>
      <w:r w:rsidR="007D4EFB">
        <w:rPr>
          <w:rFonts w:cs="Arial"/>
          <w:sz w:val="22"/>
        </w:rPr>
        <w:t> ;</w:t>
      </w:r>
    </w:p>
    <w:p w:rsidR="00607A37" w:rsidRPr="00607A37" w:rsidRDefault="00607A37" w:rsidP="00607A37">
      <w:pPr>
        <w:pStyle w:val="Paragraphedeliste"/>
        <w:spacing w:before="240" w:after="240"/>
        <w:ind w:left="0"/>
        <w:jc w:val="both"/>
        <w:rPr>
          <w:rFonts w:cs="Arial"/>
          <w:sz w:val="22"/>
        </w:rPr>
      </w:pPr>
    </w:p>
    <w:p w:rsidR="00076CB3" w:rsidRPr="00607A37" w:rsidRDefault="00076CB3" w:rsidP="00607A37">
      <w:pPr>
        <w:pStyle w:val="Paragraphedeliste"/>
        <w:spacing w:before="240" w:after="240"/>
        <w:ind w:left="0"/>
        <w:jc w:val="both"/>
        <w:rPr>
          <w:rFonts w:cs="Arial"/>
          <w:sz w:val="22"/>
        </w:rPr>
      </w:pPr>
      <w:r w:rsidRPr="00607A37">
        <w:rPr>
          <w:rFonts w:cs="Arial"/>
          <w:sz w:val="22"/>
        </w:rPr>
        <w:t>Attendu que M</w:t>
      </w:r>
      <w:r w:rsidR="008D5FF9" w:rsidRPr="00607A37">
        <w:rPr>
          <w:rFonts w:cs="Arial"/>
          <w:sz w:val="22"/>
        </w:rPr>
        <w:t>.</w:t>
      </w:r>
      <w:r w:rsidR="00607A37">
        <w:rPr>
          <w:rFonts w:cs="Arial"/>
          <w:sz w:val="22"/>
        </w:rPr>
        <w:t> </w:t>
      </w:r>
      <w:r w:rsidR="00240F6C">
        <w:rPr>
          <w:rFonts w:cs="Arial"/>
          <w:sz w:val="22"/>
        </w:rPr>
        <w:t>X</w:t>
      </w:r>
      <w:r w:rsidRPr="00607A37">
        <w:rPr>
          <w:rFonts w:cs="Arial"/>
          <w:sz w:val="22"/>
        </w:rPr>
        <w:t xml:space="preserve"> a, dans ces conditions, manqué à ces obligations de contrôle de la dépense, en payant les deux mandats n°</w:t>
      </w:r>
      <w:r w:rsidR="008D5FF9" w:rsidRPr="00607A37">
        <w:rPr>
          <w:rFonts w:cs="Arial"/>
          <w:sz w:val="22"/>
        </w:rPr>
        <w:t> </w:t>
      </w:r>
      <w:r w:rsidRPr="00607A37">
        <w:rPr>
          <w:rFonts w:cs="Arial"/>
          <w:sz w:val="22"/>
        </w:rPr>
        <w:t>441 et 467 susvisés, en l’absence de pièces justificatives suffisantes ; qu’il y a lieu de rejeter le moyen tiré de ce que le consentement des parties tiendrait lieu de contrat signé ;</w:t>
      </w:r>
    </w:p>
    <w:p w:rsidR="00683CE7" w:rsidRPr="00607A37" w:rsidRDefault="00683CE7" w:rsidP="00683CE7">
      <w:pPr>
        <w:pStyle w:val="Paragraphedeliste"/>
        <w:spacing w:before="100" w:beforeAutospacing="1" w:after="100" w:afterAutospacing="1"/>
        <w:ind w:left="0"/>
        <w:jc w:val="both"/>
        <w:rPr>
          <w:rFonts w:cs="Arial"/>
          <w:sz w:val="22"/>
        </w:rPr>
      </w:pPr>
    </w:p>
    <w:p w:rsidR="00607A37" w:rsidRDefault="00607A37" w:rsidP="00683CE7">
      <w:pPr>
        <w:pStyle w:val="Paragraphedeliste"/>
        <w:spacing w:before="100" w:beforeAutospacing="1" w:after="100" w:afterAutospacing="1"/>
        <w:ind w:left="0"/>
        <w:jc w:val="both"/>
        <w:rPr>
          <w:rFonts w:cs="Arial"/>
          <w:b/>
          <w:i/>
          <w:sz w:val="22"/>
        </w:rPr>
      </w:pPr>
    </w:p>
    <w:p w:rsidR="006166C5" w:rsidRDefault="006166C5">
      <w:pPr>
        <w:spacing w:line="240" w:lineRule="auto"/>
        <w:rPr>
          <w:rFonts w:cs="Arial"/>
          <w:b/>
          <w:i/>
          <w:sz w:val="22"/>
        </w:rPr>
      </w:pPr>
      <w:r>
        <w:rPr>
          <w:rFonts w:cs="Arial"/>
          <w:b/>
          <w:i/>
          <w:sz w:val="22"/>
        </w:rPr>
        <w:br w:type="page"/>
      </w:r>
    </w:p>
    <w:p w:rsidR="00076CB3" w:rsidRPr="00607A37" w:rsidRDefault="00076CB3" w:rsidP="00683CE7">
      <w:pPr>
        <w:pStyle w:val="Paragraphedeliste"/>
        <w:spacing w:before="100" w:beforeAutospacing="1" w:after="100" w:afterAutospacing="1"/>
        <w:ind w:left="0"/>
        <w:jc w:val="both"/>
        <w:rPr>
          <w:rFonts w:cs="Arial"/>
          <w:b/>
          <w:i/>
          <w:sz w:val="22"/>
        </w:rPr>
      </w:pPr>
      <w:r w:rsidRPr="00607A37">
        <w:rPr>
          <w:rFonts w:cs="Arial"/>
          <w:b/>
          <w:i/>
          <w:sz w:val="22"/>
        </w:rPr>
        <w:lastRenderedPageBreak/>
        <w:t>Sur le manquement au titre du mandat n° 50 de 2</w:t>
      </w:r>
      <w:r w:rsidR="008D5FF9" w:rsidRPr="00607A37">
        <w:rPr>
          <w:rFonts w:cs="Arial"/>
          <w:b/>
          <w:i/>
          <w:sz w:val="22"/>
        </w:rPr>
        <w:t> </w:t>
      </w:r>
      <w:r w:rsidRPr="00607A37">
        <w:rPr>
          <w:rFonts w:cs="Arial"/>
          <w:b/>
          <w:i/>
          <w:sz w:val="22"/>
        </w:rPr>
        <w:t>115 € du 9 janvier 2012</w:t>
      </w:r>
    </w:p>
    <w:p w:rsidR="00683CE7" w:rsidRPr="00607A37" w:rsidRDefault="00683CE7" w:rsidP="00683CE7">
      <w:pPr>
        <w:pStyle w:val="Paragraphedeliste"/>
        <w:spacing w:before="100" w:beforeAutospacing="1" w:after="100" w:afterAutospacing="1"/>
        <w:ind w:left="0"/>
        <w:jc w:val="both"/>
        <w:rPr>
          <w:rFonts w:cs="Arial"/>
          <w:i/>
          <w:sz w:val="22"/>
        </w:rPr>
      </w:pPr>
    </w:p>
    <w:p w:rsidR="00A25A2D" w:rsidRPr="00607A37" w:rsidRDefault="00A25A2D" w:rsidP="00683CE7">
      <w:pPr>
        <w:pStyle w:val="Paragraphedeliste"/>
        <w:spacing w:before="100" w:beforeAutospacing="1" w:after="100" w:afterAutospacing="1"/>
        <w:ind w:left="0"/>
        <w:jc w:val="both"/>
        <w:rPr>
          <w:rFonts w:cs="Arial"/>
          <w:i/>
          <w:sz w:val="22"/>
        </w:rPr>
      </w:pPr>
    </w:p>
    <w:p w:rsidR="00076CB3" w:rsidRPr="00607A37" w:rsidRDefault="00076CB3" w:rsidP="00683CE7">
      <w:pPr>
        <w:pStyle w:val="Paragraphedeliste"/>
        <w:spacing w:before="100" w:beforeAutospacing="1" w:after="100" w:afterAutospacing="1"/>
        <w:ind w:left="0"/>
        <w:jc w:val="both"/>
        <w:rPr>
          <w:rFonts w:cs="Arial"/>
          <w:sz w:val="22"/>
        </w:rPr>
      </w:pPr>
      <w:r w:rsidRPr="00607A37">
        <w:rPr>
          <w:rFonts w:cs="Arial"/>
          <w:sz w:val="22"/>
        </w:rPr>
        <w:t>Attendu que le mandat n°</w:t>
      </w:r>
      <w:r w:rsidR="007D4EFB">
        <w:rPr>
          <w:rFonts w:cs="Arial"/>
          <w:sz w:val="22"/>
        </w:rPr>
        <w:t> </w:t>
      </w:r>
      <w:r w:rsidRPr="00607A37">
        <w:rPr>
          <w:rFonts w:cs="Arial"/>
          <w:sz w:val="22"/>
        </w:rPr>
        <w:t>50 en date du 9 janvier 2012 se rattache à une série de prestations effectuées en 2011 aboutissant à une somme totale de 23</w:t>
      </w:r>
      <w:r w:rsidR="00682201" w:rsidRPr="00607A37">
        <w:rPr>
          <w:rFonts w:cs="Arial"/>
          <w:sz w:val="22"/>
        </w:rPr>
        <w:t> </w:t>
      </w:r>
      <w:r w:rsidRPr="00607A37">
        <w:rPr>
          <w:rFonts w:cs="Arial"/>
          <w:sz w:val="22"/>
        </w:rPr>
        <w:t>171</w:t>
      </w:r>
      <w:r w:rsidR="00682201" w:rsidRPr="00607A37">
        <w:rPr>
          <w:rFonts w:cs="Arial"/>
          <w:sz w:val="22"/>
        </w:rPr>
        <w:t> </w:t>
      </w:r>
      <w:r w:rsidRPr="00607A37">
        <w:rPr>
          <w:rFonts w:cs="Arial"/>
          <w:sz w:val="22"/>
        </w:rPr>
        <w:t>€, supérieure au montant initialement prévu au contrat, soit 22</w:t>
      </w:r>
      <w:r w:rsidR="00682201" w:rsidRPr="00607A37">
        <w:rPr>
          <w:rFonts w:cs="Arial"/>
          <w:sz w:val="22"/>
        </w:rPr>
        <w:t> </w:t>
      </w:r>
      <w:r w:rsidRPr="00607A37">
        <w:rPr>
          <w:rFonts w:cs="Arial"/>
          <w:sz w:val="22"/>
        </w:rPr>
        <w:t>560</w:t>
      </w:r>
      <w:r w:rsidR="00682201" w:rsidRPr="00607A37">
        <w:rPr>
          <w:rFonts w:cs="Arial"/>
          <w:sz w:val="22"/>
        </w:rPr>
        <w:t> </w:t>
      </w:r>
      <w:r w:rsidRPr="00607A37">
        <w:rPr>
          <w:rFonts w:cs="Arial"/>
          <w:sz w:val="22"/>
        </w:rPr>
        <w:t>€</w:t>
      </w:r>
      <w:r w:rsidR="007D4EFB">
        <w:rPr>
          <w:rFonts w:cs="Arial"/>
          <w:sz w:val="22"/>
        </w:rPr>
        <w:t> </w:t>
      </w:r>
      <w:r w:rsidRPr="00607A37">
        <w:rPr>
          <w:rFonts w:cs="Arial"/>
          <w:sz w:val="22"/>
        </w:rPr>
        <w:t>; que le jugement attaqué a considéré que le comptable avait effectué un paiement ind</w:t>
      </w:r>
      <w:r w:rsidR="007D4EFB">
        <w:rPr>
          <w:rFonts w:cs="Arial"/>
          <w:sz w:val="22"/>
        </w:rPr>
        <w:t>u</w:t>
      </w:r>
      <w:r w:rsidRPr="00607A37">
        <w:rPr>
          <w:rFonts w:cs="Arial"/>
          <w:sz w:val="22"/>
        </w:rPr>
        <w:t xml:space="preserve"> de 611</w:t>
      </w:r>
      <w:r w:rsidR="00607A37">
        <w:rPr>
          <w:rFonts w:cs="Arial"/>
          <w:sz w:val="22"/>
        </w:rPr>
        <w:t> </w:t>
      </w:r>
      <w:r w:rsidR="008D5FF9" w:rsidRPr="00607A37">
        <w:rPr>
          <w:rFonts w:cs="Arial"/>
          <w:sz w:val="22"/>
        </w:rPr>
        <w:t>€</w:t>
      </w:r>
      <w:r w:rsidRPr="00607A37">
        <w:rPr>
          <w:rFonts w:cs="Arial"/>
          <w:sz w:val="22"/>
        </w:rPr>
        <w:t xml:space="preserve"> en dépassement du total précité, sans qu’un avenant n’ait été conclu ;</w:t>
      </w:r>
    </w:p>
    <w:p w:rsidR="00683CE7" w:rsidRPr="00607A37" w:rsidRDefault="00683CE7" w:rsidP="00683CE7">
      <w:pPr>
        <w:pStyle w:val="Paragraphedeliste"/>
        <w:spacing w:before="100" w:beforeAutospacing="1" w:after="100" w:afterAutospacing="1"/>
        <w:ind w:left="0"/>
        <w:jc w:val="both"/>
        <w:rPr>
          <w:rFonts w:cs="Arial"/>
          <w:sz w:val="22"/>
        </w:rPr>
      </w:pPr>
    </w:p>
    <w:p w:rsidR="00076CB3" w:rsidRPr="00607A37" w:rsidRDefault="00076CB3" w:rsidP="00683CE7">
      <w:pPr>
        <w:pStyle w:val="Paragraphedeliste"/>
        <w:spacing w:before="100" w:beforeAutospacing="1" w:after="100" w:afterAutospacing="1"/>
        <w:ind w:left="0"/>
        <w:jc w:val="both"/>
        <w:rPr>
          <w:rFonts w:cs="Arial"/>
          <w:sz w:val="22"/>
        </w:rPr>
      </w:pPr>
      <w:r w:rsidRPr="00607A37">
        <w:rPr>
          <w:rFonts w:cs="Arial"/>
          <w:sz w:val="22"/>
        </w:rPr>
        <w:t>Attendu que le comptable reprend le même moyen évoqué ci-dessus du consentement éclairé des parties valant formation d’un contrat auquel il ajoute que</w:t>
      </w:r>
      <w:r w:rsidR="007D4EFB">
        <w:rPr>
          <w:rFonts w:cs="Arial"/>
          <w:sz w:val="22"/>
        </w:rPr>
        <w:t>,</w:t>
      </w:r>
      <w:r w:rsidRPr="00607A37">
        <w:rPr>
          <w:rFonts w:cs="Arial"/>
          <w:sz w:val="22"/>
        </w:rPr>
        <w:t xml:space="preserve"> selon la mairie, « ce mandat faisant suite à une demande d’achat, ce</w:t>
      </w:r>
      <w:r w:rsidR="007D4EFB">
        <w:rPr>
          <w:rFonts w:cs="Arial"/>
          <w:sz w:val="22"/>
        </w:rPr>
        <w:t xml:space="preserve"> </w:t>
      </w:r>
      <w:r w:rsidRPr="00607A37">
        <w:rPr>
          <w:rFonts w:cs="Arial"/>
          <w:sz w:val="22"/>
        </w:rPr>
        <w:t>qui a conduit à un dépassement du mandat initial » ;</w:t>
      </w:r>
    </w:p>
    <w:p w:rsidR="00683CE7" w:rsidRPr="00607A37" w:rsidRDefault="00683CE7" w:rsidP="00683CE7">
      <w:pPr>
        <w:pStyle w:val="Paragraphedeliste"/>
        <w:spacing w:before="100" w:beforeAutospacing="1" w:after="100" w:afterAutospacing="1"/>
        <w:ind w:left="0"/>
        <w:jc w:val="both"/>
        <w:rPr>
          <w:rFonts w:cs="Arial"/>
          <w:sz w:val="22"/>
        </w:rPr>
      </w:pPr>
    </w:p>
    <w:p w:rsidR="00076CB3" w:rsidRPr="00607A37" w:rsidRDefault="00076CB3" w:rsidP="00683CE7">
      <w:pPr>
        <w:pStyle w:val="Paragraphedeliste"/>
        <w:spacing w:before="100" w:beforeAutospacing="1" w:after="100" w:afterAutospacing="1"/>
        <w:ind w:left="0"/>
        <w:contextualSpacing w:val="0"/>
        <w:jc w:val="both"/>
        <w:rPr>
          <w:rFonts w:cs="Arial"/>
          <w:sz w:val="22"/>
        </w:rPr>
      </w:pPr>
      <w:r w:rsidRPr="00607A37">
        <w:rPr>
          <w:rFonts w:cs="Arial"/>
          <w:sz w:val="22"/>
        </w:rPr>
        <w:t>Attendu que l’article 118 du code des marchés publics requiert la conclusion d’un avenant quand le montant des prestations exécutées atteint le montant prévu par le marché ; que ni les pièces de l’appel ni celles de la procédure de première instance ne comprennent de demande d’achat relative au contrat concerné ; qu’ainsi, le</w:t>
      </w:r>
      <w:r w:rsidR="007D4EFB">
        <w:rPr>
          <w:rFonts w:cs="Arial"/>
          <w:sz w:val="22"/>
        </w:rPr>
        <w:t xml:space="preserve"> </w:t>
      </w:r>
      <w:r w:rsidRPr="00607A37">
        <w:rPr>
          <w:rFonts w:cs="Arial"/>
          <w:sz w:val="22"/>
        </w:rPr>
        <w:t>comptable ne disposant pas de pièces justificatives probantes pour s’assurer de la validité de la créance et de l’exactitude des calculs de liquidation des dépenses en jeu, a également manqué à ses obligations de contrôle, pour le mandat n°</w:t>
      </w:r>
      <w:r w:rsidR="008D5FF9" w:rsidRPr="00607A37">
        <w:rPr>
          <w:rFonts w:cs="Arial"/>
          <w:sz w:val="22"/>
        </w:rPr>
        <w:t> </w:t>
      </w:r>
      <w:r w:rsidR="00E72BBA" w:rsidRPr="00607A37">
        <w:rPr>
          <w:rFonts w:cs="Arial"/>
          <w:sz w:val="22"/>
        </w:rPr>
        <w:t>50 ;</w:t>
      </w:r>
    </w:p>
    <w:p w:rsidR="00076CB3" w:rsidRPr="00607A37" w:rsidRDefault="00076CB3" w:rsidP="00683CE7">
      <w:pPr>
        <w:pStyle w:val="Paragraphedeliste"/>
        <w:spacing w:before="360" w:after="240"/>
        <w:ind w:left="0"/>
        <w:jc w:val="both"/>
        <w:rPr>
          <w:rFonts w:cs="Arial"/>
          <w:b/>
          <w:i/>
          <w:sz w:val="22"/>
        </w:rPr>
      </w:pPr>
      <w:r w:rsidRPr="00607A37">
        <w:rPr>
          <w:rFonts w:cs="Arial"/>
          <w:b/>
          <w:i/>
          <w:sz w:val="22"/>
        </w:rPr>
        <w:t>Sur le préjudice financier</w:t>
      </w:r>
    </w:p>
    <w:p w:rsidR="00683CE7" w:rsidRPr="00607A37" w:rsidRDefault="00683CE7" w:rsidP="00683CE7">
      <w:pPr>
        <w:pStyle w:val="Paragraphedeliste"/>
        <w:spacing w:before="360" w:after="240"/>
        <w:ind w:left="0"/>
        <w:jc w:val="both"/>
        <w:rPr>
          <w:rFonts w:cs="Arial"/>
          <w:b/>
          <w:i/>
          <w:sz w:val="22"/>
        </w:rPr>
      </w:pPr>
    </w:p>
    <w:p w:rsidR="00076CB3" w:rsidRDefault="00076CB3" w:rsidP="00683CE7">
      <w:pPr>
        <w:pStyle w:val="Paragraphedeliste"/>
        <w:spacing w:before="360" w:after="240"/>
        <w:ind w:left="0"/>
        <w:jc w:val="both"/>
        <w:rPr>
          <w:rFonts w:cs="Arial"/>
          <w:sz w:val="22"/>
        </w:rPr>
      </w:pPr>
      <w:r w:rsidRPr="00607A37">
        <w:rPr>
          <w:rFonts w:cs="Arial"/>
          <w:sz w:val="22"/>
        </w:rPr>
        <w:t>Attendu que, selon l’appelant, le préjudice financier doit être certain, direct et indemnisable</w:t>
      </w:r>
      <w:r w:rsidR="007D4EFB">
        <w:rPr>
          <w:rFonts w:cs="Arial"/>
          <w:sz w:val="22"/>
        </w:rPr>
        <w:t xml:space="preserve"> </w:t>
      </w:r>
      <w:r w:rsidRPr="00607A37">
        <w:rPr>
          <w:rFonts w:cs="Arial"/>
          <w:sz w:val="22"/>
        </w:rPr>
        <w:t>d’une part, et qu’il doit résulter d’un dommage, d’autre part ; qu’au cas d’espèce, le préjudice, à défaut d’être démontré, se traduirait pour la collectivité</w:t>
      </w:r>
      <w:r w:rsidR="007D4EFB">
        <w:rPr>
          <w:rFonts w:cs="Arial"/>
          <w:sz w:val="22"/>
        </w:rPr>
        <w:t xml:space="preserve"> </w:t>
      </w:r>
      <w:r w:rsidRPr="00607A37">
        <w:rPr>
          <w:rFonts w:cs="Arial"/>
          <w:sz w:val="22"/>
        </w:rPr>
        <w:t>par un enrichissement sans cause ; que certains jugements des juridictions financières auraient dans des cas similaires admis l’absence de préjudice financier ;</w:t>
      </w:r>
    </w:p>
    <w:p w:rsidR="00607A37" w:rsidRPr="00607A37" w:rsidRDefault="00607A37" w:rsidP="00683CE7">
      <w:pPr>
        <w:pStyle w:val="Paragraphedeliste"/>
        <w:spacing w:before="360" w:after="240"/>
        <w:ind w:left="0"/>
        <w:jc w:val="both"/>
        <w:rPr>
          <w:rFonts w:cs="Arial"/>
          <w:sz w:val="22"/>
        </w:rPr>
      </w:pPr>
    </w:p>
    <w:p w:rsidR="00076CB3" w:rsidRPr="00607A37" w:rsidRDefault="00076CB3" w:rsidP="00683CE7">
      <w:pPr>
        <w:pStyle w:val="Paragraphedeliste"/>
        <w:spacing w:before="360" w:after="240"/>
        <w:ind w:left="0"/>
        <w:jc w:val="both"/>
        <w:rPr>
          <w:rFonts w:cs="Arial"/>
          <w:iCs/>
          <w:sz w:val="22"/>
        </w:rPr>
      </w:pPr>
      <w:r w:rsidRPr="00607A37">
        <w:rPr>
          <w:rFonts w:cs="Arial"/>
          <w:iCs/>
          <w:sz w:val="22"/>
        </w:rPr>
        <w:t>Attendu qu’aux termes de l’article 60 de la loi du 23 février 1963 susvisée, « </w:t>
      </w:r>
      <w:r w:rsidRPr="00607A37">
        <w:rPr>
          <w:rFonts w:cs="Arial"/>
          <w:i/>
          <w:iCs/>
          <w:sz w:val="22"/>
        </w:rPr>
        <w:t>la responsabilité personnelle et pécuniaire prévue au I est mise en jeu par le ministre dont relève le comptable, le ministre chargé du budget ou le juge des comptes dans les conditions qui suivent</w:t>
      </w:r>
      <w:r w:rsidRPr="00607A37">
        <w:rPr>
          <w:rFonts w:cs="Arial"/>
          <w:iCs/>
          <w:sz w:val="22"/>
        </w:rPr>
        <w:t> » ; que « </w:t>
      </w:r>
      <w:r w:rsidRPr="00607A37">
        <w:rPr>
          <w:rFonts w:cs="Arial"/>
          <w:i/>
          <w:iCs/>
          <w:sz w:val="22"/>
        </w:rPr>
        <w:t>lorsque le manquement du comptable</w:t>
      </w:r>
      <w:r w:rsidRPr="00607A37">
        <w:rPr>
          <w:rFonts w:cs="Arial"/>
          <w:iCs/>
          <w:sz w:val="22"/>
        </w:rPr>
        <w:t xml:space="preserve"> […] </w:t>
      </w:r>
      <w:r w:rsidRPr="00607A37">
        <w:rPr>
          <w:rFonts w:cs="Arial"/>
          <w:i/>
          <w:iCs/>
          <w:sz w:val="22"/>
        </w:rPr>
        <w:t>n’a pas causé de préjudice financier à l’organisme public concerné, le juge des comptes peut l’obliger à s’acquitter d’une somme, arrêtée pour chaque exercice, en tenant compte des circonstances de l’espèce</w:t>
      </w:r>
      <w:r w:rsidRPr="00607A37">
        <w:rPr>
          <w:rFonts w:cs="Arial"/>
          <w:iCs/>
          <w:sz w:val="22"/>
        </w:rPr>
        <w:t> » ; que « </w:t>
      </w:r>
      <w:r w:rsidRPr="00607A37">
        <w:rPr>
          <w:rFonts w:cs="Arial"/>
          <w:i/>
          <w:iCs/>
          <w:sz w:val="22"/>
        </w:rPr>
        <w:t>lorsque le manquement du comptable</w:t>
      </w:r>
      <w:r w:rsidRPr="00607A37">
        <w:rPr>
          <w:rFonts w:cs="Arial"/>
          <w:iCs/>
          <w:sz w:val="22"/>
        </w:rPr>
        <w:t xml:space="preserve"> […] </w:t>
      </w:r>
      <w:r w:rsidRPr="00607A37">
        <w:rPr>
          <w:rFonts w:cs="Arial"/>
          <w:i/>
          <w:iCs/>
          <w:sz w:val="22"/>
        </w:rPr>
        <w:t xml:space="preserve">a causé un préjudice financier à l’organisme public concerné, </w:t>
      </w:r>
      <w:r w:rsidRPr="00607A37">
        <w:rPr>
          <w:rFonts w:cs="Arial"/>
          <w:iCs/>
          <w:sz w:val="22"/>
        </w:rPr>
        <w:t>[…]</w:t>
      </w:r>
      <w:r w:rsidRPr="00607A37">
        <w:rPr>
          <w:rFonts w:cs="Arial"/>
          <w:i/>
          <w:iCs/>
          <w:sz w:val="22"/>
        </w:rPr>
        <w:t xml:space="preserve"> le comptable a</w:t>
      </w:r>
      <w:r w:rsidR="007D4EFB">
        <w:rPr>
          <w:rFonts w:cs="Arial"/>
          <w:i/>
          <w:iCs/>
          <w:sz w:val="22"/>
        </w:rPr>
        <w:t xml:space="preserve"> </w:t>
      </w:r>
      <w:r w:rsidRPr="00607A37">
        <w:rPr>
          <w:rFonts w:cs="Arial"/>
          <w:i/>
          <w:iCs/>
          <w:sz w:val="22"/>
        </w:rPr>
        <w:t>l’obligation de verser immédiatement de ses deniers personnels la somme correspondante » </w:t>
      </w:r>
      <w:r w:rsidRPr="00607A37">
        <w:rPr>
          <w:rFonts w:cs="Arial"/>
          <w:iCs/>
          <w:sz w:val="22"/>
        </w:rPr>
        <w:t xml:space="preserve">; </w:t>
      </w:r>
    </w:p>
    <w:p w:rsidR="00683CE7" w:rsidRPr="00607A37" w:rsidRDefault="00683CE7" w:rsidP="00683CE7">
      <w:pPr>
        <w:pStyle w:val="Paragraphedeliste"/>
        <w:spacing w:before="360" w:after="240"/>
        <w:ind w:left="0"/>
        <w:jc w:val="both"/>
        <w:rPr>
          <w:rFonts w:cs="Arial"/>
          <w:i/>
          <w:iCs/>
          <w:sz w:val="22"/>
        </w:rPr>
      </w:pPr>
    </w:p>
    <w:p w:rsidR="00076CB3" w:rsidRPr="00607A37" w:rsidRDefault="00076CB3" w:rsidP="00683CE7">
      <w:pPr>
        <w:pStyle w:val="Paragraphedeliste"/>
        <w:spacing w:before="360" w:after="240"/>
        <w:ind w:left="0"/>
        <w:jc w:val="both"/>
        <w:rPr>
          <w:rFonts w:cs="Arial"/>
          <w:sz w:val="22"/>
        </w:rPr>
      </w:pPr>
      <w:r w:rsidRPr="00607A37">
        <w:rPr>
          <w:rFonts w:cs="Arial"/>
          <w:sz w:val="22"/>
        </w:rPr>
        <w:t>Attendu qu’il résulte du texte précité que, lorsque l’instance est ouverte devant le juge des comptes, le constat de l’existence ou non d’un préjudice financier relève de la seule appréciation de ce juge</w:t>
      </w:r>
      <w:r w:rsidR="007D4EFB">
        <w:rPr>
          <w:rFonts w:cs="Arial"/>
          <w:sz w:val="22"/>
        </w:rPr>
        <w:t> ;</w:t>
      </w:r>
      <w:r w:rsidRPr="00607A37">
        <w:rPr>
          <w:rFonts w:cs="Arial"/>
          <w:sz w:val="22"/>
        </w:rPr>
        <w:t xml:space="preserve"> que si, au regard du caractère contradictoire de la procédure, la chambre régionale des comptes de Provence-Alpes-Côte d’Azur a</w:t>
      </w:r>
      <w:r w:rsidR="007D4EFB">
        <w:rPr>
          <w:rFonts w:cs="Arial"/>
          <w:sz w:val="22"/>
        </w:rPr>
        <w:t xml:space="preserve"> </w:t>
      </w:r>
      <w:r w:rsidRPr="00607A37">
        <w:rPr>
          <w:rFonts w:cs="Arial"/>
          <w:sz w:val="22"/>
        </w:rPr>
        <w:t xml:space="preserve">tenu compte, pour son appréciation, des dires et actes éventuels de la mairie, le juge n’est pas lié, ni en première instance, ni en appel, par une déclaration de l’ordonnateur indiquant que la collectivité n’aurait subi aucun préjudice ; </w:t>
      </w:r>
    </w:p>
    <w:p w:rsidR="00683CE7" w:rsidRPr="00607A37" w:rsidRDefault="00683CE7" w:rsidP="00683CE7">
      <w:pPr>
        <w:pStyle w:val="Paragraphedeliste"/>
        <w:spacing w:before="360" w:after="240"/>
        <w:ind w:left="0"/>
        <w:jc w:val="both"/>
        <w:rPr>
          <w:rFonts w:cs="Arial"/>
          <w:sz w:val="22"/>
        </w:rPr>
      </w:pPr>
    </w:p>
    <w:p w:rsidR="00076CB3" w:rsidRPr="00607A37" w:rsidRDefault="00076CB3" w:rsidP="00683CE7">
      <w:pPr>
        <w:pStyle w:val="Paragraphedeliste"/>
        <w:spacing w:before="360" w:after="240"/>
        <w:ind w:left="0"/>
        <w:jc w:val="both"/>
        <w:rPr>
          <w:rFonts w:cs="Arial"/>
          <w:sz w:val="22"/>
        </w:rPr>
      </w:pPr>
      <w:r w:rsidRPr="00607A37">
        <w:rPr>
          <w:rFonts w:cs="Arial"/>
          <w:sz w:val="22"/>
        </w:rPr>
        <w:t>Attendu que le juge d’appel n’est pas davantage tenu qu’un juge de première instance par la solution donnée par un autre jugement, dès lors qu’il lui appartient de fonder son jugement sur une analyse des circonstances de chaque espèce ; qu’ainsi il y a lieu d’écarter le moyen de l’appelant tenant à la discordance qui existerait entre le jugement entrepris et les solutions données dans des situations similaires ;</w:t>
      </w:r>
    </w:p>
    <w:p w:rsidR="007D4EFB" w:rsidRDefault="007D4EFB">
      <w:pPr>
        <w:spacing w:line="240" w:lineRule="auto"/>
        <w:rPr>
          <w:rFonts w:cs="Arial"/>
          <w:sz w:val="22"/>
        </w:rPr>
      </w:pPr>
      <w:r>
        <w:rPr>
          <w:rFonts w:cs="Arial"/>
          <w:sz w:val="22"/>
        </w:rPr>
        <w:br w:type="page"/>
      </w:r>
    </w:p>
    <w:p w:rsidR="00076CB3" w:rsidRDefault="00076CB3" w:rsidP="00683CE7">
      <w:pPr>
        <w:pStyle w:val="Paragraphedeliste"/>
        <w:spacing w:before="240" w:after="240"/>
        <w:ind w:left="0"/>
        <w:jc w:val="both"/>
        <w:rPr>
          <w:rFonts w:cs="Arial"/>
          <w:sz w:val="22"/>
        </w:rPr>
      </w:pPr>
    </w:p>
    <w:p w:rsidR="00076CB3" w:rsidRPr="00607A37" w:rsidRDefault="00076CB3" w:rsidP="00683CE7">
      <w:pPr>
        <w:pStyle w:val="Paragraphedeliste"/>
        <w:spacing w:before="240" w:after="240"/>
        <w:ind w:left="0"/>
        <w:jc w:val="both"/>
        <w:rPr>
          <w:rFonts w:cs="Arial"/>
          <w:sz w:val="22"/>
        </w:rPr>
      </w:pPr>
      <w:r w:rsidRPr="00607A37">
        <w:rPr>
          <w:rFonts w:cs="Arial"/>
          <w:sz w:val="22"/>
        </w:rPr>
        <w:t>Attendu qu’aucune pièce ne venant matérialiser l’accord antérieur des parties et notamment de la commune de</w:t>
      </w:r>
      <w:r w:rsidR="007D4EFB">
        <w:rPr>
          <w:rFonts w:cs="Arial"/>
          <w:sz w:val="22"/>
        </w:rPr>
        <w:t xml:space="preserve"> </w:t>
      </w:r>
      <w:r w:rsidRPr="00607A37">
        <w:rPr>
          <w:rFonts w:cs="Arial"/>
          <w:sz w:val="22"/>
        </w:rPr>
        <w:t>Venelles pour le paiement de prestations à fournir et pour la justification de prestations en dépassement du montant initial, les trois paiements effectués par les mandats en cause, dépourvus de fondement juridique et en particulier d’un engagement régulier antérieur au paiement par l’autorité compétente, doivent être considérés comme indus et constitutifs d’un préjudice pour la commune, comme en a jugé à bon droit</w:t>
      </w:r>
      <w:r w:rsidR="007D4EFB">
        <w:rPr>
          <w:rFonts w:cs="Arial"/>
          <w:sz w:val="22"/>
        </w:rPr>
        <w:t xml:space="preserve"> </w:t>
      </w:r>
      <w:r w:rsidRPr="00607A37">
        <w:rPr>
          <w:rFonts w:cs="Arial"/>
          <w:sz w:val="22"/>
        </w:rPr>
        <w:t>la chambre régionale des comptes de Provence-Alpes-Côte</w:t>
      </w:r>
      <w:r w:rsidR="008D5FF9" w:rsidRPr="00607A37">
        <w:rPr>
          <w:rFonts w:cs="Arial"/>
          <w:sz w:val="22"/>
        </w:rPr>
        <w:t xml:space="preserve"> </w:t>
      </w:r>
      <w:r w:rsidRPr="00607A37">
        <w:rPr>
          <w:rFonts w:cs="Arial"/>
          <w:sz w:val="22"/>
        </w:rPr>
        <w:t>d’azur ; que le moyen du comptable appelant sur l’absence de préjudice financier est donc à rejeter ;</w:t>
      </w:r>
    </w:p>
    <w:p w:rsidR="00076CB3" w:rsidRPr="00607A37" w:rsidRDefault="00076CB3" w:rsidP="00176AA7">
      <w:pPr>
        <w:pStyle w:val="Paragraphedeliste"/>
        <w:spacing w:before="240" w:after="240"/>
        <w:ind w:left="0"/>
        <w:jc w:val="both"/>
        <w:rPr>
          <w:rFonts w:cs="Arial"/>
          <w:sz w:val="22"/>
        </w:rPr>
      </w:pPr>
    </w:p>
    <w:p w:rsidR="00941CB1" w:rsidRPr="00607A37" w:rsidRDefault="00941CB1" w:rsidP="00176AA7">
      <w:pPr>
        <w:pStyle w:val="Paragraphedeliste"/>
        <w:spacing w:before="240" w:after="240"/>
        <w:ind w:left="0"/>
        <w:jc w:val="both"/>
        <w:rPr>
          <w:rFonts w:cs="Arial"/>
          <w:sz w:val="22"/>
        </w:rPr>
      </w:pPr>
    </w:p>
    <w:p w:rsidR="00076CB3" w:rsidRPr="00607A37" w:rsidRDefault="00076CB3" w:rsidP="00176AA7">
      <w:pPr>
        <w:pStyle w:val="Paragraphedeliste"/>
        <w:spacing w:before="240" w:after="240"/>
        <w:ind w:left="0"/>
        <w:jc w:val="both"/>
        <w:rPr>
          <w:rFonts w:cs="Arial"/>
          <w:b/>
          <w:i/>
          <w:sz w:val="22"/>
        </w:rPr>
      </w:pPr>
      <w:r w:rsidRPr="00607A37">
        <w:rPr>
          <w:rFonts w:cs="Arial"/>
          <w:b/>
          <w:i/>
          <w:sz w:val="22"/>
        </w:rPr>
        <w:t>Sur la situation du poste comptable</w:t>
      </w:r>
    </w:p>
    <w:p w:rsidR="00076CB3" w:rsidRPr="00607A37" w:rsidRDefault="00076CB3" w:rsidP="00176AA7">
      <w:pPr>
        <w:spacing w:before="240" w:after="240" w:line="240" w:lineRule="auto"/>
        <w:jc w:val="both"/>
        <w:rPr>
          <w:rFonts w:cs="Arial"/>
          <w:sz w:val="22"/>
        </w:rPr>
      </w:pPr>
      <w:r w:rsidRPr="00607A37">
        <w:rPr>
          <w:rFonts w:cs="Arial"/>
          <w:sz w:val="22"/>
        </w:rPr>
        <w:t xml:space="preserve">Attendu que le comptable invoque les moyens insuffisants du poste comptable, notamment humains, et la nécessité d’accélérer les paiements dans le cadre d’une politique de soutien aux entreprises ; </w:t>
      </w:r>
    </w:p>
    <w:p w:rsidR="00076CB3" w:rsidRPr="00607A37" w:rsidRDefault="00076CB3" w:rsidP="00176AA7">
      <w:pPr>
        <w:pStyle w:val="Paragraphedeliste"/>
        <w:spacing w:before="240" w:after="240"/>
        <w:ind w:left="0"/>
        <w:jc w:val="both"/>
        <w:rPr>
          <w:rFonts w:cs="Arial"/>
          <w:sz w:val="22"/>
        </w:rPr>
      </w:pPr>
      <w:r w:rsidRPr="00607A37">
        <w:rPr>
          <w:rFonts w:cs="Arial"/>
          <w:sz w:val="22"/>
        </w:rPr>
        <w:t>Attendu que ces considérations n’entrent pas dans la catégorie des moyens de fait ou de droit susceptibles d’être discutés en appel ; que de surcroît, les mandats en cause sont au nombre de ceux faisant l’objet de la sélection retenue par le plan de contrôle hiérarchisé de la dépense ;</w:t>
      </w:r>
    </w:p>
    <w:p w:rsidR="00C744AF" w:rsidRPr="00607A37" w:rsidRDefault="00BA4F93" w:rsidP="00C362A3">
      <w:pPr>
        <w:spacing w:before="240" w:after="240" w:line="240" w:lineRule="auto"/>
        <w:jc w:val="both"/>
        <w:rPr>
          <w:rFonts w:eastAsia="Times New Roman" w:cs="Arial"/>
          <w:sz w:val="22"/>
          <w:lang w:eastAsia="fr-FR"/>
        </w:rPr>
      </w:pPr>
      <w:r w:rsidRPr="00607A37">
        <w:rPr>
          <w:rFonts w:eastAsia="Times New Roman" w:cs="Arial"/>
          <w:sz w:val="22"/>
          <w:lang w:eastAsia="fr-FR"/>
        </w:rPr>
        <w:t>Par ces motifs,</w:t>
      </w:r>
    </w:p>
    <w:p w:rsidR="00C744AF" w:rsidRPr="00607A37" w:rsidRDefault="00BA4F93" w:rsidP="00C362A3">
      <w:pPr>
        <w:spacing w:before="240" w:after="240" w:line="240" w:lineRule="auto"/>
        <w:jc w:val="center"/>
        <w:rPr>
          <w:rFonts w:eastAsia="Times New Roman" w:cs="Arial"/>
          <w:sz w:val="22"/>
          <w:lang w:eastAsia="fr-FR"/>
        </w:rPr>
      </w:pPr>
      <w:r w:rsidRPr="00607A37">
        <w:rPr>
          <w:rFonts w:eastAsia="Times New Roman" w:cs="Arial"/>
          <w:b/>
          <w:sz w:val="22"/>
          <w:lang w:eastAsia="fr-FR"/>
        </w:rPr>
        <w:t>DECIDE</w:t>
      </w:r>
      <w:r w:rsidRPr="00607A37">
        <w:rPr>
          <w:rFonts w:eastAsia="Times New Roman" w:cs="Arial"/>
          <w:sz w:val="22"/>
          <w:lang w:eastAsia="fr-FR"/>
        </w:rPr>
        <w:t> :</w:t>
      </w:r>
    </w:p>
    <w:p w:rsidR="008D5FF9" w:rsidRPr="00607A37" w:rsidRDefault="00BA4F93" w:rsidP="008D5FF9">
      <w:pPr>
        <w:pStyle w:val="PS"/>
        <w:spacing w:before="100" w:beforeAutospacing="1" w:after="100" w:afterAutospacing="1"/>
        <w:ind w:left="0" w:firstLine="0"/>
        <w:rPr>
          <w:rFonts w:ascii="Arial" w:hAnsi="Arial" w:cs="Arial"/>
          <w:sz w:val="22"/>
          <w:szCs w:val="18"/>
        </w:rPr>
      </w:pPr>
      <w:r w:rsidRPr="00607A37">
        <w:rPr>
          <w:rFonts w:ascii="Arial" w:eastAsia="Times New Roman" w:hAnsi="Arial" w:cs="Arial"/>
          <w:b/>
          <w:sz w:val="22"/>
          <w:szCs w:val="18"/>
        </w:rPr>
        <w:t>Article unique -</w:t>
      </w:r>
      <w:r w:rsidRPr="00607A37">
        <w:rPr>
          <w:rFonts w:ascii="Arial" w:eastAsia="Times New Roman" w:hAnsi="Arial" w:cs="Arial"/>
          <w:sz w:val="22"/>
          <w:szCs w:val="18"/>
        </w:rPr>
        <w:t xml:space="preserve"> </w:t>
      </w:r>
      <w:r w:rsidR="008D5FF9" w:rsidRPr="00607A37">
        <w:rPr>
          <w:rFonts w:ascii="Arial" w:hAnsi="Arial" w:cs="Arial"/>
          <w:sz w:val="22"/>
          <w:szCs w:val="18"/>
        </w:rPr>
        <w:t xml:space="preserve">La requête de </w:t>
      </w:r>
      <w:r w:rsidR="00240F6C">
        <w:rPr>
          <w:rFonts w:ascii="Arial" w:hAnsi="Arial" w:cs="Arial"/>
          <w:sz w:val="22"/>
          <w:szCs w:val="18"/>
        </w:rPr>
        <w:t>M. X</w:t>
      </w:r>
      <w:r w:rsidR="008D5FF9" w:rsidRPr="00607A37">
        <w:rPr>
          <w:rFonts w:ascii="Arial" w:hAnsi="Arial" w:cs="Arial"/>
          <w:sz w:val="22"/>
          <w:szCs w:val="18"/>
        </w:rPr>
        <w:t xml:space="preserve"> est rejetée.</w:t>
      </w:r>
    </w:p>
    <w:p w:rsidR="00C744AF" w:rsidRPr="00607A37" w:rsidRDefault="00BA4F93" w:rsidP="00C744AF">
      <w:pPr>
        <w:tabs>
          <w:tab w:val="center" w:pos="5245"/>
        </w:tabs>
        <w:spacing w:before="120" w:after="360" w:line="240" w:lineRule="auto"/>
        <w:jc w:val="center"/>
        <w:rPr>
          <w:rFonts w:eastAsia="Times New Roman" w:cs="Arial"/>
          <w:sz w:val="22"/>
          <w:lang w:eastAsia="fr-FR"/>
        </w:rPr>
      </w:pPr>
      <w:r w:rsidRPr="00607A37">
        <w:rPr>
          <w:rFonts w:eastAsia="Times New Roman" w:cs="Arial"/>
          <w:sz w:val="22"/>
          <w:lang w:eastAsia="fr-FR"/>
        </w:rPr>
        <w:t>------------</w:t>
      </w:r>
    </w:p>
    <w:p w:rsidR="00E72BBA" w:rsidRPr="00607A37" w:rsidRDefault="00E72BBA" w:rsidP="00E72BBA">
      <w:pPr>
        <w:spacing w:before="120" w:after="360" w:line="240" w:lineRule="auto"/>
        <w:jc w:val="both"/>
        <w:rPr>
          <w:rFonts w:eastAsia="Times New Roman" w:cs="Arial"/>
          <w:sz w:val="22"/>
          <w:lang w:eastAsia="fr-FR"/>
        </w:rPr>
      </w:pPr>
      <w:r w:rsidRPr="00607A37">
        <w:rPr>
          <w:rFonts w:eastAsia="Times New Roman" w:cs="Arial"/>
          <w:sz w:val="22"/>
          <w:lang w:eastAsia="fr-FR"/>
        </w:rPr>
        <w:t xml:space="preserve">Fait et jugé en la Cour des comptes, quatrième chambre, première section. Présents : M. Yves ROLLAND, président de section, président de séance, </w:t>
      </w:r>
      <w:r w:rsidR="007D4EFB" w:rsidRPr="007D4EFB">
        <w:rPr>
          <w:rFonts w:eastAsia="Times New Roman" w:cs="Arial"/>
          <w:sz w:val="22"/>
          <w:lang w:eastAsia="fr-FR"/>
        </w:rPr>
        <w:t>M</w:t>
      </w:r>
      <w:r w:rsidR="007D4EFB" w:rsidRPr="007D4EFB">
        <w:rPr>
          <w:rFonts w:eastAsia="Times New Roman" w:cs="Arial"/>
          <w:sz w:val="22"/>
          <w:vertAlign w:val="superscript"/>
          <w:lang w:eastAsia="fr-FR"/>
        </w:rPr>
        <w:t>me</w:t>
      </w:r>
      <w:r w:rsidR="007D4EFB">
        <w:rPr>
          <w:rFonts w:eastAsia="Times New Roman" w:cs="Arial"/>
          <w:sz w:val="22"/>
          <w:lang w:eastAsia="fr-FR"/>
        </w:rPr>
        <w:t> </w:t>
      </w:r>
      <w:r w:rsidRPr="00607A37">
        <w:rPr>
          <w:rFonts w:eastAsia="Times New Roman" w:cs="Arial"/>
          <w:sz w:val="22"/>
          <w:lang w:eastAsia="fr-FR"/>
        </w:rPr>
        <w:t>Anne FROMENT-MEURICE, présidente de chambre maintenue en activité, MM. Gérard GANSER, Jean-Pierre LAFAURE, Jean-Yves BERTUCCI, conseillers maîtres,</w:t>
      </w:r>
      <w:r w:rsidR="00ED547E">
        <w:rPr>
          <w:rFonts w:eastAsia="Times New Roman" w:cs="Arial"/>
          <w:sz w:val="22"/>
          <w:lang w:eastAsia="fr-FR"/>
        </w:rPr>
        <w:t xml:space="preserve"> et </w:t>
      </w:r>
      <w:r w:rsidR="007D4EFB" w:rsidRPr="007D4EFB">
        <w:rPr>
          <w:rFonts w:eastAsia="Times New Roman" w:cs="Arial"/>
          <w:sz w:val="22"/>
          <w:lang w:eastAsia="fr-FR"/>
        </w:rPr>
        <w:t>M</w:t>
      </w:r>
      <w:r w:rsidR="007D4EFB" w:rsidRPr="007D4EFB">
        <w:rPr>
          <w:rFonts w:eastAsia="Times New Roman" w:cs="Arial"/>
          <w:sz w:val="22"/>
          <w:vertAlign w:val="superscript"/>
          <w:lang w:eastAsia="fr-FR"/>
        </w:rPr>
        <w:t>me</w:t>
      </w:r>
      <w:r w:rsidR="007D4EFB">
        <w:rPr>
          <w:rFonts w:eastAsia="Times New Roman" w:cs="Arial"/>
          <w:sz w:val="22"/>
          <w:lang w:eastAsia="fr-FR"/>
        </w:rPr>
        <w:t> </w:t>
      </w:r>
      <w:r w:rsidRPr="00607A37">
        <w:rPr>
          <w:rFonts w:eastAsia="Times New Roman" w:cs="Arial"/>
          <w:sz w:val="22"/>
          <w:lang w:eastAsia="fr-FR"/>
        </w:rPr>
        <w:t>Isabelle LATOURNARIE-WILLLEMS, conseillère maître.</w:t>
      </w:r>
    </w:p>
    <w:p w:rsidR="00E72BBA" w:rsidRPr="00607A37" w:rsidRDefault="00E72BBA" w:rsidP="00E72BBA">
      <w:pPr>
        <w:tabs>
          <w:tab w:val="center" w:pos="4536"/>
          <w:tab w:val="right" w:pos="9072"/>
        </w:tabs>
        <w:spacing w:before="120" w:after="360" w:line="240" w:lineRule="auto"/>
        <w:jc w:val="both"/>
        <w:rPr>
          <w:rFonts w:eastAsia="Times New Roman" w:cs="Arial"/>
          <w:sz w:val="22"/>
          <w:lang w:eastAsia="fr-FR"/>
        </w:rPr>
      </w:pPr>
      <w:r w:rsidRPr="00607A37">
        <w:rPr>
          <w:rFonts w:eastAsia="Times New Roman" w:cs="Arial"/>
          <w:sz w:val="22"/>
          <w:lang w:eastAsia="fr-FR"/>
        </w:rPr>
        <w:t xml:space="preserve">En présence de </w:t>
      </w:r>
      <w:r w:rsidR="007D4EFB" w:rsidRPr="007D4EFB">
        <w:rPr>
          <w:rFonts w:eastAsia="Times New Roman" w:cs="Arial"/>
          <w:sz w:val="22"/>
          <w:lang w:eastAsia="fr-FR"/>
        </w:rPr>
        <w:t>M</w:t>
      </w:r>
      <w:r w:rsidR="007D4EFB" w:rsidRPr="007D4EFB">
        <w:rPr>
          <w:rFonts w:eastAsia="Times New Roman" w:cs="Arial"/>
          <w:sz w:val="22"/>
          <w:vertAlign w:val="superscript"/>
          <w:lang w:eastAsia="fr-FR"/>
        </w:rPr>
        <w:t>me</w:t>
      </w:r>
      <w:r w:rsidR="007D4EFB">
        <w:rPr>
          <w:rFonts w:eastAsia="Times New Roman" w:cs="Arial"/>
          <w:sz w:val="22"/>
          <w:lang w:eastAsia="fr-FR"/>
        </w:rPr>
        <w:t> </w:t>
      </w:r>
      <w:bookmarkStart w:id="0" w:name="_GoBack"/>
      <w:bookmarkEnd w:id="0"/>
      <w:r w:rsidRPr="00607A37">
        <w:rPr>
          <w:rFonts w:eastAsia="Times New Roman" w:cs="Arial"/>
          <w:sz w:val="22"/>
          <w:lang w:eastAsia="fr-FR"/>
        </w:rPr>
        <w:t>Marie-Noëlle TOTH, greffière de séance.</w:t>
      </w:r>
    </w:p>
    <w:p w:rsidR="00E72BBA" w:rsidRPr="00607A37" w:rsidRDefault="00E72BBA" w:rsidP="00E72BBA">
      <w:pPr>
        <w:tabs>
          <w:tab w:val="center" w:pos="4536"/>
          <w:tab w:val="right" w:pos="9072"/>
        </w:tabs>
        <w:spacing w:line="240" w:lineRule="auto"/>
        <w:jc w:val="both"/>
        <w:rPr>
          <w:rFonts w:eastAsia="Times New Roman" w:cs="Arial"/>
          <w:sz w:val="22"/>
          <w:lang w:eastAsia="fr-FR"/>
        </w:rPr>
      </w:pPr>
    </w:p>
    <w:tbl>
      <w:tblPr>
        <w:tblW w:w="0" w:type="auto"/>
        <w:tblInd w:w="34" w:type="dxa"/>
        <w:tblLook w:val="00A0" w:firstRow="1" w:lastRow="0" w:firstColumn="1" w:lastColumn="0" w:noHBand="0" w:noVBand="0"/>
      </w:tblPr>
      <w:tblGrid>
        <w:gridCol w:w="4624"/>
        <w:gridCol w:w="4628"/>
      </w:tblGrid>
      <w:tr w:rsidR="00E72BBA" w:rsidRPr="00607A37" w:rsidTr="00F200C6">
        <w:tc>
          <w:tcPr>
            <w:tcW w:w="4701" w:type="dxa"/>
          </w:tcPr>
          <w:p w:rsidR="00E72BBA" w:rsidRPr="00607A37" w:rsidRDefault="00E72BBA" w:rsidP="00F200C6">
            <w:pPr>
              <w:tabs>
                <w:tab w:val="center" w:pos="4536"/>
                <w:tab w:val="right" w:pos="9072"/>
              </w:tabs>
              <w:spacing w:line="240" w:lineRule="auto"/>
              <w:jc w:val="center"/>
              <w:rPr>
                <w:rFonts w:eastAsia="Times New Roman" w:cs="Arial"/>
                <w:b/>
                <w:sz w:val="22"/>
                <w:lang w:eastAsia="fr-FR"/>
              </w:rPr>
            </w:pPr>
          </w:p>
          <w:p w:rsidR="00A25A2D" w:rsidRDefault="00A25A2D" w:rsidP="00F200C6">
            <w:pPr>
              <w:tabs>
                <w:tab w:val="center" w:pos="4536"/>
                <w:tab w:val="right" w:pos="9072"/>
              </w:tabs>
              <w:spacing w:line="240" w:lineRule="auto"/>
              <w:jc w:val="center"/>
              <w:rPr>
                <w:rFonts w:eastAsia="Times New Roman" w:cs="Arial"/>
                <w:b/>
                <w:sz w:val="22"/>
                <w:lang w:eastAsia="fr-FR"/>
              </w:rPr>
            </w:pPr>
          </w:p>
          <w:p w:rsidR="006166C5" w:rsidRPr="00607A37" w:rsidRDefault="006166C5" w:rsidP="00F200C6">
            <w:pPr>
              <w:tabs>
                <w:tab w:val="center" w:pos="4536"/>
                <w:tab w:val="right" w:pos="9072"/>
              </w:tabs>
              <w:spacing w:line="240" w:lineRule="auto"/>
              <w:jc w:val="center"/>
              <w:rPr>
                <w:rFonts w:eastAsia="Times New Roman" w:cs="Arial"/>
                <w:b/>
                <w:sz w:val="22"/>
                <w:lang w:eastAsia="fr-FR"/>
              </w:rPr>
            </w:pPr>
          </w:p>
          <w:p w:rsidR="00E72BBA" w:rsidRPr="00607A37" w:rsidRDefault="00E72BBA" w:rsidP="00F200C6">
            <w:pPr>
              <w:tabs>
                <w:tab w:val="center" w:pos="4536"/>
                <w:tab w:val="right" w:pos="9072"/>
              </w:tabs>
              <w:spacing w:line="240" w:lineRule="auto"/>
              <w:jc w:val="center"/>
              <w:rPr>
                <w:rFonts w:eastAsia="Times New Roman" w:cs="Arial"/>
                <w:b/>
                <w:sz w:val="22"/>
                <w:lang w:eastAsia="fr-FR"/>
              </w:rPr>
            </w:pPr>
          </w:p>
          <w:p w:rsidR="00E72BBA" w:rsidRPr="00607A37" w:rsidRDefault="00E72BBA" w:rsidP="00F200C6">
            <w:pPr>
              <w:tabs>
                <w:tab w:val="center" w:pos="4536"/>
                <w:tab w:val="right" w:pos="9072"/>
              </w:tabs>
              <w:spacing w:line="240" w:lineRule="auto"/>
              <w:jc w:val="center"/>
              <w:rPr>
                <w:rFonts w:eastAsia="Times New Roman" w:cs="Arial"/>
                <w:b/>
                <w:sz w:val="22"/>
                <w:lang w:eastAsia="fr-FR"/>
              </w:rPr>
            </w:pPr>
          </w:p>
          <w:p w:rsidR="00E72BBA" w:rsidRPr="00607A37" w:rsidRDefault="00E72BBA" w:rsidP="00F200C6">
            <w:pPr>
              <w:tabs>
                <w:tab w:val="center" w:pos="4536"/>
                <w:tab w:val="right" w:pos="9072"/>
              </w:tabs>
              <w:spacing w:line="240" w:lineRule="auto"/>
              <w:jc w:val="center"/>
              <w:rPr>
                <w:rFonts w:eastAsia="Times New Roman" w:cs="Arial"/>
                <w:b/>
                <w:sz w:val="22"/>
                <w:lang w:eastAsia="fr-FR"/>
              </w:rPr>
            </w:pPr>
          </w:p>
          <w:p w:rsidR="00E72BBA" w:rsidRPr="00607A37" w:rsidRDefault="00E72BBA" w:rsidP="00F200C6">
            <w:pPr>
              <w:tabs>
                <w:tab w:val="center" w:pos="4536"/>
                <w:tab w:val="right" w:pos="9072"/>
              </w:tabs>
              <w:spacing w:line="240" w:lineRule="auto"/>
              <w:jc w:val="center"/>
              <w:rPr>
                <w:rFonts w:eastAsia="Times New Roman" w:cs="Arial"/>
                <w:b/>
                <w:sz w:val="22"/>
                <w:lang w:eastAsia="fr-FR"/>
              </w:rPr>
            </w:pPr>
          </w:p>
          <w:p w:rsidR="004F7E38" w:rsidRPr="00607A37" w:rsidRDefault="004F7E38" w:rsidP="00F200C6">
            <w:pPr>
              <w:tabs>
                <w:tab w:val="center" w:pos="4536"/>
                <w:tab w:val="right" w:pos="9072"/>
              </w:tabs>
              <w:spacing w:line="240" w:lineRule="auto"/>
              <w:jc w:val="center"/>
              <w:rPr>
                <w:rFonts w:eastAsia="Times New Roman" w:cs="Arial"/>
                <w:b/>
                <w:sz w:val="22"/>
                <w:lang w:eastAsia="fr-FR"/>
              </w:rPr>
            </w:pPr>
          </w:p>
          <w:p w:rsidR="00E72BBA" w:rsidRPr="00607A37" w:rsidRDefault="00E72BBA" w:rsidP="00F200C6">
            <w:pPr>
              <w:tabs>
                <w:tab w:val="center" w:pos="4536"/>
                <w:tab w:val="right" w:pos="9072"/>
              </w:tabs>
              <w:spacing w:line="240" w:lineRule="auto"/>
              <w:jc w:val="center"/>
              <w:rPr>
                <w:rFonts w:eastAsia="Times New Roman" w:cs="Arial"/>
                <w:b/>
                <w:sz w:val="22"/>
                <w:lang w:eastAsia="fr-FR"/>
              </w:rPr>
            </w:pPr>
            <w:r w:rsidRPr="00607A37">
              <w:rPr>
                <w:rFonts w:eastAsia="Times New Roman" w:cs="Arial"/>
                <w:b/>
                <w:sz w:val="22"/>
                <w:lang w:eastAsia="fr-FR"/>
              </w:rPr>
              <w:t>Marie-Noëlle TOTH</w:t>
            </w:r>
          </w:p>
          <w:p w:rsidR="00E72BBA" w:rsidRPr="00607A37" w:rsidRDefault="00E72BBA" w:rsidP="00F200C6">
            <w:pPr>
              <w:tabs>
                <w:tab w:val="center" w:pos="4536"/>
                <w:tab w:val="right" w:pos="9072"/>
              </w:tabs>
              <w:jc w:val="center"/>
              <w:rPr>
                <w:rFonts w:eastAsia="Times New Roman" w:cs="Arial"/>
                <w:b/>
                <w:sz w:val="22"/>
                <w:lang w:eastAsia="fr-FR"/>
              </w:rPr>
            </w:pPr>
          </w:p>
        </w:tc>
        <w:tc>
          <w:tcPr>
            <w:tcW w:w="4696" w:type="dxa"/>
          </w:tcPr>
          <w:p w:rsidR="00E72BBA" w:rsidRPr="00607A37" w:rsidRDefault="00E72BBA" w:rsidP="00F200C6">
            <w:pPr>
              <w:tabs>
                <w:tab w:val="center" w:pos="4536"/>
                <w:tab w:val="right" w:pos="9072"/>
              </w:tabs>
              <w:spacing w:line="240" w:lineRule="auto"/>
              <w:jc w:val="center"/>
              <w:rPr>
                <w:rFonts w:eastAsia="Times New Roman" w:cs="Arial"/>
                <w:b/>
                <w:sz w:val="22"/>
                <w:lang w:eastAsia="fr-FR"/>
              </w:rPr>
            </w:pPr>
          </w:p>
          <w:p w:rsidR="00A25A2D" w:rsidRDefault="00A25A2D" w:rsidP="00F200C6">
            <w:pPr>
              <w:tabs>
                <w:tab w:val="center" w:pos="4536"/>
                <w:tab w:val="right" w:pos="9072"/>
              </w:tabs>
              <w:spacing w:line="240" w:lineRule="auto"/>
              <w:jc w:val="center"/>
              <w:rPr>
                <w:rFonts w:eastAsia="Times New Roman" w:cs="Arial"/>
                <w:b/>
                <w:sz w:val="22"/>
                <w:lang w:eastAsia="fr-FR"/>
              </w:rPr>
            </w:pPr>
          </w:p>
          <w:p w:rsidR="006166C5" w:rsidRPr="00607A37" w:rsidRDefault="006166C5" w:rsidP="00F200C6">
            <w:pPr>
              <w:tabs>
                <w:tab w:val="center" w:pos="4536"/>
                <w:tab w:val="right" w:pos="9072"/>
              </w:tabs>
              <w:spacing w:line="240" w:lineRule="auto"/>
              <w:jc w:val="center"/>
              <w:rPr>
                <w:rFonts w:eastAsia="Times New Roman" w:cs="Arial"/>
                <w:b/>
                <w:sz w:val="22"/>
                <w:lang w:eastAsia="fr-FR"/>
              </w:rPr>
            </w:pPr>
          </w:p>
          <w:p w:rsidR="00E72BBA" w:rsidRPr="00607A37" w:rsidRDefault="00E72BBA" w:rsidP="00F200C6">
            <w:pPr>
              <w:tabs>
                <w:tab w:val="center" w:pos="4536"/>
                <w:tab w:val="right" w:pos="9072"/>
              </w:tabs>
              <w:spacing w:line="240" w:lineRule="auto"/>
              <w:jc w:val="center"/>
              <w:rPr>
                <w:rFonts w:eastAsia="Times New Roman" w:cs="Arial"/>
                <w:b/>
                <w:sz w:val="22"/>
                <w:lang w:eastAsia="fr-FR"/>
              </w:rPr>
            </w:pPr>
          </w:p>
          <w:p w:rsidR="00E72BBA" w:rsidRPr="00607A37" w:rsidRDefault="00E72BBA" w:rsidP="00F200C6">
            <w:pPr>
              <w:tabs>
                <w:tab w:val="center" w:pos="4536"/>
                <w:tab w:val="right" w:pos="9072"/>
              </w:tabs>
              <w:spacing w:line="240" w:lineRule="auto"/>
              <w:jc w:val="center"/>
              <w:rPr>
                <w:rFonts w:eastAsia="Times New Roman" w:cs="Arial"/>
                <w:b/>
                <w:sz w:val="22"/>
                <w:lang w:eastAsia="fr-FR"/>
              </w:rPr>
            </w:pPr>
          </w:p>
          <w:p w:rsidR="00E72BBA" w:rsidRPr="00607A37" w:rsidRDefault="00E72BBA" w:rsidP="00F200C6">
            <w:pPr>
              <w:tabs>
                <w:tab w:val="center" w:pos="4536"/>
                <w:tab w:val="right" w:pos="9072"/>
              </w:tabs>
              <w:spacing w:line="240" w:lineRule="auto"/>
              <w:jc w:val="center"/>
              <w:rPr>
                <w:rFonts w:eastAsia="Times New Roman" w:cs="Arial"/>
                <w:b/>
                <w:sz w:val="22"/>
                <w:lang w:eastAsia="fr-FR"/>
              </w:rPr>
            </w:pPr>
          </w:p>
          <w:p w:rsidR="00E72BBA" w:rsidRDefault="00E72BBA" w:rsidP="00F200C6">
            <w:pPr>
              <w:tabs>
                <w:tab w:val="center" w:pos="4536"/>
                <w:tab w:val="right" w:pos="9072"/>
              </w:tabs>
              <w:spacing w:line="240" w:lineRule="auto"/>
              <w:jc w:val="center"/>
              <w:rPr>
                <w:rFonts w:eastAsia="Times New Roman" w:cs="Arial"/>
                <w:b/>
                <w:sz w:val="22"/>
                <w:lang w:eastAsia="fr-FR"/>
              </w:rPr>
            </w:pPr>
          </w:p>
          <w:p w:rsidR="00EB2972" w:rsidRPr="00607A37" w:rsidRDefault="00EB2972" w:rsidP="00F200C6">
            <w:pPr>
              <w:tabs>
                <w:tab w:val="center" w:pos="4536"/>
                <w:tab w:val="right" w:pos="9072"/>
              </w:tabs>
              <w:spacing w:line="240" w:lineRule="auto"/>
              <w:jc w:val="center"/>
              <w:rPr>
                <w:rFonts w:eastAsia="Times New Roman" w:cs="Arial"/>
                <w:b/>
                <w:sz w:val="22"/>
                <w:lang w:eastAsia="fr-FR"/>
              </w:rPr>
            </w:pPr>
          </w:p>
          <w:p w:rsidR="00E72BBA" w:rsidRPr="00607A37" w:rsidRDefault="00E72BBA" w:rsidP="00F200C6">
            <w:pPr>
              <w:tabs>
                <w:tab w:val="center" w:pos="4536"/>
                <w:tab w:val="right" w:pos="9072"/>
              </w:tabs>
              <w:spacing w:line="240" w:lineRule="auto"/>
              <w:jc w:val="center"/>
              <w:rPr>
                <w:rFonts w:eastAsia="Times New Roman" w:cs="Arial"/>
                <w:b/>
                <w:sz w:val="22"/>
                <w:lang w:eastAsia="fr-FR"/>
              </w:rPr>
            </w:pPr>
            <w:r w:rsidRPr="00607A37">
              <w:rPr>
                <w:rFonts w:eastAsia="Times New Roman" w:cs="Arial"/>
                <w:b/>
                <w:sz w:val="22"/>
                <w:lang w:eastAsia="fr-FR"/>
              </w:rPr>
              <w:t>Yves ROLLAND</w:t>
            </w:r>
          </w:p>
          <w:p w:rsidR="00E72BBA" w:rsidRPr="00607A37" w:rsidRDefault="00E72BBA" w:rsidP="00F200C6">
            <w:pPr>
              <w:tabs>
                <w:tab w:val="center" w:pos="4536"/>
                <w:tab w:val="right" w:pos="9072"/>
              </w:tabs>
              <w:jc w:val="center"/>
              <w:rPr>
                <w:rFonts w:eastAsia="Times New Roman" w:cs="Arial"/>
                <w:b/>
                <w:sz w:val="22"/>
                <w:lang w:eastAsia="fr-FR"/>
              </w:rPr>
            </w:pPr>
          </w:p>
        </w:tc>
      </w:tr>
    </w:tbl>
    <w:p w:rsidR="00E72BBA" w:rsidRPr="00607A37" w:rsidRDefault="00E72BBA" w:rsidP="00E72BBA">
      <w:pPr>
        <w:tabs>
          <w:tab w:val="center" w:pos="4536"/>
        </w:tabs>
        <w:spacing w:line="240" w:lineRule="auto"/>
        <w:jc w:val="both"/>
        <w:rPr>
          <w:rFonts w:eastAsia="Times New Roman" w:cs="Arial"/>
          <w:sz w:val="22"/>
          <w:lang w:eastAsia="fr-FR"/>
        </w:rPr>
      </w:pPr>
    </w:p>
    <w:p w:rsidR="00E72BBA" w:rsidRPr="00607A37" w:rsidRDefault="00E72BBA" w:rsidP="00E72BBA">
      <w:pPr>
        <w:tabs>
          <w:tab w:val="center" w:pos="4536"/>
        </w:tabs>
        <w:spacing w:line="240" w:lineRule="auto"/>
        <w:jc w:val="both"/>
        <w:rPr>
          <w:rFonts w:eastAsia="Times New Roman" w:cs="Arial"/>
          <w:sz w:val="22"/>
          <w:lang w:eastAsia="fr-FR"/>
        </w:rPr>
      </w:pPr>
    </w:p>
    <w:p w:rsidR="00712CF9" w:rsidRDefault="00712CF9">
      <w:pPr>
        <w:spacing w:line="240" w:lineRule="auto"/>
        <w:rPr>
          <w:rFonts w:eastAsia="Times New Roman" w:cs="Arial"/>
          <w:sz w:val="22"/>
          <w:lang w:eastAsia="fr-FR"/>
        </w:rPr>
      </w:pPr>
      <w:r>
        <w:rPr>
          <w:rFonts w:eastAsia="Times New Roman" w:cs="Arial"/>
          <w:sz w:val="22"/>
          <w:lang w:eastAsia="fr-FR"/>
        </w:rPr>
        <w:br w:type="page"/>
      </w:r>
    </w:p>
    <w:p w:rsidR="00E72BBA" w:rsidRPr="00607A37" w:rsidRDefault="00E72BBA" w:rsidP="00E72BBA">
      <w:pPr>
        <w:tabs>
          <w:tab w:val="center" w:pos="4536"/>
        </w:tabs>
        <w:spacing w:line="240" w:lineRule="auto"/>
        <w:jc w:val="both"/>
        <w:rPr>
          <w:rFonts w:cs="Arial"/>
          <w:sz w:val="22"/>
        </w:rPr>
      </w:pPr>
      <w:r w:rsidRPr="00607A37">
        <w:rPr>
          <w:rFonts w:eastAsia="Times New Roman" w:cs="Arial"/>
          <w:sz w:val="22"/>
          <w:lang w:eastAsia="fr-FR"/>
        </w:rPr>
        <w:lastRenderedPageBreak/>
        <w:t>Conformément aux dispositions de l’article R. 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au paragraphe I de l’article R. 142-15 du même code.</w:t>
      </w:r>
    </w:p>
    <w:p w:rsidR="00E72BBA" w:rsidRPr="00607A37" w:rsidRDefault="00E72BBA" w:rsidP="00E72BBA">
      <w:pPr>
        <w:spacing w:before="240" w:after="240" w:line="240" w:lineRule="auto"/>
        <w:jc w:val="both"/>
        <w:rPr>
          <w:rFonts w:cs="Arial"/>
          <w:sz w:val="22"/>
        </w:rPr>
      </w:pPr>
    </w:p>
    <w:p w:rsidR="008F197D" w:rsidRPr="00607A37" w:rsidRDefault="00F445A8" w:rsidP="00F35882">
      <w:pPr>
        <w:spacing w:before="240" w:after="240" w:line="240" w:lineRule="auto"/>
        <w:jc w:val="both"/>
        <w:rPr>
          <w:rFonts w:cs="Arial"/>
          <w:sz w:val="22"/>
        </w:rPr>
      </w:pPr>
    </w:p>
    <w:sectPr w:rsidR="008F197D" w:rsidRPr="00607A37" w:rsidSect="007F2707">
      <w:headerReference w:type="default" r:id="rId10"/>
      <w:footerReference w:type="default" r:id="rId11"/>
      <w:headerReference w:type="first" r:id="rId12"/>
      <w:footerReference w:type="first" r:id="rId13"/>
      <w:type w:val="continuous"/>
      <w:pgSz w:w="11906" w:h="16838" w:code="9"/>
      <w:pgMar w:top="680" w:right="1418" w:bottom="567" w:left="1418"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45A8" w:rsidRDefault="00F445A8" w:rsidP="00B41656">
      <w:pPr>
        <w:spacing w:line="240" w:lineRule="auto"/>
      </w:pPr>
      <w:r>
        <w:separator/>
      </w:r>
    </w:p>
  </w:endnote>
  <w:endnote w:type="continuationSeparator" w:id="0">
    <w:p w:rsidR="00F445A8" w:rsidRDefault="00F445A8"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AE774F" w:rsidTr="00070FB0">
      <w:trPr>
        <w:jc w:val="center"/>
      </w:trPr>
      <w:tc>
        <w:tcPr>
          <w:tcW w:w="9212" w:type="dxa"/>
        </w:tcPr>
        <w:p w:rsidR="00AE774F" w:rsidRPr="008F0DC7" w:rsidRDefault="00AE774F" w:rsidP="00070FB0">
          <w:pPr>
            <w:pStyle w:val="Pieddepage"/>
            <w:jc w:val="center"/>
            <w:rPr>
              <w:rFonts w:cs="Arial"/>
            </w:rPr>
          </w:pPr>
          <w:r w:rsidRPr="008F0DC7">
            <w:rPr>
              <w:rFonts w:cs="Arial"/>
            </w:rPr>
            <w:t>13 rue Cambon - 75100 PARIS CEDEX 01 - T +33 1 42 98 95 00 - www.ccomptes.fr</w:t>
          </w:r>
        </w:p>
      </w:tc>
    </w:tr>
    <w:tr w:rsidR="00AE774F" w:rsidTr="00070FB0">
      <w:trPr>
        <w:jc w:val="center"/>
      </w:trPr>
      <w:tc>
        <w:tcPr>
          <w:tcW w:w="9212" w:type="dxa"/>
        </w:tcPr>
        <w:p w:rsidR="00AE774F" w:rsidRPr="008F0DC7" w:rsidRDefault="00AE774F" w:rsidP="00070FB0">
          <w:pPr>
            <w:pStyle w:val="Pieddepage"/>
            <w:jc w:val="center"/>
            <w:rPr>
              <w:rFonts w:cs="Arial"/>
            </w:rPr>
          </w:pPr>
        </w:p>
      </w:tc>
    </w:tr>
  </w:tbl>
  <w:p w:rsidR="00EE4F42" w:rsidRDefault="00EE4F4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4A1A11" w:rsidTr="00E65F90">
      <w:trPr>
        <w:jc w:val="center"/>
      </w:trPr>
      <w:tc>
        <w:tcPr>
          <w:tcW w:w="9212" w:type="dxa"/>
        </w:tcPr>
        <w:p w:rsidR="004A1A11" w:rsidRPr="008F0DC7" w:rsidRDefault="004A1A11" w:rsidP="00E65F90">
          <w:pPr>
            <w:pStyle w:val="Pieddepage"/>
            <w:jc w:val="center"/>
            <w:rPr>
              <w:rFonts w:cs="Arial"/>
            </w:rPr>
          </w:pPr>
          <w:r w:rsidRPr="008F0DC7">
            <w:rPr>
              <w:rFonts w:cs="Arial"/>
            </w:rPr>
            <w:t>13 rue Cambon - 75100 PARIS CEDEX 01 - T +33 1 42 98 95 00 - www.ccomptes.fr</w:t>
          </w:r>
        </w:p>
      </w:tc>
    </w:tr>
    <w:tr w:rsidR="004A1A11" w:rsidTr="00E65F90">
      <w:trPr>
        <w:jc w:val="center"/>
      </w:trPr>
      <w:tc>
        <w:tcPr>
          <w:tcW w:w="9212" w:type="dxa"/>
        </w:tcPr>
        <w:p w:rsidR="004A1A11" w:rsidRPr="008F0DC7" w:rsidRDefault="004A1A11" w:rsidP="00E65F90">
          <w:pPr>
            <w:pStyle w:val="Pieddepage"/>
            <w:jc w:val="center"/>
            <w:rPr>
              <w:rFonts w:cs="Arial"/>
            </w:rPr>
          </w:pPr>
        </w:p>
      </w:tc>
    </w:tr>
  </w:tbl>
  <w:p w:rsidR="004A1A11" w:rsidRDefault="004A1A11"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45A8" w:rsidRDefault="00F445A8" w:rsidP="00B41656">
      <w:pPr>
        <w:spacing w:line="240" w:lineRule="auto"/>
      </w:pPr>
      <w:r>
        <w:separator/>
      </w:r>
    </w:p>
  </w:footnote>
  <w:footnote w:type="continuationSeparator" w:id="0">
    <w:p w:rsidR="00F445A8" w:rsidRDefault="00F445A8"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707" w:rsidRDefault="007F2707">
    <w:pPr>
      <w:pStyle w:val="En-tte"/>
      <w:jc w:val="right"/>
    </w:pPr>
  </w:p>
  <w:tbl>
    <w:tblPr>
      <w:tblStyle w:val="Grilledutableau"/>
      <w:tblW w:w="0" w:type="auto"/>
      <w:tblLook w:val="0680" w:firstRow="0" w:lastRow="0" w:firstColumn="1" w:lastColumn="0" w:noHBand="1" w:noVBand="1"/>
    </w:tblPr>
    <w:tblGrid>
      <w:gridCol w:w="8046"/>
      <w:gridCol w:w="1164"/>
    </w:tblGrid>
    <w:tr w:rsidR="003D7655" w:rsidTr="003D7655">
      <w:tc>
        <w:tcPr>
          <w:tcW w:w="8046" w:type="dxa"/>
          <w:tcBorders>
            <w:top w:val="nil"/>
            <w:left w:val="nil"/>
            <w:bottom w:val="nil"/>
            <w:right w:val="nil"/>
          </w:tcBorders>
          <w:vAlign w:val="center"/>
        </w:tcPr>
        <w:p w:rsidR="003D7655" w:rsidRDefault="003D7655" w:rsidP="003D7655">
          <w:pPr>
            <w:pStyle w:val="En-tte"/>
            <w:spacing w:line="320" w:lineRule="exact"/>
          </w:pPr>
        </w:p>
      </w:tc>
      <w:tc>
        <w:tcPr>
          <w:tcW w:w="1164" w:type="dxa"/>
          <w:tcBorders>
            <w:top w:val="nil"/>
            <w:left w:val="nil"/>
            <w:bottom w:val="nil"/>
            <w:right w:val="nil"/>
          </w:tcBorders>
          <w:vAlign w:val="center"/>
        </w:tcPr>
        <w:p w:rsidR="003D7655" w:rsidRDefault="00F445A8" w:rsidP="003D7655">
          <w:pPr>
            <w:pStyle w:val="En-tte"/>
            <w:jc w:val="right"/>
          </w:pPr>
          <w:sdt>
            <w:sdtPr>
              <w:id w:val="123790272"/>
              <w:docPartObj>
                <w:docPartGallery w:val="Page Numbers (Top of Page)"/>
                <w:docPartUnique/>
              </w:docPartObj>
            </w:sdtPr>
            <w:sdtEndPr/>
            <w:sdtContent>
              <w:r w:rsidR="003D7655">
                <w:t xml:space="preserve"> </w:t>
              </w:r>
              <w:r w:rsidR="005369EE">
                <w:rPr>
                  <w:b/>
                  <w:sz w:val="24"/>
                  <w:szCs w:val="24"/>
                </w:rPr>
                <w:fldChar w:fldCharType="begin"/>
              </w:r>
              <w:r w:rsidR="003D7655">
                <w:rPr>
                  <w:b/>
                </w:rPr>
                <w:instrText>PAGE</w:instrText>
              </w:r>
              <w:r w:rsidR="005369EE">
                <w:rPr>
                  <w:b/>
                  <w:sz w:val="24"/>
                  <w:szCs w:val="24"/>
                </w:rPr>
                <w:fldChar w:fldCharType="separate"/>
              </w:r>
              <w:r w:rsidR="007D4EFB">
                <w:rPr>
                  <w:b/>
                  <w:noProof/>
                </w:rPr>
                <w:t>5</w:t>
              </w:r>
              <w:r w:rsidR="005369EE">
                <w:rPr>
                  <w:b/>
                  <w:sz w:val="24"/>
                  <w:szCs w:val="24"/>
                </w:rPr>
                <w:fldChar w:fldCharType="end"/>
              </w:r>
              <w:r w:rsidR="003D7655">
                <w:t xml:space="preserve"> / </w:t>
              </w:r>
              <w:r w:rsidR="005369EE">
                <w:rPr>
                  <w:b/>
                  <w:sz w:val="24"/>
                  <w:szCs w:val="24"/>
                </w:rPr>
                <w:fldChar w:fldCharType="begin"/>
              </w:r>
              <w:r w:rsidR="003D7655">
                <w:rPr>
                  <w:b/>
                </w:rPr>
                <w:instrText>NUMPAGES</w:instrText>
              </w:r>
              <w:r w:rsidR="005369EE">
                <w:rPr>
                  <w:b/>
                  <w:sz w:val="24"/>
                  <w:szCs w:val="24"/>
                </w:rPr>
                <w:fldChar w:fldCharType="separate"/>
              </w:r>
              <w:r w:rsidR="007D4EFB">
                <w:rPr>
                  <w:b/>
                  <w:noProof/>
                </w:rPr>
                <w:t>5</w:t>
              </w:r>
              <w:r w:rsidR="005369EE">
                <w:rPr>
                  <w:b/>
                  <w:sz w:val="24"/>
                  <w:szCs w:val="24"/>
                </w:rPr>
                <w:fldChar w:fldCharType="end"/>
              </w:r>
            </w:sdtContent>
          </w:sdt>
        </w:p>
      </w:tc>
    </w:tr>
  </w:tbl>
  <w:p w:rsidR="007F2707" w:rsidRDefault="007F2707"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A11" w:rsidRDefault="004A1A11">
    <w:pPr>
      <w:pStyle w:val="En-tte"/>
    </w:pPr>
    <w:r>
      <w:rPr>
        <w:noProof/>
        <w:lang w:eastAsia="fr-FR"/>
      </w:rPr>
      <w:drawing>
        <wp:anchor distT="0" distB="0" distL="114300" distR="114300" simplePos="0" relativeHeight="251658240" behindDoc="0" locked="0" layoutInCell="1" allowOverlap="1" wp14:anchorId="7917DBA1" wp14:editId="2351A487">
          <wp:simplePos x="0" y="0"/>
          <wp:positionH relativeFrom="column">
            <wp:posOffset>26035</wp:posOffset>
          </wp:positionH>
          <wp:positionV relativeFrom="paragraph">
            <wp:posOffset>0</wp:posOffset>
          </wp:positionV>
          <wp:extent cx="7559040" cy="1258570"/>
          <wp:effectExtent l="19050" t="0" r="3810" b="0"/>
          <wp:wrapTopAndBottom/>
          <wp:docPr id="2"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1"/>
                  <a:stretch>
                    <a:fillRect/>
                  </a:stretch>
                </pic:blipFill>
                <pic:spPr>
                  <a:xfrm>
                    <a:off x="0" y="0"/>
                    <a:ext cx="7559040" cy="1258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55D7133"/>
    <w:multiLevelType w:val="hybridMultilevel"/>
    <w:tmpl w:val="1E2CE224"/>
    <w:lvl w:ilvl="0" w:tplc="2976165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49C50DE"/>
    <w:multiLevelType w:val="hybridMultilevel"/>
    <w:tmpl w:val="16806C4E"/>
    <w:lvl w:ilvl="0" w:tplc="21ECB0E8">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5"/>
  </w:num>
  <w:num w:numId="5">
    <w:abstractNumId w:val="1"/>
  </w:num>
  <w:num w:numId="6">
    <w:abstractNumId w:val="0"/>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C23"/>
    <w:rsid w:val="0000562F"/>
    <w:rsid w:val="000161EE"/>
    <w:rsid w:val="00057C1C"/>
    <w:rsid w:val="00060466"/>
    <w:rsid w:val="00067EA3"/>
    <w:rsid w:val="00076CB3"/>
    <w:rsid w:val="000A7634"/>
    <w:rsid w:val="000F5299"/>
    <w:rsid w:val="000F53CA"/>
    <w:rsid w:val="00110640"/>
    <w:rsid w:val="001248F5"/>
    <w:rsid w:val="0013115F"/>
    <w:rsid w:val="00131A38"/>
    <w:rsid w:val="001440E9"/>
    <w:rsid w:val="0016783F"/>
    <w:rsid w:val="001733C8"/>
    <w:rsid w:val="00176AA7"/>
    <w:rsid w:val="00177B90"/>
    <w:rsid w:val="001D11BE"/>
    <w:rsid w:val="002040C2"/>
    <w:rsid w:val="002304DE"/>
    <w:rsid w:val="00231C67"/>
    <w:rsid w:val="00240C13"/>
    <w:rsid w:val="00240F6C"/>
    <w:rsid w:val="00244453"/>
    <w:rsid w:val="00265091"/>
    <w:rsid w:val="00283473"/>
    <w:rsid w:val="00285DCC"/>
    <w:rsid w:val="002878B1"/>
    <w:rsid w:val="002B74C3"/>
    <w:rsid w:val="002C0B4C"/>
    <w:rsid w:val="002D0DA9"/>
    <w:rsid w:val="002E75B7"/>
    <w:rsid w:val="00376FD6"/>
    <w:rsid w:val="003955D7"/>
    <w:rsid w:val="003A09FE"/>
    <w:rsid w:val="003B7BA2"/>
    <w:rsid w:val="003C582D"/>
    <w:rsid w:val="003C729C"/>
    <w:rsid w:val="003D7655"/>
    <w:rsid w:val="004022CB"/>
    <w:rsid w:val="004507C2"/>
    <w:rsid w:val="00466852"/>
    <w:rsid w:val="0047092C"/>
    <w:rsid w:val="00477C3D"/>
    <w:rsid w:val="004A1A11"/>
    <w:rsid w:val="004A49F1"/>
    <w:rsid w:val="004C3351"/>
    <w:rsid w:val="004F7E38"/>
    <w:rsid w:val="005270BB"/>
    <w:rsid w:val="005369EE"/>
    <w:rsid w:val="0054781F"/>
    <w:rsid w:val="005B4CA5"/>
    <w:rsid w:val="005C5994"/>
    <w:rsid w:val="005E5B3E"/>
    <w:rsid w:val="005E5E73"/>
    <w:rsid w:val="005F61B5"/>
    <w:rsid w:val="00604974"/>
    <w:rsid w:val="00607A37"/>
    <w:rsid w:val="006166C5"/>
    <w:rsid w:val="006344B0"/>
    <w:rsid w:val="00647807"/>
    <w:rsid w:val="00662166"/>
    <w:rsid w:val="00662E7F"/>
    <w:rsid w:val="00676091"/>
    <w:rsid w:val="006774B5"/>
    <w:rsid w:val="00680AE1"/>
    <w:rsid w:val="00682201"/>
    <w:rsid w:val="00683CE7"/>
    <w:rsid w:val="00687F6F"/>
    <w:rsid w:val="006A49D9"/>
    <w:rsid w:val="006A4EB5"/>
    <w:rsid w:val="006A568B"/>
    <w:rsid w:val="006A7750"/>
    <w:rsid w:val="006B5BAA"/>
    <w:rsid w:val="006C72CB"/>
    <w:rsid w:val="006E170E"/>
    <w:rsid w:val="006E3A7F"/>
    <w:rsid w:val="00707BD1"/>
    <w:rsid w:val="00712CF9"/>
    <w:rsid w:val="00724014"/>
    <w:rsid w:val="007252C5"/>
    <w:rsid w:val="007410AA"/>
    <w:rsid w:val="00764F62"/>
    <w:rsid w:val="00765A21"/>
    <w:rsid w:val="00776B76"/>
    <w:rsid w:val="0077703E"/>
    <w:rsid w:val="007A448C"/>
    <w:rsid w:val="007B06F6"/>
    <w:rsid w:val="007D4EFB"/>
    <w:rsid w:val="007E06F2"/>
    <w:rsid w:val="007F2707"/>
    <w:rsid w:val="0081551A"/>
    <w:rsid w:val="008256E2"/>
    <w:rsid w:val="0085194D"/>
    <w:rsid w:val="00863D04"/>
    <w:rsid w:val="0086760B"/>
    <w:rsid w:val="00875AE9"/>
    <w:rsid w:val="008844EF"/>
    <w:rsid w:val="008A34BF"/>
    <w:rsid w:val="008A6ACF"/>
    <w:rsid w:val="008C244D"/>
    <w:rsid w:val="008D5FF9"/>
    <w:rsid w:val="008E360F"/>
    <w:rsid w:val="008E5EE8"/>
    <w:rsid w:val="008E6349"/>
    <w:rsid w:val="009405CE"/>
    <w:rsid w:val="00941CB1"/>
    <w:rsid w:val="00950441"/>
    <w:rsid w:val="00966697"/>
    <w:rsid w:val="009802E3"/>
    <w:rsid w:val="009B22BF"/>
    <w:rsid w:val="00A02D30"/>
    <w:rsid w:val="00A25A2D"/>
    <w:rsid w:val="00A32C49"/>
    <w:rsid w:val="00A4059D"/>
    <w:rsid w:val="00A56A52"/>
    <w:rsid w:val="00A755A3"/>
    <w:rsid w:val="00A83FC9"/>
    <w:rsid w:val="00A9735F"/>
    <w:rsid w:val="00AE774F"/>
    <w:rsid w:val="00B128E3"/>
    <w:rsid w:val="00B41656"/>
    <w:rsid w:val="00B645D1"/>
    <w:rsid w:val="00B967C8"/>
    <w:rsid w:val="00BA4F93"/>
    <w:rsid w:val="00BA60D8"/>
    <w:rsid w:val="00BB2920"/>
    <w:rsid w:val="00BB7176"/>
    <w:rsid w:val="00BC40A5"/>
    <w:rsid w:val="00BD40C9"/>
    <w:rsid w:val="00C04525"/>
    <w:rsid w:val="00C17123"/>
    <w:rsid w:val="00C22187"/>
    <w:rsid w:val="00C23B89"/>
    <w:rsid w:val="00C32D50"/>
    <w:rsid w:val="00C470E9"/>
    <w:rsid w:val="00C77CA2"/>
    <w:rsid w:val="00CA1BD5"/>
    <w:rsid w:val="00CC39B0"/>
    <w:rsid w:val="00CC46BE"/>
    <w:rsid w:val="00CD7C6D"/>
    <w:rsid w:val="00CE1BD7"/>
    <w:rsid w:val="00CE4F79"/>
    <w:rsid w:val="00CF6809"/>
    <w:rsid w:val="00D21CDB"/>
    <w:rsid w:val="00D500EF"/>
    <w:rsid w:val="00D51C43"/>
    <w:rsid w:val="00D62649"/>
    <w:rsid w:val="00D817B5"/>
    <w:rsid w:val="00DA6392"/>
    <w:rsid w:val="00DE48AF"/>
    <w:rsid w:val="00DE6999"/>
    <w:rsid w:val="00E03E5C"/>
    <w:rsid w:val="00E234E7"/>
    <w:rsid w:val="00E25406"/>
    <w:rsid w:val="00E35B8A"/>
    <w:rsid w:val="00E430FB"/>
    <w:rsid w:val="00E55D24"/>
    <w:rsid w:val="00E72BBA"/>
    <w:rsid w:val="00E86FB6"/>
    <w:rsid w:val="00E87137"/>
    <w:rsid w:val="00E93EFC"/>
    <w:rsid w:val="00EB2972"/>
    <w:rsid w:val="00ED3235"/>
    <w:rsid w:val="00ED3BBB"/>
    <w:rsid w:val="00ED547E"/>
    <w:rsid w:val="00EE3AA4"/>
    <w:rsid w:val="00EE4F42"/>
    <w:rsid w:val="00F02D0A"/>
    <w:rsid w:val="00F21246"/>
    <w:rsid w:val="00F34BAC"/>
    <w:rsid w:val="00F445A8"/>
    <w:rsid w:val="00F63CE2"/>
    <w:rsid w:val="00F73ABC"/>
    <w:rsid w:val="00F8606B"/>
    <w:rsid w:val="00FA2EC4"/>
    <w:rsid w:val="00FC3558"/>
    <w:rsid w:val="00FD31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34" w:qFormat="1"/>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paragraph" w:styleId="Paragraphedeliste">
    <w:name w:val="List Paragraph"/>
    <w:basedOn w:val="Normal"/>
    <w:uiPriority w:val="34"/>
    <w:qFormat/>
    <w:rsid w:val="008F197D"/>
    <w:pPr>
      <w:ind w:left="720"/>
      <w:contextualSpacing/>
    </w:pPr>
  </w:style>
  <w:style w:type="character" w:styleId="Lienhypertexte">
    <w:name w:val="Hyperlink"/>
    <w:basedOn w:val="Policepardfaut"/>
    <w:uiPriority w:val="99"/>
    <w:semiHidden/>
    <w:unhideWhenUsed/>
    <w:rsid w:val="004637B8"/>
    <w:rPr>
      <w:color w:val="0000FF"/>
      <w:u w:val="single"/>
    </w:rPr>
  </w:style>
  <w:style w:type="character" w:styleId="Marquedecommentaire">
    <w:name w:val="annotation reference"/>
    <w:basedOn w:val="Policepardfaut"/>
    <w:uiPriority w:val="99"/>
    <w:semiHidden/>
    <w:unhideWhenUsed/>
    <w:rsid w:val="0094650A"/>
    <w:rPr>
      <w:sz w:val="16"/>
      <w:szCs w:val="16"/>
    </w:rPr>
  </w:style>
  <w:style w:type="paragraph" w:styleId="Commentaire">
    <w:name w:val="annotation text"/>
    <w:basedOn w:val="Normal"/>
    <w:link w:val="CommentaireCar"/>
    <w:uiPriority w:val="99"/>
    <w:semiHidden/>
    <w:unhideWhenUsed/>
    <w:rsid w:val="0094650A"/>
    <w:pPr>
      <w:spacing w:line="240" w:lineRule="auto"/>
    </w:pPr>
    <w:rPr>
      <w:sz w:val="20"/>
      <w:szCs w:val="20"/>
    </w:rPr>
  </w:style>
  <w:style w:type="character" w:customStyle="1" w:styleId="CommentaireCar">
    <w:name w:val="Commentaire Car"/>
    <w:basedOn w:val="Policepardfaut"/>
    <w:link w:val="Commentaire"/>
    <w:uiPriority w:val="99"/>
    <w:semiHidden/>
    <w:rsid w:val="0094650A"/>
    <w:rPr>
      <w:sz w:val="20"/>
      <w:szCs w:val="20"/>
    </w:rPr>
  </w:style>
  <w:style w:type="paragraph" w:styleId="Objetducommentaire">
    <w:name w:val="annotation subject"/>
    <w:basedOn w:val="Commentaire"/>
    <w:next w:val="Commentaire"/>
    <w:link w:val="ObjetducommentaireCar"/>
    <w:uiPriority w:val="99"/>
    <w:semiHidden/>
    <w:unhideWhenUsed/>
    <w:rsid w:val="0094650A"/>
    <w:rPr>
      <w:b/>
      <w:bCs/>
    </w:rPr>
  </w:style>
  <w:style w:type="character" w:customStyle="1" w:styleId="ObjetducommentaireCar">
    <w:name w:val="Objet du commentaire Car"/>
    <w:basedOn w:val="CommentaireCar"/>
    <w:link w:val="Objetducommentaire"/>
    <w:uiPriority w:val="99"/>
    <w:semiHidden/>
    <w:rsid w:val="0094650A"/>
    <w:rPr>
      <w:b/>
      <w:bCs/>
      <w:sz w:val="20"/>
      <w:szCs w:val="20"/>
    </w:rPr>
  </w:style>
  <w:style w:type="character" w:customStyle="1" w:styleId="PSCar">
    <w:name w:val="PS Car"/>
    <w:basedOn w:val="Policepardfaut"/>
    <w:link w:val="PS"/>
    <w:locked/>
    <w:rsid w:val="00076CB3"/>
    <w:rPr>
      <w:rFonts w:ascii="CG Times (WN)" w:hAnsi="CG Times (WN)"/>
      <w:sz w:val="24"/>
    </w:rPr>
  </w:style>
  <w:style w:type="paragraph" w:customStyle="1" w:styleId="PS">
    <w:name w:val="PS"/>
    <w:basedOn w:val="Normal"/>
    <w:link w:val="PSCar"/>
    <w:rsid w:val="00076CB3"/>
    <w:pPr>
      <w:spacing w:after="480" w:line="240" w:lineRule="auto"/>
      <w:ind w:left="1701" w:firstLine="1134"/>
      <w:jc w:val="both"/>
    </w:pPr>
    <w:rPr>
      <w:rFonts w:ascii="CG Times (WN)" w:hAnsi="CG Times (WN)"/>
      <w:sz w:val="24"/>
      <w:szCs w:val="20"/>
      <w:lang w:eastAsia="fr-FR"/>
    </w:rPr>
  </w:style>
  <w:style w:type="paragraph" w:styleId="Rvision">
    <w:name w:val="Revision"/>
    <w:hidden/>
    <w:uiPriority w:val="71"/>
    <w:rsid w:val="000161EE"/>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34" w:qFormat="1"/>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paragraph" w:styleId="Paragraphedeliste">
    <w:name w:val="List Paragraph"/>
    <w:basedOn w:val="Normal"/>
    <w:uiPriority w:val="34"/>
    <w:qFormat/>
    <w:rsid w:val="008F197D"/>
    <w:pPr>
      <w:ind w:left="720"/>
      <w:contextualSpacing/>
    </w:pPr>
  </w:style>
  <w:style w:type="character" w:styleId="Lienhypertexte">
    <w:name w:val="Hyperlink"/>
    <w:basedOn w:val="Policepardfaut"/>
    <w:uiPriority w:val="99"/>
    <w:semiHidden/>
    <w:unhideWhenUsed/>
    <w:rsid w:val="004637B8"/>
    <w:rPr>
      <w:color w:val="0000FF"/>
      <w:u w:val="single"/>
    </w:rPr>
  </w:style>
  <w:style w:type="character" w:styleId="Marquedecommentaire">
    <w:name w:val="annotation reference"/>
    <w:basedOn w:val="Policepardfaut"/>
    <w:uiPriority w:val="99"/>
    <w:semiHidden/>
    <w:unhideWhenUsed/>
    <w:rsid w:val="0094650A"/>
    <w:rPr>
      <w:sz w:val="16"/>
      <w:szCs w:val="16"/>
    </w:rPr>
  </w:style>
  <w:style w:type="paragraph" w:styleId="Commentaire">
    <w:name w:val="annotation text"/>
    <w:basedOn w:val="Normal"/>
    <w:link w:val="CommentaireCar"/>
    <w:uiPriority w:val="99"/>
    <w:semiHidden/>
    <w:unhideWhenUsed/>
    <w:rsid w:val="0094650A"/>
    <w:pPr>
      <w:spacing w:line="240" w:lineRule="auto"/>
    </w:pPr>
    <w:rPr>
      <w:sz w:val="20"/>
      <w:szCs w:val="20"/>
    </w:rPr>
  </w:style>
  <w:style w:type="character" w:customStyle="1" w:styleId="CommentaireCar">
    <w:name w:val="Commentaire Car"/>
    <w:basedOn w:val="Policepardfaut"/>
    <w:link w:val="Commentaire"/>
    <w:uiPriority w:val="99"/>
    <w:semiHidden/>
    <w:rsid w:val="0094650A"/>
    <w:rPr>
      <w:sz w:val="20"/>
      <w:szCs w:val="20"/>
    </w:rPr>
  </w:style>
  <w:style w:type="paragraph" w:styleId="Objetducommentaire">
    <w:name w:val="annotation subject"/>
    <w:basedOn w:val="Commentaire"/>
    <w:next w:val="Commentaire"/>
    <w:link w:val="ObjetducommentaireCar"/>
    <w:uiPriority w:val="99"/>
    <w:semiHidden/>
    <w:unhideWhenUsed/>
    <w:rsid w:val="0094650A"/>
    <w:rPr>
      <w:b/>
      <w:bCs/>
    </w:rPr>
  </w:style>
  <w:style w:type="character" w:customStyle="1" w:styleId="ObjetducommentaireCar">
    <w:name w:val="Objet du commentaire Car"/>
    <w:basedOn w:val="CommentaireCar"/>
    <w:link w:val="Objetducommentaire"/>
    <w:uiPriority w:val="99"/>
    <w:semiHidden/>
    <w:rsid w:val="0094650A"/>
    <w:rPr>
      <w:b/>
      <w:bCs/>
      <w:sz w:val="20"/>
      <w:szCs w:val="20"/>
    </w:rPr>
  </w:style>
  <w:style w:type="character" w:customStyle="1" w:styleId="PSCar">
    <w:name w:val="PS Car"/>
    <w:basedOn w:val="Policepardfaut"/>
    <w:link w:val="PS"/>
    <w:locked/>
    <w:rsid w:val="00076CB3"/>
    <w:rPr>
      <w:rFonts w:ascii="CG Times (WN)" w:hAnsi="CG Times (WN)"/>
      <w:sz w:val="24"/>
    </w:rPr>
  </w:style>
  <w:style w:type="paragraph" w:customStyle="1" w:styleId="PS">
    <w:name w:val="PS"/>
    <w:basedOn w:val="Normal"/>
    <w:link w:val="PSCar"/>
    <w:rsid w:val="00076CB3"/>
    <w:pPr>
      <w:spacing w:after="480" w:line="240" w:lineRule="auto"/>
      <w:ind w:left="1701" w:firstLine="1134"/>
      <w:jc w:val="both"/>
    </w:pPr>
    <w:rPr>
      <w:rFonts w:ascii="CG Times (WN)" w:hAnsi="CG Times (WN)"/>
      <w:sz w:val="24"/>
      <w:szCs w:val="20"/>
      <w:lang w:eastAsia="fr-FR"/>
    </w:rPr>
  </w:style>
  <w:style w:type="paragraph" w:styleId="Rvision">
    <w:name w:val="Revision"/>
    <w:hidden/>
    <w:uiPriority w:val="71"/>
    <w:rsid w:val="000161EE"/>
    <w:rPr>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3541B5-C431-488F-8716-6C1DF70B5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5</Pages>
  <Words>1718</Words>
  <Characters>9454</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11150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Jean-Pierre Bonin</cp:lastModifiedBy>
  <cp:revision>28</cp:revision>
  <cp:lastPrinted>2015-07-22T14:04:00Z</cp:lastPrinted>
  <dcterms:created xsi:type="dcterms:W3CDTF">2015-07-22T08:48:00Z</dcterms:created>
  <dcterms:modified xsi:type="dcterms:W3CDTF">2015-10-06T13:11:00Z</dcterms:modified>
</cp:coreProperties>
</file>