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5D361D34" wp14:editId="000B2BDC">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2C5E0D" w:rsidTr="00F942D7">
        <w:tc>
          <w:tcPr>
            <w:tcW w:w="5103" w:type="dxa"/>
          </w:tcPr>
          <w:p w:rsidR="009F58BA" w:rsidRPr="002C5E0D" w:rsidRDefault="00BA4F93" w:rsidP="00A6394C">
            <w:pPr>
              <w:spacing w:line="240" w:lineRule="auto"/>
              <w:ind w:right="1343" w:firstLine="34"/>
              <w:jc w:val="center"/>
              <w:rPr>
                <w:rFonts w:eastAsia="Times New Roman" w:cs="Arial"/>
                <w:sz w:val="22"/>
                <w:lang w:eastAsia="fr-FR"/>
              </w:rPr>
            </w:pPr>
            <w:r w:rsidRPr="002C5E0D">
              <w:rPr>
                <w:rFonts w:eastAsia="Times New Roman" w:cs="Arial"/>
                <w:sz w:val="22"/>
                <w:lang w:eastAsia="fr-FR"/>
              </w:rPr>
              <w:t>QUATRIÈME CHAMBRE</w:t>
            </w:r>
          </w:p>
          <w:p w:rsidR="009F58BA" w:rsidRPr="002C5E0D" w:rsidRDefault="00BA4F93" w:rsidP="00A6394C">
            <w:pPr>
              <w:spacing w:line="240" w:lineRule="auto"/>
              <w:ind w:right="1343" w:firstLine="34"/>
              <w:jc w:val="center"/>
              <w:rPr>
                <w:rFonts w:eastAsia="Times New Roman" w:cs="Arial"/>
                <w:b/>
                <w:sz w:val="22"/>
                <w:lang w:eastAsia="fr-FR"/>
              </w:rPr>
            </w:pPr>
            <w:r w:rsidRPr="002C5E0D">
              <w:rPr>
                <w:rFonts w:eastAsia="Times New Roman" w:cs="Arial"/>
                <w:b/>
                <w:sz w:val="22"/>
                <w:lang w:eastAsia="fr-FR"/>
              </w:rPr>
              <w:t>-------</w:t>
            </w:r>
          </w:p>
          <w:p w:rsidR="009F58BA" w:rsidRPr="002C5E0D" w:rsidRDefault="00BA4F93" w:rsidP="00A6394C">
            <w:pPr>
              <w:spacing w:line="240" w:lineRule="auto"/>
              <w:ind w:right="1343" w:firstLine="34"/>
              <w:jc w:val="center"/>
              <w:rPr>
                <w:rFonts w:eastAsia="Times New Roman" w:cs="Arial"/>
                <w:sz w:val="22"/>
                <w:lang w:eastAsia="fr-FR"/>
              </w:rPr>
            </w:pPr>
            <w:r w:rsidRPr="002C5E0D">
              <w:rPr>
                <w:rFonts w:eastAsia="Times New Roman" w:cs="Arial"/>
                <w:sz w:val="22"/>
                <w:lang w:eastAsia="fr-FR"/>
              </w:rPr>
              <w:t>Première section</w:t>
            </w:r>
          </w:p>
          <w:p w:rsidR="009F58BA" w:rsidRPr="002C5E0D" w:rsidRDefault="00BA4F93" w:rsidP="00A6394C">
            <w:pPr>
              <w:spacing w:line="240" w:lineRule="auto"/>
              <w:ind w:right="1343" w:firstLine="34"/>
              <w:jc w:val="center"/>
              <w:rPr>
                <w:rFonts w:eastAsia="Times New Roman" w:cs="Arial"/>
                <w:b/>
                <w:sz w:val="22"/>
                <w:lang w:eastAsia="fr-FR"/>
              </w:rPr>
            </w:pPr>
            <w:r w:rsidRPr="002C5E0D">
              <w:rPr>
                <w:rFonts w:eastAsia="Times New Roman" w:cs="Arial"/>
                <w:b/>
                <w:sz w:val="22"/>
                <w:lang w:eastAsia="fr-FR"/>
              </w:rPr>
              <w:t>-------</w:t>
            </w:r>
          </w:p>
          <w:p w:rsidR="009F58BA" w:rsidRPr="002C5E0D" w:rsidRDefault="00BA4F93" w:rsidP="00A6394C">
            <w:pPr>
              <w:spacing w:line="240" w:lineRule="auto"/>
              <w:ind w:right="1343" w:firstLine="34"/>
              <w:jc w:val="center"/>
              <w:rPr>
                <w:rFonts w:eastAsia="Times New Roman" w:cs="Arial"/>
                <w:sz w:val="22"/>
                <w:lang w:eastAsia="fr-FR"/>
              </w:rPr>
            </w:pPr>
            <w:r w:rsidRPr="002C5E0D">
              <w:rPr>
                <w:rFonts w:eastAsia="Times New Roman" w:cs="Arial"/>
                <w:sz w:val="22"/>
                <w:lang w:eastAsia="fr-FR"/>
              </w:rPr>
              <w:t xml:space="preserve">Arrêt n° </w:t>
            </w:r>
            <w:r w:rsidR="00C250C4" w:rsidRPr="002C5E0D">
              <w:rPr>
                <w:rFonts w:eastAsia="Times New Roman" w:cs="Arial"/>
                <w:sz w:val="22"/>
                <w:lang w:eastAsia="fr-FR"/>
              </w:rPr>
              <w:t>72</w:t>
            </w:r>
            <w:r w:rsidR="007F3742">
              <w:rPr>
                <w:rFonts w:eastAsia="Times New Roman" w:cs="Arial"/>
                <w:sz w:val="22"/>
                <w:lang w:eastAsia="fr-FR"/>
              </w:rPr>
              <w:t>5</w:t>
            </w:r>
            <w:r w:rsidR="00B50421" w:rsidRPr="002C5E0D">
              <w:rPr>
                <w:rFonts w:eastAsia="Times New Roman" w:cs="Arial"/>
                <w:sz w:val="22"/>
                <w:lang w:eastAsia="fr-FR"/>
              </w:rPr>
              <w:t>85</w:t>
            </w:r>
          </w:p>
          <w:p w:rsidR="009F58BA" w:rsidRPr="002C5E0D" w:rsidRDefault="00E135F2" w:rsidP="00A6394C">
            <w:pPr>
              <w:spacing w:line="240" w:lineRule="auto"/>
              <w:ind w:right="1343" w:firstLine="34"/>
              <w:jc w:val="center"/>
              <w:rPr>
                <w:rFonts w:eastAsia="Times New Roman" w:cs="Arial"/>
                <w:sz w:val="22"/>
                <w:lang w:eastAsia="fr-FR"/>
              </w:rPr>
            </w:pPr>
          </w:p>
          <w:p w:rsidR="009F58BA" w:rsidRPr="002C5E0D" w:rsidRDefault="00BA4F93" w:rsidP="00A6394C">
            <w:pPr>
              <w:spacing w:line="240" w:lineRule="auto"/>
              <w:ind w:right="1343" w:firstLine="34"/>
              <w:jc w:val="center"/>
              <w:rPr>
                <w:rFonts w:eastAsia="Times New Roman" w:cs="Arial"/>
                <w:sz w:val="22"/>
                <w:lang w:eastAsia="fr-FR"/>
              </w:rPr>
            </w:pPr>
            <w:r w:rsidRPr="002C5E0D">
              <w:rPr>
                <w:rFonts w:eastAsia="Times New Roman" w:cs="Arial"/>
                <w:sz w:val="22"/>
                <w:lang w:eastAsia="fr-FR"/>
              </w:rPr>
              <w:t xml:space="preserve">Audience publique du </w:t>
            </w:r>
            <w:r w:rsidR="00C250C4" w:rsidRPr="002C5E0D">
              <w:rPr>
                <w:rFonts w:eastAsia="Times New Roman" w:cs="Arial"/>
                <w:sz w:val="22"/>
                <w:lang w:eastAsia="fr-FR"/>
              </w:rPr>
              <w:t>9 juillet 2015</w:t>
            </w:r>
          </w:p>
          <w:p w:rsidR="009F58BA" w:rsidRPr="002C5E0D" w:rsidRDefault="00E135F2" w:rsidP="00A6394C">
            <w:pPr>
              <w:spacing w:line="240" w:lineRule="auto"/>
              <w:ind w:right="1343" w:firstLine="34"/>
              <w:jc w:val="center"/>
              <w:rPr>
                <w:rFonts w:eastAsia="Times New Roman" w:cs="Arial"/>
                <w:sz w:val="22"/>
                <w:lang w:eastAsia="fr-FR"/>
              </w:rPr>
            </w:pPr>
          </w:p>
          <w:p w:rsidR="009F58BA" w:rsidRPr="002C5E0D" w:rsidRDefault="00BA4F93" w:rsidP="00A6394C">
            <w:pPr>
              <w:spacing w:line="240" w:lineRule="auto"/>
              <w:ind w:right="1343" w:firstLine="34"/>
              <w:jc w:val="center"/>
              <w:rPr>
                <w:rFonts w:eastAsia="Times New Roman" w:cs="Arial"/>
                <w:sz w:val="22"/>
                <w:lang w:eastAsia="fr-FR"/>
              </w:rPr>
            </w:pPr>
            <w:r w:rsidRPr="002C5E0D">
              <w:rPr>
                <w:rFonts w:eastAsia="Times New Roman" w:cs="Arial"/>
                <w:sz w:val="22"/>
                <w:lang w:eastAsia="fr-FR"/>
              </w:rPr>
              <w:t xml:space="preserve">Prononcé du </w:t>
            </w:r>
            <w:r w:rsidR="00C250C4" w:rsidRPr="002C5E0D">
              <w:rPr>
                <w:rFonts w:eastAsia="Times New Roman" w:cs="Arial"/>
                <w:sz w:val="22"/>
                <w:lang w:eastAsia="fr-FR"/>
              </w:rPr>
              <w:t>10 septembre 2015</w:t>
            </w:r>
          </w:p>
        </w:tc>
        <w:tc>
          <w:tcPr>
            <w:tcW w:w="4786" w:type="dxa"/>
          </w:tcPr>
          <w:p w:rsidR="00C250C4" w:rsidRPr="002C5E0D" w:rsidRDefault="00B50421">
            <w:pPr>
              <w:spacing w:line="240" w:lineRule="auto"/>
              <w:rPr>
                <w:rFonts w:eastAsia="Times New Roman" w:cs="Arial"/>
                <w:sz w:val="22"/>
                <w:lang w:eastAsia="fr-FR"/>
              </w:rPr>
            </w:pPr>
            <w:r w:rsidRPr="002C5E0D">
              <w:rPr>
                <w:rFonts w:eastAsia="Times New Roman" w:cs="Arial"/>
                <w:sz w:val="22"/>
                <w:lang w:eastAsia="fr-FR"/>
              </w:rPr>
              <w:t>OFFICE PUBLIC DE L’HABITAT DE CALAIS</w:t>
            </w:r>
          </w:p>
          <w:p w:rsidR="00B50421" w:rsidRPr="002C5E0D" w:rsidRDefault="00B50421">
            <w:pPr>
              <w:spacing w:line="240" w:lineRule="auto"/>
              <w:rPr>
                <w:rFonts w:eastAsia="Times New Roman" w:cs="Arial"/>
                <w:sz w:val="22"/>
                <w:lang w:eastAsia="fr-FR"/>
              </w:rPr>
            </w:pPr>
            <w:r w:rsidRPr="002C5E0D">
              <w:rPr>
                <w:rFonts w:eastAsia="Times New Roman" w:cs="Arial"/>
                <w:sz w:val="22"/>
                <w:lang w:eastAsia="fr-FR"/>
              </w:rPr>
              <w:t>(PAS-DE-CALAIS)</w:t>
            </w:r>
          </w:p>
          <w:p w:rsidR="009F58BA" w:rsidRPr="002C5E0D" w:rsidRDefault="00E135F2">
            <w:pPr>
              <w:spacing w:line="240" w:lineRule="auto"/>
              <w:rPr>
                <w:rFonts w:eastAsia="Times New Roman" w:cs="Arial"/>
                <w:sz w:val="22"/>
                <w:lang w:eastAsia="fr-FR"/>
              </w:rPr>
            </w:pPr>
          </w:p>
          <w:p w:rsidR="009F58BA" w:rsidRPr="002C5E0D" w:rsidRDefault="00BA4F93">
            <w:pPr>
              <w:spacing w:line="240" w:lineRule="auto"/>
              <w:rPr>
                <w:rFonts w:eastAsia="Times New Roman" w:cs="Arial"/>
                <w:sz w:val="22"/>
                <w:lang w:eastAsia="fr-FR"/>
              </w:rPr>
            </w:pPr>
            <w:r w:rsidRPr="002C5E0D">
              <w:rPr>
                <w:rFonts w:eastAsia="Times New Roman" w:cs="Arial"/>
                <w:sz w:val="22"/>
                <w:lang w:eastAsia="fr-FR"/>
              </w:rPr>
              <w:t xml:space="preserve">Appel d’un jugement de la chambre régionale des comptes de </w:t>
            </w:r>
            <w:r w:rsidR="00C250C4" w:rsidRPr="002C5E0D">
              <w:rPr>
                <w:rFonts w:eastAsia="Times New Roman" w:cs="Arial"/>
                <w:sz w:val="22"/>
                <w:lang w:eastAsia="fr-FR"/>
              </w:rPr>
              <w:t>Nord-Pas-de-Calais, Picardie</w:t>
            </w:r>
          </w:p>
          <w:p w:rsidR="009F58BA" w:rsidRPr="002C5E0D" w:rsidRDefault="00E135F2">
            <w:pPr>
              <w:spacing w:line="240" w:lineRule="auto"/>
              <w:rPr>
                <w:rFonts w:eastAsia="Times New Roman" w:cs="Arial"/>
                <w:sz w:val="22"/>
                <w:lang w:eastAsia="fr-FR"/>
              </w:rPr>
            </w:pPr>
          </w:p>
          <w:p w:rsidR="009F58BA" w:rsidRPr="002C5E0D" w:rsidRDefault="00C250C4">
            <w:pPr>
              <w:spacing w:line="240" w:lineRule="auto"/>
              <w:rPr>
                <w:rFonts w:eastAsia="Times New Roman" w:cs="Arial"/>
                <w:sz w:val="22"/>
                <w:lang w:eastAsia="fr-FR"/>
              </w:rPr>
            </w:pPr>
            <w:r w:rsidRPr="002C5E0D">
              <w:rPr>
                <w:rFonts w:eastAsia="Times New Roman" w:cs="Arial"/>
                <w:sz w:val="22"/>
                <w:lang w:eastAsia="fr-FR"/>
              </w:rPr>
              <w:t>Rapport n° 2015-</w:t>
            </w:r>
            <w:r w:rsidR="00E269A3" w:rsidRPr="002C5E0D">
              <w:rPr>
                <w:rFonts w:eastAsia="Times New Roman" w:cs="Arial"/>
                <w:sz w:val="22"/>
                <w:lang w:eastAsia="fr-FR"/>
              </w:rPr>
              <w:t>226</w:t>
            </w:r>
            <w:r w:rsidRPr="002C5E0D">
              <w:rPr>
                <w:rFonts w:eastAsia="Times New Roman" w:cs="Arial"/>
                <w:sz w:val="22"/>
                <w:lang w:eastAsia="fr-FR"/>
              </w:rPr>
              <w:t>-0</w:t>
            </w:r>
          </w:p>
          <w:p w:rsidR="009F58BA" w:rsidRPr="002C5E0D" w:rsidRDefault="00E135F2">
            <w:pPr>
              <w:spacing w:line="240" w:lineRule="auto"/>
              <w:rPr>
                <w:rFonts w:eastAsia="Times New Roman" w:cs="Arial"/>
                <w:sz w:val="22"/>
                <w:lang w:eastAsia="fr-FR"/>
              </w:rPr>
            </w:pPr>
          </w:p>
          <w:p w:rsidR="009F58BA" w:rsidRPr="002C5E0D" w:rsidRDefault="00E135F2">
            <w:pPr>
              <w:spacing w:line="240" w:lineRule="auto"/>
              <w:rPr>
                <w:rFonts w:eastAsia="Times New Roman" w:cs="Arial"/>
                <w:sz w:val="22"/>
                <w:lang w:eastAsia="fr-FR"/>
              </w:rPr>
            </w:pPr>
          </w:p>
        </w:tc>
      </w:tr>
    </w:tbl>
    <w:p w:rsidR="00C744AF" w:rsidRPr="002C5E0D" w:rsidRDefault="00E135F2" w:rsidP="00C744AF">
      <w:pPr>
        <w:spacing w:line="240" w:lineRule="auto"/>
        <w:ind w:left="5670"/>
        <w:rPr>
          <w:rFonts w:eastAsia="Times New Roman" w:cs="Arial"/>
          <w:sz w:val="22"/>
          <w:lang w:eastAsia="fr-FR"/>
        </w:rPr>
      </w:pPr>
    </w:p>
    <w:p w:rsidR="00C744AF" w:rsidRPr="002C5E0D" w:rsidRDefault="00E135F2" w:rsidP="00C744AF">
      <w:pPr>
        <w:spacing w:line="240" w:lineRule="auto"/>
        <w:ind w:left="5670"/>
        <w:rPr>
          <w:rFonts w:eastAsia="Times New Roman" w:cs="Arial"/>
          <w:sz w:val="22"/>
          <w:lang w:eastAsia="fr-FR"/>
        </w:rPr>
      </w:pPr>
    </w:p>
    <w:p w:rsidR="00C744AF" w:rsidRPr="002C5E0D" w:rsidRDefault="00BA4F93" w:rsidP="00C744AF">
      <w:pPr>
        <w:tabs>
          <w:tab w:val="center" w:pos="9072"/>
        </w:tabs>
        <w:spacing w:line="240" w:lineRule="auto"/>
        <w:jc w:val="center"/>
        <w:rPr>
          <w:rFonts w:eastAsia="Times New Roman" w:cs="Arial"/>
          <w:sz w:val="22"/>
          <w:lang w:eastAsia="fr-FR"/>
        </w:rPr>
      </w:pPr>
      <w:r w:rsidRPr="002C5E0D">
        <w:rPr>
          <w:rFonts w:eastAsia="Times New Roman" w:cs="Arial"/>
          <w:sz w:val="22"/>
          <w:lang w:eastAsia="fr-FR"/>
        </w:rPr>
        <w:t>République Française,</w:t>
      </w:r>
    </w:p>
    <w:p w:rsidR="00C744AF" w:rsidRPr="002C5E0D" w:rsidRDefault="00BA4F93" w:rsidP="00C744AF">
      <w:pPr>
        <w:tabs>
          <w:tab w:val="center" w:pos="9072"/>
        </w:tabs>
        <w:spacing w:line="240" w:lineRule="auto"/>
        <w:jc w:val="center"/>
        <w:rPr>
          <w:rFonts w:eastAsia="Times New Roman" w:cs="Arial"/>
          <w:sz w:val="22"/>
          <w:lang w:eastAsia="fr-FR"/>
        </w:rPr>
      </w:pPr>
      <w:r w:rsidRPr="002C5E0D">
        <w:rPr>
          <w:rFonts w:eastAsia="Times New Roman" w:cs="Arial"/>
          <w:sz w:val="22"/>
          <w:lang w:eastAsia="fr-FR"/>
        </w:rPr>
        <w:t>Au nom du peuple français,</w:t>
      </w:r>
    </w:p>
    <w:p w:rsidR="00C744AF" w:rsidRPr="002C5E0D" w:rsidRDefault="00E135F2" w:rsidP="00C744AF">
      <w:pPr>
        <w:tabs>
          <w:tab w:val="center" w:pos="9072"/>
        </w:tabs>
        <w:spacing w:line="240" w:lineRule="auto"/>
        <w:jc w:val="center"/>
        <w:rPr>
          <w:rFonts w:eastAsia="Times New Roman" w:cs="Arial"/>
          <w:sz w:val="22"/>
          <w:lang w:eastAsia="fr-FR"/>
        </w:rPr>
      </w:pPr>
    </w:p>
    <w:p w:rsidR="00C744AF" w:rsidRPr="002C5E0D" w:rsidRDefault="00BA4F93" w:rsidP="00A63FED">
      <w:pPr>
        <w:tabs>
          <w:tab w:val="center" w:pos="9072"/>
        </w:tabs>
        <w:spacing w:before="120" w:after="360" w:line="240" w:lineRule="auto"/>
        <w:jc w:val="center"/>
        <w:rPr>
          <w:rFonts w:eastAsia="Times New Roman" w:cs="Arial"/>
          <w:sz w:val="22"/>
          <w:lang w:eastAsia="fr-FR"/>
        </w:rPr>
      </w:pPr>
      <w:r w:rsidRPr="002C5E0D">
        <w:rPr>
          <w:rFonts w:eastAsia="Times New Roman" w:cs="Arial"/>
          <w:sz w:val="22"/>
          <w:lang w:eastAsia="fr-FR"/>
        </w:rPr>
        <w:t>La Cour,</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la requête, enregistrée le 30 octobre 2014 au greffe de la chambre régionale des comptes de Nord-Pas-de-Calais, Picardie, par laquelle M. </w:t>
      </w:r>
      <w:r w:rsidR="007A4BDD">
        <w:rPr>
          <w:rFonts w:eastAsia="Times New Roman" w:cs="Arial"/>
          <w:sz w:val="22"/>
          <w:lang w:eastAsia="fr-FR"/>
        </w:rPr>
        <w:t>X</w:t>
      </w:r>
      <w:r w:rsidRPr="002C5E0D">
        <w:rPr>
          <w:rFonts w:eastAsia="Times New Roman" w:cs="Arial"/>
          <w:sz w:val="22"/>
          <w:lang w:eastAsia="fr-FR"/>
        </w:rPr>
        <w:t>, comptable de l’office public de l’habitat de</w:t>
      </w:r>
      <w:r w:rsidR="00A6394C">
        <w:rPr>
          <w:rFonts w:eastAsia="Times New Roman" w:cs="Arial"/>
          <w:sz w:val="22"/>
          <w:lang w:eastAsia="fr-FR"/>
        </w:rPr>
        <w:t xml:space="preserve"> </w:t>
      </w:r>
      <w:r w:rsidRPr="002C5E0D">
        <w:rPr>
          <w:rFonts w:eastAsia="Times New Roman" w:cs="Arial"/>
          <w:sz w:val="22"/>
          <w:lang w:eastAsia="fr-FR"/>
        </w:rPr>
        <w:t>Calais du 7</w:t>
      </w:r>
      <w:r w:rsidR="00A6394C">
        <w:rPr>
          <w:rFonts w:eastAsia="Times New Roman" w:cs="Arial"/>
          <w:sz w:val="22"/>
          <w:lang w:eastAsia="fr-FR"/>
        </w:rPr>
        <w:t xml:space="preserve"> </w:t>
      </w:r>
      <w:r w:rsidRPr="002C5E0D">
        <w:rPr>
          <w:rFonts w:eastAsia="Times New Roman" w:cs="Arial"/>
          <w:sz w:val="22"/>
          <w:lang w:eastAsia="fr-FR"/>
        </w:rPr>
        <w:t>février</w:t>
      </w:r>
      <w:r w:rsidR="00BE435D" w:rsidRPr="002C5E0D">
        <w:rPr>
          <w:rFonts w:eastAsia="Times New Roman" w:cs="Arial"/>
          <w:sz w:val="22"/>
          <w:lang w:eastAsia="fr-FR"/>
        </w:rPr>
        <w:t xml:space="preserve"> </w:t>
      </w:r>
      <w:r w:rsidRPr="002C5E0D">
        <w:rPr>
          <w:rFonts w:eastAsia="Times New Roman" w:cs="Arial"/>
          <w:sz w:val="22"/>
          <w:lang w:eastAsia="fr-FR"/>
        </w:rPr>
        <w:t>au 31 décembre 2011, a élevé appel du jugement n°</w:t>
      </w:r>
      <w:r w:rsidR="00BE435D" w:rsidRPr="002C5E0D">
        <w:rPr>
          <w:rFonts w:eastAsia="Times New Roman" w:cs="Arial"/>
          <w:sz w:val="22"/>
          <w:lang w:eastAsia="fr-FR"/>
        </w:rPr>
        <w:t> </w:t>
      </w:r>
      <w:r w:rsidRPr="002C5E0D">
        <w:rPr>
          <w:rFonts w:eastAsia="Times New Roman" w:cs="Arial"/>
          <w:sz w:val="22"/>
          <w:lang w:eastAsia="fr-FR"/>
        </w:rPr>
        <w:t>2014-0036 du 28 août 2014 par lequel ladite chambre régionale l’a constitué débiteur envers cet office</w:t>
      </w:r>
      <w:r w:rsidR="00A6394C">
        <w:rPr>
          <w:rFonts w:eastAsia="Times New Roman" w:cs="Arial"/>
          <w:sz w:val="22"/>
          <w:lang w:eastAsia="fr-FR"/>
        </w:rPr>
        <w:t xml:space="preserve"> </w:t>
      </w:r>
      <w:r w:rsidRPr="002C5E0D">
        <w:rPr>
          <w:rFonts w:eastAsia="Times New Roman" w:cs="Arial"/>
          <w:sz w:val="22"/>
          <w:lang w:eastAsia="fr-FR"/>
        </w:rPr>
        <w:t>de la somme de 4</w:t>
      </w:r>
      <w:r w:rsidR="00092145" w:rsidRPr="002C5E0D">
        <w:rPr>
          <w:rFonts w:eastAsia="Times New Roman" w:cs="Arial"/>
          <w:sz w:val="22"/>
          <w:lang w:eastAsia="fr-FR"/>
        </w:rPr>
        <w:t> </w:t>
      </w:r>
      <w:r w:rsidRPr="002C5E0D">
        <w:rPr>
          <w:rFonts w:eastAsia="Times New Roman" w:cs="Arial"/>
          <w:sz w:val="22"/>
          <w:lang w:eastAsia="fr-FR"/>
        </w:rPr>
        <w:t>370</w:t>
      </w:r>
      <w:r w:rsidR="00092145" w:rsidRPr="002C5E0D">
        <w:rPr>
          <w:rFonts w:eastAsia="Times New Roman" w:cs="Arial"/>
          <w:sz w:val="22"/>
          <w:lang w:eastAsia="fr-FR"/>
        </w:rPr>
        <w:t> </w:t>
      </w:r>
      <w:r w:rsidR="00BE435D" w:rsidRPr="002C5E0D">
        <w:rPr>
          <w:rFonts w:eastAsia="Times New Roman" w:cs="Arial"/>
          <w:sz w:val="22"/>
          <w:lang w:eastAsia="fr-FR"/>
        </w:rPr>
        <w:t>€</w:t>
      </w:r>
      <w:r w:rsidRPr="002C5E0D">
        <w:rPr>
          <w:rFonts w:eastAsia="Times New Roman" w:cs="Arial"/>
          <w:sz w:val="22"/>
          <w:lang w:eastAsia="fr-FR"/>
        </w:rPr>
        <w:t xml:space="preserve"> au titre de l’exercice</w:t>
      </w:r>
      <w:r w:rsidR="00A6394C">
        <w:rPr>
          <w:rFonts w:eastAsia="Times New Roman" w:cs="Arial"/>
          <w:sz w:val="22"/>
          <w:lang w:eastAsia="fr-FR"/>
        </w:rPr>
        <w:t xml:space="preserve"> </w:t>
      </w:r>
      <w:r w:rsidRPr="002C5E0D">
        <w:rPr>
          <w:rFonts w:eastAsia="Times New Roman" w:cs="Arial"/>
          <w:sz w:val="22"/>
          <w:lang w:eastAsia="fr-FR"/>
        </w:rPr>
        <w:t>2011, augmentée des intérêts de droit à compter du 24 janvier 2014</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la requête, enregistrée le 5 novembre 2014 au greffe de la chambre régionale des comptes de Nord-Pas-de-Calais, Picardie, par laquelle M. </w:t>
      </w:r>
      <w:r w:rsidR="007A4BDD">
        <w:rPr>
          <w:rFonts w:eastAsia="Times New Roman" w:cs="Arial"/>
          <w:sz w:val="22"/>
          <w:lang w:eastAsia="fr-FR"/>
        </w:rPr>
        <w:t>Y</w:t>
      </w:r>
      <w:r w:rsidRPr="002C5E0D">
        <w:rPr>
          <w:rFonts w:eastAsia="Times New Roman" w:cs="Arial"/>
          <w:sz w:val="22"/>
          <w:lang w:eastAsia="fr-FR"/>
        </w:rPr>
        <w:t>, comptable de l’office public de l’habitat de Calais du 18 février 2008 au 6 février 2011, a élevé appel du jugement n°</w:t>
      </w:r>
      <w:r w:rsidR="00BE435D" w:rsidRPr="002C5E0D">
        <w:rPr>
          <w:rFonts w:eastAsia="Times New Roman" w:cs="Arial"/>
          <w:sz w:val="22"/>
          <w:lang w:eastAsia="fr-FR"/>
        </w:rPr>
        <w:t> </w:t>
      </w:r>
      <w:r w:rsidRPr="002C5E0D">
        <w:rPr>
          <w:rFonts w:eastAsia="Times New Roman" w:cs="Arial"/>
          <w:sz w:val="22"/>
          <w:lang w:eastAsia="fr-FR"/>
        </w:rPr>
        <w:t>2014-0036 du 28 août 2014 par lequel ladite chambre régionale l’a constitué débiteur des deniers envers cet office de la somme de de 81 208,40</w:t>
      </w:r>
      <w:r w:rsidR="00BE435D" w:rsidRPr="002C5E0D">
        <w:rPr>
          <w:rFonts w:eastAsia="Times New Roman" w:cs="Arial"/>
          <w:sz w:val="22"/>
          <w:lang w:eastAsia="fr-FR"/>
        </w:rPr>
        <w:t> €</w:t>
      </w:r>
      <w:r w:rsidRPr="002C5E0D">
        <w:rPr>
          <w:rFonts w:eastAsia="Times New Roman" w:cs="Arial"/>
          <w:sz w:val="22"/>
          <w:lang w:eastAsia="fr-FR"/>
        </w:rPr>
        <w:t xml:space="preserve"> au</w:t>
      </w:r>
      <w:r w:rsidR="00A6394C">
        <w:rPr>
          <w:rFonts w:eastAsia="Times New Roman" w:cs="Arial"/>
          <w:sz w:val="22"/>
          <w:lang w:eastAsia="fr-FR"/>
        </w:rPr>
        <w:t xml:space="preserve"> </w:t>
      </w:r>
      <w:r w:rsidRPr="002C5E0D">
        <w:rPr>
          <w:rFonts w:eastAsia="Times New Roman" w:cs="Arial"/>
          <w:sz w:val="22"/>
          <w:lang w:eastAsia="fr-FR"/>
        </w:rPr>
        <w:t>titre de l’exercice</w:t>
      </w:r>
      <w:r w:rsidR="00A6394C">
        <w:rPr>
          <w:rFonts w:eastAsia="Times New Roman" w:cs="Arial"/>
          <w:sz w:val="22"/>
          <w:lang w:eastAsia="fr-FR"/>
        </w:rPr>
        <w:t xml:space="preserve"> </w:t>
      </w:r>
      <w:r w:rsidRPr="002C5E0D">
        <w:rPr>
          <w:rFonts w:eastAsia="Times New Roman" w:cs="Arial"/>
          <w:sz w:val="22"/>
          <w:lang w:eastAsia="fr-FR"/>
        </w:rPr>
        <w:t>2009, augmentée des intérêts de droit calculés à compter du 25 février 2014</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 réquisitoire du Procureur général près la Cour des comptes n°</w:t>
      </w:r>
      <w:r w:rsidR="00BE435D" w:rsidRPr="002C5E0D">
        <w:rPr>
          <w:rFonts w:eastAsia="Times New Roman" w:cs="Arial"/>
          <w:sz w:val="22"/>
          <w:lang w:eastAsia="fr-FR"/>
        </w:rPr>
        <w:t> </w:t>
      </w:r>
      <w:r w:rsidRPr="002C5E0D">
        <w:rPr>
          <w:rFonts w:eastAsia="Times New Roman" w:cs="Arial"/>
          <w:sz w:val="22"/>
          <w:lang w:eastAsia="fr-FR"/>
        </w:rPr>
        <w:t>2014-141 du 29</w:t>
      </w:r>
      <w:r w:rsidR="00A6394C">
        <w:rPr>
          <w:rFonts w:eastAsia="Times New Roman" w:cs="Arial"/>
          <w:sz w:val="22"/>
          <w:lang w:eastAsia="fr-FR"/>
        </w:rPr>
        <w:t xml:space="preserve"> </w:t>
      </w:r>
      <w:r w:rsidRPr="002C5E0D">
        <w:rPr>
          <w:rFonts w:eastAsia="Times New Roman" w:cs="Arial"/>
          <w:sz w:val="22"/>
          <w:lang w:eastAsia="fr-FR"/>
        </w:rPr>
        <w:t>décembre</w:t>
      </w:r>
      <w:r w:rsidR="00A6394C">
        <w:rPr>
          <w:rFonts w:eastAsia="Times New Roman" w:cs="Arial"/>
          <w:sz w:val="22"/>
          <w:lang w:eastAsia="fr-FR"/>
        </w:rPr>
        <w:t xml:space="preserve"> </w:t>
      </w:r>
      <w:r w:rsidRPr="002C5E0D">
        <w:rPr>
          <w:rFonts w:eastAsia="Times New Roman" w:cs="Arial"/>
          <w:sz w:val="22"/>
          <w:lang w:eastAsia="fr-FR"/>
        </w:rPr>
        <w:t>2014 transmettant à la Cour les requêtes précitées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les pièces de la procédure suivie en première instance et produites en appel</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 code des juridictions financières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les lois et règlements applicables à l’office public de l’habitat de Calais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l’article 60 de la loi de finances n°</w:t>
      </w:r>
      <w:r w:rsidR="00BE435D" w:rsidRPr="002C5E0D">
        <w:rPr>
          <w:rFonts w:eastAsia="Times New Roman" w:cs="Arial"/>
          <w:sz w:val="22"/>
          <w:lang w:eastAsia="fr-FR"/>
        </w:rPr>
        <w:t> </w:t>
      </w:r>
      <w:r w:rsidRPr="002C5E0D">
        <w:rPr>
          <w:rFonts w:eastAsia="Times New Roman" w:cs="Arial"/>
          <w:sz w:val="22"/>
          <w:lang w:eastAsia="fr-FR"/>
        </w:rPr>
        <w:t>63-156 du 23 février 1963 modifiée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 décret n°</w:t>
      </w:r>
      <w:r w:rsidR="00D2306C">
        <w:rPr>
          <w:rFonts w:eastAsia="Times New Roman" w:cs="Arial"/>
          <w:sz w:val="22"/>
          <w:lang w:eastAsia="fr-FR"/>
        </w:rPr>
        <w:t> </w:t>
      </w:r>
      <w:r w:rsidRPr="002C5E0D">
        <w:rPr>
          <w:rFonts w:eastAsia="Times New Roman" w:cs="Arial"/>
          <w:sz w:val="22"/>
          <w:lang w:eastAsia="fr-FR"/>
        </w:rPr>
        <w:t>62-1587 du 29 décembre 1962 portant règlement général sur la comptabilité publique, en vigueur au moment des faits</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 décret n° 2012-1386 du 10 décembre 2012</w:t>
      </w:r>
      <w:r w:rsidRPr="002C5E0D">
        <w:rPr>
          <w:sz w:val="22"/>
        </w:rPr>
        <w:t xml:space="preserve"> </w:t>
      </w:r>
      <w:r w:rsidRPr="002C5E0D">
        <w:rPr>
          <w:rFonts w:eastAsia="Times New Roman" w:cs="Arial"/>
          <w:sz w:val="22"/>
          <w:lang w:eastAsia="fr-FR"/>
        </w:rPr>
        <w:t>portant application du deuxième alinéa du</w:t>
      </w:r>
      <w:r w:rsidR="00A6394C">
        <w:rPr>
          <w:rFonts w:eastAsia="Times New Roman" w:cs="Arial"/>
          <w:sz w:val="22"/>
          <w:lang w:eastAsia="fr-FR"/>
        </w:rPr>
        <w:t xml:space="preserve"> </w:t>
      </w:r>
      <w:r w:rsidRPr="002C5E0D">
        <w:rPr>
          <w:rFonts w:eastAsia="Times New Roman" w:cs="Arial"/>
          <w:sz w:val="22"/>
          <w:lang w:eastAsia="fr-FR"/>
        </w:rPr>
        <w:t>VI de l'article</w:t>
      </w:r>
      <w:r w:rsidR="00D2306C">
        <w:rPr>
          <w:rFonts w:eastAsia="Times New Roman" w:cs="Arial"/>
          <w:sz w:val="22"/>
          <w:lang w:eastAsia="fr-FR"/>
        </w:rPr>
        <w:t> </w:t>
      </w:r>
      <w:r w:rsidRPr="002C5E0D">
        <w:rPr>
          <w:rFonts w:eastAsia="Times New Roman" w:cs="Arial"/>
          <w:sz w:val="22"/>
          <w:lang w:eastAsia="fr-FR"/>
        </w:rPr>
        <w:t>60 de la loi de finances de 1963 modifié, dans sa rédaction issue de l'article</w:t>
      </w:r>
      <w:r w:rsidR="00A6394C">
        <w:rPr>
          <w:rFonts w:eastAsia="Times New Roman" w:cs="Arial"/>
          <w:sz w:val="22"/>
          <w:lang w:eastAsia="fr-FR"/>
        </w:rPr>
        <w:t xml:space="preserve"> </w:t>
      </w:r>
      <w:r w:rsidRPr="002C5E0D">
        <w:rPr>
          <w:rFonts w:eastAsia="Times New Roman" w:cs="Arial"/>
          <w:sz w:val="22"/>
          <w:lang w:eastAsia="fr-FR"/>
        </w:rPr>
        <w:t>90 de la loi n°</w:t>
      </w:r>
      <w:r w:rsidR="00D2306C">
        <w:rPr>
          <w:rFonts w:eastAsia="Times New Roman" w:cs="Arial"/>
          <w:sz w:val="22"/>
          <w:lang w:eastAsia="fr-FR"/>
        </w:rPr>
        <w:t> </w:t>
      </w:r>
      <w:r w:rsidRPr="002C5E0D">
        <w:rPr>
          <w:rFonts w:eastAsia="Times New Roman" w:cs="Arial"/>
          <w:sz w:val="22"/>
          <w:lang w:eastAsia="fr-FR"/>
        </w:rPr>
        <w:t>2011-1978 du 28 décembre 2011 de finances rectificative pour 2011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 rapport de M. Nicolas HAUPTMANN, auditeur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Vu les conclusions du Procureur général n° 413 du 30 juin 2015 ;</w:t>
      </w:r>
    </w:p>
    <w:p w:rsidR="003C2ECA" w:rsidRDefault="003C2ECA" w:rsidP="00B50421">
      <w:pPr>
        <w:spacing w:before="240" w:after="240" w:line="240" w:lineRule="auto"/>
        <w:jc w:val="both"/>
        <w:rPr>
          <w:rFonts w:eastAsia="Times New Roman" w:cs="Arial"/>
          <w:sz w:val="22"/>
          <w:lang w:eastAsia="fr-FR"/>
        </w:rPr>
      </w:pP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Entendu, lors de l’audience publique du 9 juillet 2015, M.</w:t>
      </w:r>
      <w:r w:rsidR="002C5E0D">
        <w:rPr>
          <w:rFonts w:eastAsia="Times New Roman" w:cs="Arial"/>
          <w:sz w:val="22"/>
          <w:lang w:eastAsia="fr-FR"/>
        </w:rPr>
        <w:t> </w:t>
      </w:r>
      <w:r w:rsidRPr="002C5E0D">
        <w:rPr>
          <w:rFonts w:eastAsia="Times New Roman" w:cs="Arial"/>
          <w:sz w:val="22"/>
          <w:lang w:eastAsia="fr-FR"/>
        </w:rPr>
        <w:t xml:space="preserve">HAUPTMANN, en son rapport, M. Christian MICHAUT, avocat général, en les conclusions du ministère public ;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Après avoir entendu en délibéré M.</w:t>
      </w:r>
      <w:r w:rsidR="002C5E0D">
        <w:rPr>
          <w:rFonts w:eastAsia="Times New Roman" w:cs="Arial"/>
          <w:sz w:val="22"/>
          <w:lang w:eastAsia="fr-FR"/>
        </w:rPr>
        <w:t> </w:t>
      </w:r>
      <w:r w:rsidRPr="002C5E0D">
        <w:rPr>
          <w:rFonts w:eastAsia="Times New Roman" w:cs="Arial"/>
          <w:sz w:val="22"/>
          <w:lang w:eastAsia="fr-FR"/>
        </w:rPr>
        <w:t>Jean-Yves BERTUCCI, conseiller maître, en ses observations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les deux requêtes concernent le même jugement ; qu’il y a donc lieu de les joindre ;</w:t>
      </w:r>
    </w:p>
    <w:p w:rsidR="00B50421" w:rsidRPr="002C5E0D" w:rsidRDefault="00B50421" w:rsidP="00B50421">
      <w:pPr>
        <w:spacing w:before="240" w:after="240" w:line="240" w:lineRule="auto"/>
        <w:jc w:val="both"/>
        <w:rPr>
          <w:rFonts w:eastAsia="Times New Roman" w:cs="Arial"/>
          <w:b/>
          <w:i/>
          <w:sz w:val="22"/>
          <w:lang w:eastAsia="fr-FR"/>
        </w:rPr>
      </w:pPr>
      <w:r w:rsidRPr="002C5E0D">
        <w:rPr>
          <w:rFonts w:eastAsia="Times New Roman" w:cs="Arial"/>
          <w:b/>
          <w:i/>
          <w:sz w:val="22"/>
          <w:lang w:eastAsia="fr-FR"/>
        </w:rPr>
        <w:t>Sur la régularité</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M.</w:t>
      </w:r>
      <w:r w:rsid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sollicite l’annulation du jugement attaqué au motif que le rapport d’observations définitives sur la gestion de l’office public de l’habitat de Calais, arrêté par la chambre régionale le 23</w:t>
      </w:r>
      <w:r w:rsidR="00A6394C">
        <w:rPr>
          <w:rFonts w:eastAsia="Times New Roman" w:cs="Arial"/>
          <w:sz w:val="22"/>
          <w:lang w:eastAsia="fr-FR"/>
        </w:rPr>
        <w:t xml:space="preserve"> </w:t>
      </w:r>
      <w:r w:rsidRPr="002C5E0D">
        <w:rPr>
          <w:rFonts w:eastAsia="Times New Roman" w:cs="Arial"/>
          <w:sz w:val="22"/>
          <w:lang w:eastAsia="fr-FR"/>
        </w:rPr>
        <w:t>janvier</w:t>
      </w:r>
      <w:r w:rsidR="00A6394C">
        <w:rPr>
          <w:rFonts w:eastAsia="Times New Roman" w:cs="Arial"/>
          <w:sz w:val="22"/>
          <w:lang w:eastAsia="fr-FR"/>
        </w:rPr>
        <w:t xml:space="preserve"> </w:t>
      </w:r>
      <w:r w:rsidRPr="002C5E0D">
        <w:rPr>
          <w:rFonts w:eastAsia="Times New Roman" w:cs="Arial"/>
          <w:sz w:val="22"/>
          <w:lang w:eastAsia="fr-FR"/>
        </w:rPr>
        <w:t>2014, mentionne le caractère irrégulier de l’attribution d’un logement de fonction au directeur général de l’office et chiffre le montant indûment versé ; qu’une telle mention constituerait selon le requérant</w:t>
      </w:r>
      <w:r w:rsidR="00B64E5B" w:rsidRPr="002C5E0D">
        <w:rPr>
          <w:rFonts w:eastAsia="Times New Roman" w:cs="Arial"/>
          <w:sz w:val="22"/>
          <w:lang w:eastAsia="fr-FR"/>
        </w:rPr>
        <w:t xml:space="preserve"> </w:t>
      </w:r>
      <w:r w:rsidRPr="002C5E0D">
        <w:rPr>
          <w:rFonts w:eastAsia="Times New Roman" w:cs="Arial"/>
          <w:sz w:val="22"/>
          <w:lang w:eastAsia="fr-FR"/>
        </w:rPr>
        <w:t>un pré-jugement de l’affaire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 rapport d’observations définitives de la chambre régionale sur la gestion de l’office public de l’habitat constitue un document public dont le contenu a été délibéré avant que ne soit rendu le jugement entrepris,</w:t>
      </w:r>
      <w:r w:rsidR="00A6394C">
        <w:rPr>
          <w:rFonts w:eastAsia="Times New Roman" w:cs="Arial"/>
          <w:sz w:val="22"/>
          <w:lang w:eastAsia="fr-FR"/>
        </w:rPr>
        <w:t xml:space="preserve"> </w:t>
      </w:r>
      <w:r w:rsidRPr="002C5E0D">
        <w:rPr>
          <w:rFonts w:eastAsia="Times New Roman" w:cs="Arial"/>
          <w:sz w:val="22"/>
          <w:lang w:eastAsia="fr-FR"/>
        </w:rPr>
        <w:t>mais qu’aucun développement de ce rapport ne mentionne les conséquences que les irrégularités relevées pourraient emporter sur la responsabilité personnelle et pécuniaire des comptables publics</w:t>
      </w:r>
      <w:r w:rsidR="00A6394C">
        <w:rPr>
          <w:rFonts w:eastAsia="Times New Roman" w:cs="Arial"/>
          <w:sz w:val="22"/>
          <w:lang w:eastAsia="fr-FR"/>
        </w:rPr>
        <w:t xml:space="preserve"> </w:t>
      </w:r>
      <w:r w:rsidRPr="002C5E0D">
        <w:rPr>
          <w:rFonts w:eastAsia="Times New Roman" w:cs="Arial"/>
          <w:sz w:val="22"/>
          <w:lang w:eastAsia="fr-FR"/>
        </w:rPr>
        <w:t>de l’office</w:t>
      </w:r>
      <w:r w:rsidR="00A6394C">
        <w:rPr>
          <w:rFonts w:eastAsia="Times New Roman" w:cs="Arial"/>
          <w:sz w:val="22"/>
          <w:lang w:eastAsia="fr-FR"/>
        </w:rPr>
        <w:t> ;</w:t>
      </w:r>
      <w:r w:rsidRPr="002C5E0D">
        <w:rPr>
          <w:rFonts w:eastAsia="Times New Roman" w:cs="Arial"/>
          <w:sz w:val="22"/>
          <w:lang w:eastAsia="fr-FR"/>
        </w:rPr>
        <w:t xml:space="preserve"> qu’ainsi le moyen du requérant manque en fait</w:t>
      </w:r>
      <w:r w:rsidR="00A6394C">
        <w:rPr>
          <w:rFonts w:eastAsia="Times New Roman" w:cs="Arial"/>
          <w:sz w:val="22"/>
          <w:lang w:eastAsia="fr-FR"/>
        </w:rPr>
        <w:t xml:space="preserve"> </w:t>
      </w:r>
      <w:r w:rsidRPr="002C5E0D">
        <w:rPr>
          <w:rFonts w:eastAsia="Times New Roman" w:cs="Arial"/>
          <w:sz w:val="22"/>
          <w:lang w:eastAsia="fr-FR"/>
        </w:rPr>
        <w:t>et qu’ il convient dès lors de l’écarter ;</w:t>
      </w:r>
      <w:r w:rsidRPr="002C5E0D" w:rsidDel="00C637EB">
        <w:rPr>
          <w:rFonts w:eastAsia="Times New Roman" w:cs="Arial"/>
          <w:sz w:val="22"/>
          <w:lang w:eastAsia="fr-FR"/>
        </w:rPr>
        <w:t xml:space="preserve"> </w:t>
      </w:r>
    </w:p>
    <w:p w:rsidR="00B50421" w:rsidRPr="002C5E0D" w:rsidRDefault="00B50421" w:rsidP="00B50421">
      <w:pPr>
        <w:spacing w:before="240" w:after="240" w:line="240" w:lineRule="auto"/>
        <w:jc w:val="both"/>
        <w:rPr>
          <w:rFonts w:eastAsia="Times New Roman" w:cs="Arial"/>
          <w:b/>
          <w:i/>
          <w:sz w:val="22"/>
          <w:lang w:eastAsia="fr-FR"/>
        </w:rPr>
      </w:pPr>
      <w:r w:rsidRPr="002C5E0D">
        <w:rPr>
          <w:rFonts w:eastAsia="Times New Roman" w:cs="Arial"/>
          <w:b/>
          <w:i/>
          <w:sz w:val="22"/>
          <w:lang w:eastAsia="fr-FR"/>
        </w:rPr>
        <w:t>Sur le fond</w:t>
      </w:r>
    </w:p>
    <w:p w:rsidR="00B50421" w:rsidRPr="002C5E0D" w:rsidRDefault="00B50421" w:rsidP="00B50421">
      <w:pPr>
        <w:spacing w:before="240" w:after="240" w:line="240" w:lineRule="auto"/>
        <w:jc w:val="both"/>
        <w:rPr>
          <w:rFonts w:eastAsia="Times New Roman" w:cs="Arial"/>
          <w:i/>
          <w:sz w:val="22"/>
          <w:lang w:eastAsia="fr-FR"/>
        </w:rPr>
      </w:pPr>
      <w:r w:rsidRPr="002C5E0D">
        <w:rPr>
          <w:rFonts w:eastAsia="Times New Roman" w:cs="Arial"/>
          <w:i/>
          <w:sz w:val="22"/>
          <w:lang w:eastAsia="fr-FR"/>
        </w:rPr>
        <w:t>Sur la troisième charge</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par le jugement entrepris, la chambre régionale des comptes de Nord-Pas-de-Calais, Picardie a</w:t>
      </w:r>
      <w:r w:rsidR="00A6394C">
        <w:rPr>
          <w:rFonts w:eastAsia="Times New Roman" w:cs="Arial"/>
          <w:sz w:val="22"/>
          <w:lang w:eastAsia="fr-FR"/>
        </w:rPr>
        <w:t xml:space="preserve"> </w:t>
      </w:r>
      <w:r w:rsidRPr="002C5E0D">
        <w:rPr>
          <w:rFonts w:eastAsia="Times New Roman" w:cs="Arial"/>
          <w:sz w:val="22"/>
          <w:lang w:eastAsia="fr-FR"/>
        </w:rPr>
        <w:t>constitué M.</w:t>
      </w:r>
      <w:r w:rsidR="00582514" w:rsidRP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débiteur envers l’office public de l’habitat de Calais de la somme de 4</w:t>
      </w:r>
      <w:r w:rsidR="00BE435D" w:rsidRPr="002C5E0D">
        <w:rPr>
          <w:rFonts w:eastAsia="Times New Roman" w:cs="Arial"/>
          <w:sz w:val="22"/>
          <w:lang w:eastAsia="fr-FR"/>
        </w:rPr>
        <w:t> </w:t>
      </w:r>
      <w:r w:rsidRPr="002C5E0D">
        <w:rPr>
          <w:rFonts w:eastAsia="Times New Roman" w:cs="Arial"/>
          <w:sz w:val="22"/>
          <w:lang w:eastAsia="fr-FR"/>
        </w:rPr>
        <w:t>370</w:t>
      </w:r>
      <w:r w:rsidR="00BE435D" w:rsidRPr="002C5E0D">
        <w:rPr>
          <w:rFonts w:eastAsia="Times New Roman" w:cs="Arial"/>
          <w:sz w:val="22"/>
          <w:lang w:eastAsia="fr-FR"/>
        </w:rPr>
        <w:t> €</w:t>
      </w:r>
      <w:r w:rsidRPr="002C5E0D">
        <w:rPr>
          <w:rFonts w:eastAsia="Times New Roman" w:cs="Arial"/>
          <w:sz w:val="22"/>
          <w:lang w:eastAsia="fr-FR"/>
        </w:rPr>
        <w:t>, pour avoir remboursé de juin à décembre 2011, au titre des avantages en nature, 46</w:t>
      </w:r>
      <w:r w:rsidR="00BE435D" w:rsidRPr="002C5E0D">
        <w:rPr>
          <w:rFonts w:eastAsia="Times New Roman" w:cs="Arial"/>
          <w:sz w:val="22"/>
          <w:lang w:eastAsia="fr-FR"/>
        </w:rPr>
        <w:t> </w:t>
      </w:r>
      <w:r w:rsidRPr="002C5E0D">
        <w:rPr>
          <w:rFonts w:eastAsia="Times New Roman" w:cs="Arial"/>
          <w:sz w:val="22"/>
          <w:lang w:eastAsia="fr-FR"/>
        </w:rPr>
        <w:t xml:space="preserve">% du montant des loyers du logement de fonction attribué au directeur général de l’office public de l’habitat alors </w:t>
      </w:r>
      <w:r w:rsidRPr="002C5E0D">
        <w:rPr>
          <w:rFonts w:eastAsia="Times New Roman" w:cs="Arial"/>
          <w:sz w:val="22"/>
          <w:szCs w:val="18"/>
          <w:lang w:eastAsia="fr-FR"/>
        </w:rPr>
        <w:t>qu’il existait une contradiction</w:t>
      </w:r>
      <w:r w:rsidRPr="002C5E0D">
        <w:rPr>
          <w:rFonts w:eastAsia="Times New Roman" w:cs="Arial"/>
          <w:sz w:val="22"/>
          <w:lang w:eastAsia="fr-FR"/>
        </w:rPr>
        <w:t xml:space="preserve"> entre les pièces justificatives présentées à l’appui de cette dépense</w:t>
      </w:r>
      <w:r w:rsidR="00A6394C">
        <w:rPr>
          <w:rFonts w:eastAsia="Times New Roman" w:cs="Arial"/>
          <w:sz w:val="22"/>
          <w:lang w:eastAsia="fr-FR"/>
        </w:rPr>
        <w:t xml:space="preserve"> </w:t>
      </w:r>
      <w:r w:rsidRPr="002C5E0D">
        <w:rPr>
          <w:rFonts w:eastAsia="Times New Roman" w:cs="Arial"/>
          <w:sz w:val="22"/>
          <w:lang w:eastAsia="fr-FR"/>
        </w:rPr>
        <w:t>qui aurait dû conduire le comptable à suspendre les paiements</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M.</w:t>
      </w:r>
      <w:r w:rsidR="00582514" w:rsidRP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demande à la Cour d’infirmer le jugement dès lors qu’il estime qu’aucun manquement à ses obligations de contrôle ne lui est imputable ;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l’article 1</w:t>
      </w:r>
      <w:r w:rsidRPr="002C5E0D">
        <w:rPr>
          <w:rFonts w:eastAsia="Times New Roman" w:cs="Arial"/>
          <w:sz w:val="22"/>
          <w:vertAlign w:val="superscript"/>
          <w:lang w:eastAsia="fr-FR"/>
        </w:rPr>
        <w:t>er</w:t>
      </w:r>
      <w:r w:rsidRPr="002C5E0D">
        <w:rPr>
          <w:rFonts w:eastAsia="Times New Roman" w:cs="Arial"/>
          <w:sz w:val="22"/>
          <w:lang w:eastAsia="fr-FR"/>
        </w:rPr>
        <w:t xml:space="preserve"> du décret n°</w:t>
      </w:r>
      <w:r w:rsidR="002C5E0D">
        <w:rPr>
          <w:rFonts w:eastAsia="Times New Roman" w:cs="Arial"/>
          <w:sz w:val="22"/>
          <w:lang w:eastAsia="fr-FR"/>
        </w:rPr>
        <w:t> </w:t>
      </w:r>
      <w:r w:rsidRPr="002C5E0D">
        <w:rPr>
          <w:rFonts w:eastAsia="Times New Roman" w:cs="Arial"/>
          <w:sz w:val="22"/>
          <w:lang w:eastAsia="fr-FR"/>
        </w:rPr>
        <w:t>2009-1218 du 12 octobre 2009 a modifié l’article</w:t>
      </w:r>
      <w:r w:rsidR="00A6394C">
        <w:rPr>
          <w:rFonts w:eastAsia="Times New Roman" w:cs="Arial"/>
          <w:sz w:val="22"/>
          <w:lang w:eastAsia="fr-FR"/>
        </w:rPr>
        <w:t xml:space="preserve"> </w:t>
      </w:r>
      <w:r w:rsidRPr="002C5E0D">
        <w:rPr>
          <w:rFonts w:eastAsia="Times New Roman" w:cs="Arial"/>
          <w:sz w:val="22"/>
          <w:lang w:eastAsia="fr-FR"/>
        </w:rPr>
        <w:t>R.</w:t>
      </w:r>
      <w:r w:rsidR="00BE435D" w:rsidRPr="002C5E0D">
        <w:rPr>
          <w:rFonts w:eastAsia="Times New Roman" w:cs="Arial"/>
          <w:sz w:val="22"/>
          <w:lang w:eastAsia="fr-FR"/>
        </w:rPr>
        <w:t> </w:t>
      </w:r>
      <w:r w:rsidRPr="002C5E0D">
        <w:rPr>
          <w:rFonts w:eastAsia="Times New Roman" w:cs="Arial"/>
          <w:sz w:val="22"/>
          <w:lang w:eastAsia="fr-FR"/>
        </w:rPr>
        <w:t>421-20 du code de la construction et de l’habitat qui dispose désormais que «</w:t>
      </w:r>
      <w:r w:rsidR="00A6394C">
        <w:rPr>
          <w:rFonts w:eastAsia="Times New Roman" w:cs="Arial"/>
          <w:sz w:val="22"/>
          <w:lang w:eastAsia="fr-FR"/>
        </w:rPr>
        <w:t> </w:t>
      </w:r>
      <w:r w:rsidRPr="002C5E0D">
        <w:rPr>
          <w:rFonts w:eastAsia="Times New Roman" w:cs="Arial"/>
          <w:i/>
          <w:sz w:val="22"/>
          <w:lang w:eastAsia="fr-FR"/>
        </w:rPr>
        <w:t>la rémunération annuelle brute du directeur général comporte une part forfaitaire et une part variable. Cette rémunération est exclusive de tous avantages annexes en espèces ou en nature autres que ceux mentionnés à l’article R.</w:t>
      </w:r>
      <w:r w:rsidR="00BE435D" w:rsidRPr="002C5E0D">
        <w:rPr>
          <w:rFonts w:eastAsia="Times New Roman" w:cs="Arial"/>
          <w:i/>
          <w:sz w:val="22"/>
          <w:lang w:eastAsia="fr-FR"/>
        </w:rPr>
        <w:t> </w:t>
      </w:r>
      <w:r w:rsidRPr="002C5E0D">
        <w:rPr>
          <w:rFonts w:eastAsia="Times New Roman" w:cs="Arial"/>
          <w:i/>
          <w:sz w:val="22"/>
          <w:lang w:eastAsia="fr-FR"/>
        </w:rPr>
        <w:t>421-20-1</w:t>
      </w:r>
      <w:r w:rsidR="00A6394C">
        <w:rPr>
          <w:rFonts w:eastAsia="Times New Roman" w:cs="Arial"/>
          <w:sz w:val="22"/>
          <w:lang w:eastAsia="fr-FR"/>
        </w:rPr>
        <w:t> </w:t>
      </w:r>
      <w:r w:rsidRPr="002C5E0D">
        <w:rPr>
          <w:rFonts w:eastAsia="Times New Roman" w:cs="Arial"/>
          <w:sz w:val="22"/>
          <w:lang w:eastAsia="fr-FR"/>
        </w:rPr>
        <w:t>» ; que cet article exclut en conséquence l’éventuel remboursement de tout ou partie des loyers afférents à un logement de fonction, ce que l’appelant ne discute pas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M.</w:t>
      </w:r>
      <w:r w:rsid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fait valoir en premier lieu que la délibération du conseil d’administration de l’office du 30 novembre 2009, autorisant l’ordonnateur à prendre en compte l’évolution de la réglementation, se borne à intégrer les modifications introduites par le décret du 12 octobre 2009 qui concernent la part forfaitaire et la part variable de la rémunération du directeur général ; qu’elle n’en tire, selon lui, aucune conséquence affectant le remboursement de 46</w:t>
      </w:r>
      <w:r w:rsidR="002C5E0D">
        <w:rPr>
          <w:rFonts w:eastAsia="Times New Roman" w:cs="Arial"/>
          <w:sz w:val="22"/>
          <w:lang w:eastAsia="fr-FR"/>
        </w:rPr>
        <w:t> </w:t>
      </w:r>
      <w:r w:rsidRPr="002C5E0D">
        <w:rPr>
          <w:rFonts w:eastAsia="Times New Roman" w:cs="Arial"/>
          <w:sz w:val="22"/>
          <w:lang w:eastAsia="fr-FR"/>
        </w:rPr>
        <w:t>% du montant de son loyer au titre des avantages en nature ; que la chambre régionale a, au contraire, considéré que la délibération précitée se référait au décret en toutes se</w:t>
      </w:r>
      <w:r w:rsidR="002C5E0D">
        <w:rPr>
          <w:rFonts w:eastAsia="Times New Roman" w:cs="Arial"/>
          <w:sz w:val="22"/>
          <w:lang w:eastAsia="fr-FR"/>
        </w:rPr>
        <w:t>s dispositions ;</w:t>
      </w:r>
    </w:p>
    <w:p w:rsidR="003C2ECA" w:rsidRDefault="003C2ECA" w:rsidP="00B50421">
      <w:pPr>
        <w:spacing w:before="240" w:after="240" w:line="240" w:lineRule="auto"/>
        <w:jc w:val="both"/>
        <w:rPr>
          <w:rFonts w:eastAsia="Times New Roman" w:cs="Arial"/>
          <w:sz w:val="22"/>
          <w:lang w:eastAsia="fr-FR"/>
        </w:rPr>
      </w:pP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 xml:space="preserve">Attendu que ladite délibération précise dans ses motifs que </w:t>
      </w:r>
      <w:r w:rsidRPr="002C5E0D">
        <w:rPr>
          <w:rFonts w:eastAsia="Times New Roman" w:cs="Arial"/>
          <w:i/>
          <w:sz w:val="22"/>
          <w:lang w:eastAsia="fr-FR"/>
        </w:rPr>
        <w:t>«</w:t>
      </w:r>
      <w:r w:rsidR="00A6394C">
        <w:rPr>
          <w:rFonts w:eastAsia="Times New Roman" w:cs="Arial"/>
          <w:i/>
          <w:sz w:val="22"/>
          <w:lang w:eastAsia="fr-FR"/>
        </w:rPr>
        <w:t> </w:t>
      </w:r>
      <w:r w:rsidRPr="002C5E0D">
        <w:rPr>
          <w:rFonts w:eastAsia="Times New Roman" w:cs="Arial"/>
          <w:i/>
          <w:sz w:val="22"/>
          <w:lang w:eastAsia="fr-FR"/>
        </w:rPr>
        <w:t>le décret n°</w:t>
      </w:r>
      <w:r w:rsidR="00FF4288" w:rsidRPr="002C5E0D">
        <w:rPr>
          <w:rFonts w:eastAsia="Times New Roman" w:cs="Arial"/>
          <w:i/>
          <w:sz w:val="22"/>
          <w:lang w:eastAsia="fr-FR"/>
        </w:rPr>
        <w:t> </w:t>
      </w:r>
      <w:r w:rsidRPr="002C5E0D">
        <w:rPr>
          <w:rFonts w:eastAsia="Times New Roman" w:cs="Arial"/>
          <w:i/>
          <w:sz w:val="22"/>
          <w:lang w:eastAsia="fr-FR"/>
        </w:rPr>
        <w:t>2009-1218 publié le 12 octobre 2009 a</w:t>
      </w:r>
      <w:r w:rsidR="00A6394C">
        <w:rPr>
          <w:rFonts w:eastAsia="Times New Roman" w:cs="Arial"/>
          <w:i/>
          <w:sz w:val="22"/>
          <w:lang w:eastAsia="fr-FR"/>
        </w:rPr>
        <w:t xml:space="preserve"> </w:t>
      </w:r>
      <w:r w:rsidRPr="002C5E0D">
        <w:rPr>
          <w:rFonts w:eastAsia="Times New Roman" w:cs="Arial"/>
          <w:i/>
          <w:sz w:val="22"/>
          <w:lang w:eastAsia="fr-FR"/>
        </w:rPr>
        <w:t xml:space="preserve">modifié les conditions de rémunération des directeurs généraux des offices publics de l’habitat, en application du code de la construction et de l’habitation, en définissant des modalités particulières quant à leurs missions, leurs responsabilités et aux objectifs à atteindre </w:t>
      </w:r>
      <w:r w:rsidRPr="002C5E0D">
        <w:rPr>
          <w:rFonts w:eastAsia="Times New Roman" w:cs="Arial"/>
          <w:sz w:val="22"/>
          <w:lang w:eastAsia="fr-FR"/>
        </w:rPr>
        <w:t xml:space="preserve">» ; qu’elle donne ainsi l’autorisation à l’ordonnateur de « </w:t>
      </w:r>
      <w:r w:rsidRPr="002C5E0D">
        <w:rPr>
          <w:rFonts w:eastAsia="Times New Roman" w:cs="Arial"/>
          <w:i/>
          <w:sz w:val="22"/>
          <w:lang w:eastAsia="fr-FR"/>
        </w:rPr>
        <w:t>signer l’avenant à intervenir avec le directeur général en fonction des normes rappelées précédemment</w:t>
      </w:r>
      <w:r w:rsidR="00A6394C">
        <w:rPr>
          <w:rFonts w:eastAsia="Times New Roman" w:cs="Arial"/>
          <w:sz w:val="22"/>
          <w:lang w:eastAsia="fr-FR"/>
        </w:rPr>
        <w:t> </w:t>
      </w:r>
      <w:r w:rsidRPr="002C5E0D">
        <w:rPr>
          <w:rFonts w:eastAsia="Times New Roman" w:cs="Arial"/>
          <w:sz w:val="22"/>
          <w:lang w:eastAsia="fr-FR"/>
        </w:rPr>
        <w:t>» ; qu’il ne peut dès lors être contesté qu’elle entend tirer les conséquences sur le contrat de travail de l’ensemble des modifications réglementaires relatives à la rémunération du directeur général, y compris celles qui écartent la possibilité de maintenir des avantages en nature et donc l’indemnité relative au logement de fonction ; que ce premier moyen manque en fait comme en droit</w:t>
      </w:r>
      <w:r w:rsidR="00A6394C">
        <w:rPr>
          <w:rFonts w:eastAsia="Times New Roman" w:cs="Arial"/>
          <w:sz w:val="22"/>
          <w:lang w:eastAsia="fr-FR"/>
        </w:rPr>
        <w:t xml:space="preserve"> </w:t>
      </w:r>
      <w:r w:rsidRPr="002C5E0D">
        <w:rPr>
          <w:rFonts w:eastAsia="Times New Roman" w:cs="Arial"/>
          <w:sz w:val="22"/>
          <w:lang w:eastAsia="fr-FR"/>
        </w:rPr>
        <w:t>et doit être écarté</w:t>
      </w:r>
      <w:r w:rsidR="00A6394C">
        <w:rPr>
          <w:rFonts w:eastAsia="Times New Roman" w:cs="Arial"/>
          <w:sz w:val="22"/>
          <w:lang w:eastAsia="fr-FR"/>
        </w:rPr>
        <w:t> </w:t>
      </w:r>
      <w:r w:rsidRPr="002C5E0D">
        <w:rPr>
          <w:rFonts w:eastAsia="Times New Roman" w:cs="Arial"/>
          <w:sz w:val="22"/>
          <w:lang w:eastAsia="fr-FR"/>
        </w:rPr>
        <w:t>;</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 requérant soutient, en deuxième lieu, que les délibérations successives adoptées par le conseil d’administration et les décisions de l’ordonnateur n’ont jamais remis en cause cet avantage</w:t>
      </w:r>
      <w:r w:rsidR="00A6394C">
        <w:rPr>
          <w:rFonts w:eastAsia="Times New Roman" w:cs="Arial"/>
          <w:sz w:val="22"/>
          <w:lang w:eastAsia="fr-FR"/>
        </w:rPr>
        <w:t xml:space="preserve"> </w:t>
      </w:r>
      <w:r w:rsidRPr="002C5E0D">
        <w:rPr>
          <w:rFonts w:eastAsia="Times New Roman" w:cs="Arial"/>
          <w:sz w:val="22"/>
          <w:lang w:eastAsia="fr-FR"/>
        </w:rPr>
        <w:t>et, en troisième lieu, qu’il n’avait pas à se faire juge de la légalité des pièces qui lui étaient produites</w:t>
      </w:r>
      <w:r w:rsidR="00A6394C">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 requérant a notamment produit une délibération du conseil d’administration du 1</w:t>
      </w:r>
      <w:r w:rsidRPr="002C5E0D">
        <w:rPr>
          <w:rFonts w:eastAsia="Times New Roman" w:cs="Arial"/>
          <w:sz w:val="22"/>
          <w:vertAlign w:val="superscript"/>
          <w:lang w:eastAsia="fr-FR"/>
        </w:rPr>
        <w:t>er</w:t>
      </w:r>
      <w:r w:rsidRPr="002C5E0D">
        <w:rPr>
          <w:rFonts w:eastAsia="Times New Roman" w:cs="Arial"/>
          <w:sz w:val="22"/>
          <w:lang w:eastAsia="fr-FR"/>
        </w:rPr>
        <w:t xml:space="preserve"> juin 2011 qui, si</w:t>
      </w:r>
      <w:r w:rsidR="00A6394C">
        <w:rPr>
          <w:rFonts w:eastAsia="Times New Roman" w:cs="Arial"/>
          <w:sz w:val="22"/>
          <w:lang w:eastAsia="fr-FR"/>
        </w:rPr>
        <w:t xml:space="preserve"> </w:t>
      </w:r>
      <w:r w:rsidRPr="002C5E0D">
        <w:rPr>
          <w:rFonts w:eastAsia="Times New Roman" w:cs="Arial"/>
          <w:sz w:val="22"/>
          <w:lang w:eastAsia="fr-FR"/>
        </w:rPr>
        <w:t>elle n’est pas exempte d’ambiguïtés, avalise néanmoins explicitement l’octroi au directeur général d’une concession de logement par utilité de service, dans les limites et conformément aux dispositions en vigueur, restriction dont il est légitime de penser qu’elle s’applique ici aux dispositions relatives aux concessions de logement ; qu’à compter de l’adoption de cette délibération, le comptable disposait donc d’une décision exécutoire de l’organe délibérant qui pouvait être regardée comme dérogeant expressément au décret précité du 12</w:t>
      </w:r>
      <w:r w:rsidR="00A6394C">
        <w:rPr>
          <w:rFonts w:eastAsia="Times New Roman" w:cs="Arial"/>
          <w:sz w:val="22"/>
          <w:lang w:eastAsia="fr-FR"/>
        </w:rPr>
        <w:t xml:space="preserve"> </w:t>
      </w:r>
      <w:r w:rsidRPr="002C5E0D">
        <w:rPr>
          <w:rFonts w:eastAsia="Times New Roman" w:cs="Arial"/>
          <w:sz w:val="22"/>
          <w:lang w:eastAsia="fr-FR"/>
        </w:rPr>
        <w:t>octobre</w:t>
      </w:r>
      <w:r w:rsidR="00A6394C">
        <w:rPr>
          <w:rFonts w:eastAsia="Times New Roman" w:cs="Arial"/>
          <w:sz w:val="22"/>
          <w:lang w:eastAsia="fr-FR"/>
        </w:rPr>
        <w:t xml:space="preserve"> </w:t>
      </w:r>
      <w:r w:rsidRPr="002C5E0D">
        <w:rPr>
          <w:rFonts w:eastAsia="Times New Roman" w:cs="Arial"/>
          <w:sz w:val="22"/>
          <w:lang w:eastAsia="fr-FR"/>
        </w:rPr>
        <w:t xml:space="preserve">2009 ; que cette décision s’imposait au comptable qui aurait excédé sa compétence s’il en avait discuté la légalité ; que cette décision étant cohérente avec les décisions antérieurement prises par  l’ordonnateur au sujet du contrat de travail du directeur général, il n’existait plus, à compter de cette date, de contradictions entre les pièces justificatives produites au comptable à l’appui des paiements ; que les moyens précités doivent donc être admis ;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l’ensemble des paiements réalisés par M.</w:t>
      </w:r>
      <w:r w:rsid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inclus dans le débet prononcé à son égard au titre de la troisième charge sont postérieurs à l’adoption de ladite délibération puisque le premier d’entre eux concerne le mandat n°</w:t>
      </w:r>
      <w:r w:rsidR="000864AB" w:rsidRPr="002C5E0D">
        <w:rPr>
          <w:rFonts w:eastAsia="Times New Roman" w:cs="Arial"/>
          <w:sz w:val="22"/>
          <w:lang w:eastAsia="fr-FR"/>
        </w:rPr>
        <w:t> </w:t>
      </w:r>
      <w:r w:rsidRPr="002C5E0D">
        <w:rPr>
          <w:rFonts w:eastAsia="Times New Roman" w:cs="Arial"/>
          <w:sz w:val="22"/>
          <w:lang w:eastAsia="fr-FR"/>
        </w:rPr>
        <w:t>1164 du 21</w:t>
      </w:r>
      <w:r w:rsidR="00A6394C">
        <w:rPr>
          <w:rFonts w:eastAsia="Times New Roman" w:cs="Arial"/>
          <w:sz w:val="22"/>
          <w:lang w:eastAsia="fr-FR"/>
        </w:rPr>
        <w:t xml:space="preserve"> </w:t>
      </w:r>
      <w:r w:rsidRPr="002C5E0D">
        <w:rPr>
          <w:rFonts w:eastAsia="Times New Roman" w:cs="Arial"/>
          <w:sz w:val="22"/>
          <w:lang w:eastAsia="fr-FR"/>
        </w:rPr>
        <w:t>juin</w:t>
      </w:r>
      <w:r w:rsidR="00A6394C">
        <w:rPr>
          <w:rFonts w:eastAsia="Times New Roman" w:cs="Arial"/>
          <w:sz w:val="22"/>
          <w:lang w:eastAsia="fr-FR"/>
        </w:rPr>
        <w:t xml:space="preserve"> </w:t>
      </w:r>
      <w:r w:rsidRPr="002C5E0D">
        <w:rPr>
          <w:rFonts w:eastAsia="Times New Roman" w:cs="Arial"/>
          <w:sz w:val="22"/>
          <w:lang w:eastAsia="fr-FR"/>
        </w:rPr>
        <w:t>2011 ; qu’il y aurait lieu dès lors, sans qu’il soit besoin d’examiner les autres moyens, d’infirmer le jugement en ce qu’il a, à tort, engagé la responsabilité personnelle et pécuniaire du comptable</w:t>
      </w:r>
      <w:r w:rsidR="00A6394C">
        <w:rPr>
          <w:rFonts w:eastAsia="Times New Roman" w:cs="Arial"/>
          <w:sz w:val="22"/>
          <w:lang w:eastAsia="fr-FR"/>
        </w:rPr>
        <w:t> </w:t>
      </w:r>
      <w:r w:rsidRPr="002C5E0D">
        <w:rPr>
          <w:rFonts w:eastAsia="Times New Roman" w:cs="Arial"/>
          <w:sz w:val="22"/>
          <w:lang w:eastAsia="fr-FR"/>
        </w:rPr>
        <w:t>;</w:t>
      </w:r>
    </w:p>
    <w:p w:rsidR="00B50421" w:rsidRPr="002C5E0D" w:rsidRDefault="00B50421" w:rsidP="00B50421">
      <w:pPr>
        <w:spacing w:before="240" w:after="240" w:line="240" w:lineRule="auto"/>
        <w:jc w:val="both"/>
        <w:rPr>
          <w:rFonts w:eastAsia="Times New Roman" w:cs="Arial"/>
          <w:i/>
          <w:sz w:val="22"/>
          <w:lang w:eastAsia="fr-FR"/>
        </w:rPr>
      </w:pPr>
      <w:r w:rsidRPr="002C5E0D">
        <w:rPr>
          <w:rFonts w:eastAsia="Times New Roman" w:cs="Arial"/>
          <w:i/>
          <w:sz w:val="22"/>
          <w:lang w:eastAsia="fr-FR"/>
        </w:rPr>
        <w:t>Sur la quatrième charge</w:t>
      </w:r>
    </w:p>
    <w:p w:rsidR="00B50421" w:rsidRPr="002C5E0D" w:rsidRDefault="00B50421" w:rsidP="00B50421">
      <w:pPr>
        <w:spacing w:before="240" w:after="240" w:line="240" w:lineRule="auto"/>
        <w:jc w:val="both"/>
        <w:rPr>
          <w:rFonts w:eastAsia="Times New Roman" w:cs="Arial"/>
          <w:i/>
          <w:sz w:val="22"/>
          <w:lang w:eastAsia="fr-FR"/>
        </w:rPr>
      </w:pPr>
      <w:r w:rsidRPr="002C5E0D">
        <w:rPr>
          <w:rFonts w:eastAsia="Times New Roman" w:cs="Arial"/>
          <w:sz w:val="22"/>
          <w:lang w:eastAsia="fr-FR"/>
        </w:rPr>
        <w:t>Attendu que, par le même jugement, la chambre régionale des comptes a constitué M.</w:t>
      </w:r>
      <w:r w:rsidR="00FF4288" w:rsidRPr="002C5E0D">
        <w:rPr>
          <w:rFonts w:eastAsia="Times New Roman" w:cs="Arial"/>
          <w:sz w:val="22"/>
          <w:lang w:eastAsia="fr-FR"/>
        </w:rPr>
        <w:t> </w:t>
      </w:r>
      <w:r w:rsidR="007A4BDD">
        <w:rPr>
          <w:rFonts w:eastAsia="Times New Roman" w:cs="Arial"/>
          <w:sz w:val="22"/>
          <w:lang w:eastAsia="fr-FR"/>
        </w:rPr>
        <w:t>Y</w:t>
      </w:r>
      <w:r w:rsidRPr="002C5E0D">
        <w:rPr>
          <w:rFonts w:eastAsia="Times New Roman" w:cs="Arial"/>
          <w:sz w:val="22"/>
          <w:lang w:eastAsia="fr-FR"/>
        </w:rPr>
        <w:t xml:space="preserve"> débiteur envers l’office de la somme de 81 208,40</w:t>
      </w:r>
      <w:r w:rsidR="00FF4288" w:rsidRPr="002C5E0D">
        <w:rPr>
          <w:rFonts w:eastAsia="Times New Roman" w:cs="Arial"/>
          <w:sz w:val="22"/>
          <w:lang w:eastAsia="fr-FR"/>
        </w:rPr>
        <w:t> €</w:t>
      </w:r>
      <w:r w:rsidRPr="002C5E0D">
        <w:rPr>
          <w:rFonts w:eastAsia="Times New Roman" w:cs="Arial"/>
          <w:sz w:val="22"/>
          <w:lang w:eastAsia="fr-FR"/>
        </w:rPr>
        <w:t xml:space="preserve"> pour avoir procédé, par le mandat n°</w:t>
      </w:r>
      <w:r w:rsidR="00FF4288" w:rsidRPr="002C5E0D">
        <w:rPr>
          <w:rFonts w:eastAsia="Times New Roman" w:cs="Arial"/>
          <w:sz w:val="22"/>
          <w:lang w:eastAsia="fr-FR"/>
        </w:rPr>
        <w:t> </w:t>
      </w:r>
      <w:r w:rsidRPr="002C5E0D">
        <w:rPr>
          <w:rFonts w:eastAsia="Times New Roman" w:cs="Arial"/>
          <w:sz w:val="22"/>
          <w:lang w:eastAsia="fr-FR"/>
        </w:rPr>
        <w:t>83 du 26 février 2009, au</w:t>
      </w:r>
      <w:r w:rsidR="00A6394C">
        <w:rPr>
          <w:rFonts w:eastAsia="Times New Roman" w:cs="Arial"/>
          <w:sz w:val="22"/>
          <w:lang w:eastAsia="fr-FR"/>
        </w:rPr>
        <w:t xml:space="preserve"> </w:t>
      </w:r>
      <w:r w:rsidRPr="002C5E0D">
        <w:rPr>
          <w:rFonts w:eastAsia="Times New Roman" w:cs="Arial"/>
          <w:sz w:val="22"/>
          <w:lang w:eastAsia="fr-FR"/>
        </w:rPr>
        <w:t>paiement d’une prestation de service en l’absence des pièces justificatives requises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M.</w:t>
      </w:r>
      <w:r w:rsidR="00FF4288" w:rsidRPr="002C5E0D">
        <w:rPr>
          <w:rFonts w:eastAsia="Times New Roman" w:cs="Arial"/>
          <w:sz w:val="22"/>
          <w:lang w:eastAsia="fr-FR"/>
        </w:rPr>
        <w:t> </w:t>
      </w:r>
      <w:r w:rsidR="007A4BDD">
        <w:rPr>
          <w:rFonts w:eastAsia="Times New Roman" w:cs="Arial"/>
          <w:sz w:val="22"/>
          <w:lang w:eastAsia="fr-FR"/>
        </w:rPr>
        <w:t>Y</w:t>
      </w:r>
      <w:r w:rsidRPr="002C5E0D">
        <w:rPr>
          <w:rFonts w:eastAsia="Times New Roman" w:cs="Arial"/>
          <w:sz w:val="22"/>
          <w:lang w:eastAsia="fr-FR"/>
        </w:rPr>
        <w:t xml:space="preserve"> ne conteste pas l’existence d’un manquement, mais demande à la Cour d’infirmer le jugement car il estime que ce manquement n’a pas causé de préjudice financier à l’établissement</w:t>
      </w:r>
      <w:r w:rsidR="00A6394C">
        <w:rPr>
          <w:rFonts w:eastAsia="Times New Roman" w:cs="Arial"/>
          <w:sz w:val="22"/>
          <w:lang w:eastAsia="fr-FR"/>
        </w:rPr>
        <w:t xml:space="preserve"> </w:t>
      </w:r>
      <w:r w:rsidRPr="002C5E0D">
        <w:rPr>
          <w:rFonts w:eastAsia="Times New Roman" w:cs="Arial"/>
          <w:sz w:val="22"/>
          <w:lang w:eastAsia="fr-FR"/>
        </w:rPr>
        <w:t xml:space="preserve">dès lors que, selon lui, l’instruction n’a pas permis d’établir la preuve dudit préjudice ; qu’il conteste notamment les termes du jugement selon lesquels le préjudice résulterait de ce que « l’absence de mise en concurrence n’a pas permis à l’établissement de négocier le meilleur prix » ; qu’en conséquence, il demande à la Cour de fixer </w:t>
      </w:r>
      <w:r w:rsidRPr="00A6394C">
        <w:rPr>
          <w:rFonts w:eastAsia="Times New Roman" w:cs="Arial"/>
          <w:i/>
          <w:sz w:val="22"/>
          <w:lang w:eastAsia="fr-FR"/>
        </w:rPr>
        <w:t>a minima</w:t>
      </w:r>
      <w:r w:rsidRPr="002C5E0D">
        <w:rPr>
          <w:rFonts w:eastAsia="Times New Roman" w:cs="Arial"/>
          <w:sz w:val="22"/>
          <w:lang w:eastAsia="fr-FR"/>
        </w:rPr>
        <w:t xml:space="preserve"> la somme laissée à sa charge, compte tenu des circonstances de l’espèce ;</w:t>
      </w:r>
    </w:p>
    <w:p w:rsidR="003C2ECA" w:rsidRDefault="003C2ECA">
      <w:pPr>
        <w:spacing w:line="240" w:lineRule="auto"/>
        <w:rPr>
          <w:rFonts w:eastAsia="Times New Roman" w:cs="Arial"/>
          <w:sz w:val="22"/>
          <w:lang w:eastAsia="fr-FR"/>
        </w:rPr>
      </w:pPr>
      <w:r>
        <w:rPr>
          <w:rFonts w:eastAsia="Times New Roman" w:cs="Arial"/>
          <w:sz w:val="22"/>
          <w:lang w:eastAsia="fr-FR"/>
        </w:rPr>
        <w:br w:type="page"/>
      </w:r>
    </w:p>
    <w:p w:rsidR="003C2ECA" w:rsidRDefault="003C2ECA" w:rsidP="00B50421">
      <w:pPr>
        <w:spacing w:before="240" w:after="240" w:line="240" w:lineRule="auto"/>
        <w:jc w:val="both"/>
        <w:rPr>
          <w:rFonts w:eastAsia="Times New Roman" w:cs="Arial"/>
          <w:sz w:val="22"/>
          <w:lang w:eastAsia="fr-FR"/>
        </w:rPr>
      </w:pP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 xml:space="preserve">Attendu que l’article 60 de la loi de finances susvisée du 23 février 1963 modifiée subordonne désormais la mise en débet du comptable public au fait que le manquement à ses obligations relevé par le juge ait directement entraîné un préjudice financier pour l’organisme public concerné ; qu’aucune pièce versée au dossier ne permet d’établir que la collectivité aurait obtenu un meilleur prix en respectant les formes prescrites par le code des marchés publics ; qu’en fondant son appréciation sur ce seul critère, la chambre régionale des comptes n’a pas établi avec certitude que le manquement du comptable à ses </w:t>
      </w:r>
      <w:proofErr w:type="gramStart"/>
      <w:r w:rsidRPr="002C5E0D">
        <w:rPr>
          <w:rFonts w:eastAsia="Times New Roman" w:cs="Arial"/>
          <w:sz w:val="22"/>
          <w:lang w:eastAsia="fr-FR"/>
        </w:rPr>
        <w:t>obligations</w:t>
      </w:r>
      <w:proofErr w:type="gramEnd"/>
      <w:r w:rsidRPr="002C5E0D">
        <w:rPr>
          <w:rFonts w:eastAsia="Times New Roman" w:cs="Arial"/>
          <w:sz w:val="22"/>
          <w:lang w:eastAsia="fr-FR"/>
        </w:rPr>
        <w:t xml:space="preserve"> constituait la cause directe d’un préjudice financier pour l'office ; qu’il y a donc lieu d’accueillir le moyen soulevé par le requérant et d’infirmer le jugement de la chambre régionale sur ce point ;</w:t>
      </w:r>
    </w:p>
    <w:p w:rsidR="00B50421" w:rsidRPr="002C5E0D" w:rsidRDefault="00B50421" w:rsidP="00B50421">
      <w:pPr>
        <w:spacing w:before="240" w:after="240" w:line="240" w:lineRule="auto"/>
        <w:jc w:val="both"/>
        <w:rPr>
          <w:rFonts w:eastAsia="Times New Roman" w:cs="Arial"/>
          <w:i/>
          <w:sz w:val="22"/>
          <w:lang w:eastAsia="fr-FR"/>
        </w:rPr>
      </w:pPr>
      <w:r w:rsidRPr="002C5E0D">
        <w:rPr>
          <w:rFonts w:eastAsia="Times New Roman" w:cs="Arial"/>
          <w:i/>
          <w:sz w:val="22"/>
          <w:lang w:eastAsia="fr-FR"/>
        </w:rPr>
        <w:t>Sur la fixation de la somme irrémissible</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qu’il résulte de l’article 60 précité de la loi du 23 février 1963 modifiée et du décret du 10 décembre 2012 susvisé que lorsque le manquement du comptable à ses obligations n’a pas causé de préjudice financier à l’organisme public concerné, le juge peut mettre à sa charge, pour chaque exercice, en tenant compte des circonstances de l'espèce, une somme irrémissible n’excédant pas 1,5</w:t>
      </w:r>
      <w:r w:rsidR="002C5E0D">
        <w:rPr>
          <w:rFonts w:eastAsia="Times New Roman" w:cs="Arial"/>
          <w:sz w:val="22"/>
          <w:lang w:eastAsia="fr-FR"/>
        </w:rPr>
        <w:t> </w:t>
      </w:r>
      <w:r w:rsidRPr="002C5E0D">
        <w:rPr>
          <w:rFonts w:eastAsia="Times New Roman" w:cs="Arial"/>
          <w:sz w:val="22"/>
          <w:lang w:eastAsia="fr-FR"/>
        </w:rPr>
        <w:t>‰ du montant du cautionnement prévu pour le poste comptable, soit en l’espèce 340,50</w:t>
      </w:r>
      <w:r w:rsidR="00582514" w:rsidRPr="002C5E0D">
        <w:rPr>
          <w:rFonts w:eastAsia="Times New Roman" w:cs="Arial"/>
          <w:sz w:val="22"/>
          <w:lang w:eastAsia="fr-FR"/>
        </w:rPr>
        <w:t> </w:t>
      </w:r>
      <w:r w:rsidRPr="002C5E0D">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que le requérant demande à la Cour de fixer a minima cette somme ; qu’au soutien de cette demande, il</w:t>
      </w:r>
      <w:r w:rsidR="00A6394C">
        <w:rPr>
          <w:rFonts w:eastAsia="Times New Roman" w:cs="Arial"/>
          <w:sz w:val="22"/>
          <w:lang w:eastAsia="fr-FR"/>
        </w:rPr>
        <w:t xml:space="preserve"> </w:t>
      </w:r>
      <w:r w:rsidRPr="002C5E0D">
        <w:rPr>
          <w:rFonts w:eastAsia="Times New Roman" w:cs="Arial"/>
          <w:sz w:val="22"/>
          <w:lang w:eastAsia="fr-FR"/>
        </w:rPr>
        <w:t>invoque la décision du Conseil d’Etat du 8 février 2012, «</w:t>
      </w:r>
      <w:r w:rsidR="00A6394C">
        <w:rPr>
          <w:rFonts w:eastAsia="Times New Roman" w:cs="Arial"/>
          <w:sz w:val="22"/>
          <w:lang w:eastAsia="fr-FR"/>
        </w:rPr>
        <w:t> </w:t>
      </w:r>
      <w:r w:rsidRPr="002C5E0D">
        <w:rPr>
          <w:rFonts w:eastAsia="Times New Roman" w:cs="Arial"/>
          <w:sz w:val="22"/>
          <w:lang w:eastAsia="fr-FR"/>
        </w:rPr>
        <w:t xml:space="preserve">Centre communal d’action sociale de </w:t>
      </w:r>
      <w:proofErr w:type="spellStart"/>
      <w:r w:rsidRPr="002C5E0D">
        <w:rPr>
          <w:rFonts w:eastAsia="Times New Roman" w:cs="Arial"/>
          <w:sz w:val="22"/>
          <w:lang w:eastAsia="fr-FR"/>
        </w:rPr>
        <w:t>Polaincourt</w:t>
      </w:r>
      <w:proofErr w:type="spellEnd"/>
      <w:r w:rsidR="003C2ECA">
        <w:rPr>
          <w:rFonts w:eastAsia="Times New Roman" w:cs="Arial"/>
          <w:sz w:val="22"/>
          <w:lang w:eastAsia="fr-FR"/>
        </w:rPr>
        <w:t> </w:t>
      </w:r>
      <w:r w:rsidRPr="002C5E0D">
        <w:rPr>
          <w:rFonts w:eastAsia="Times New Roman" w:cs="Arial"/>
          <w:sz w:val="22"/>
          <w:lang w:eastAsia="fr-FR"/>
        </w:rPr>
        <w:t>», qui a dissipé des incertitudes existant au sujet  des justifications que le comptable d’un établissement public local doit exiger en matière de marchés publics à procédure adaptée, décision diffusée au réseau des comptables publics du Trésor par l’instruction n°</w:t>
      </w:r>
      <w:r w:rsidR="00FF4288" w:rsidRPr="002C5E0D">
        <w:rPr>
          <w:rFonts w:eastAsia="Times New Roman" w:cs="Arial"/>
          <w:sz w:val="22"/>
          <w:lang w:eastAsia="fr-FR"/>
        </w:rPr>
        <w:t> </w:t>
      </w:r>
      <w:r w:rsidRPr="002C5E0D">
        <w:rPr>
          <w:rFonts w:eastAsia="Times New Roman" w:cs="Arial"/>
          <w:sz w:val="22"/>
          <w:lang w:eastAsia="fr-FR"/>
        </w:rPr>
        <w:t>12-011-M0 du 30 mai 2012 ; que l’incertitude qui prévalait au moment du paiement peut être retenue comme une circonstance atténuante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Attendu par ailleurs que si le manquement relevé est isolé, il porte néanmoins sur un paiement d’un montant significatif puisque supérieur à 80</w:t>
      </w:r>
      <w:r w:rsidR="00582514" w:rsidRPr="002C5E0D">
        <w:rPr>
          <w:rFonts w:eastAsia="Times New Roman" w:cs="Arial"/>
          <w:sz w:val="22"/>
          <w:lang w:eastAsia="fr-FR"/>
        </w:rPr>
        <w:t> </w:t>
      </w:r>
      <w:r w:rsidRPr="002C5E0D">
        <w:rPr>
          <w:rFonts w:eastAsia="Times New Roman" w:cs="Arial"/>
          <w:sz w:val="22"/>
          <w:lang w:eastAsia="fr-FR"/>
        </w:rPr>
        <w:t>000</w:t>
      </w:r>
      <w:r w:rsidR="00582514" w:rsidRPr="002C5E0D">
        <w:rPr>
          <w:rFonts w:eastAsia="Times New Roman" w:cs="Arial"/>
          <w:sz w:val="22"/>
          <w:lang w:eastAsia="fr-FR"/>
        </w:rPr>
        <w:t> </w:t>
      </w:r>
      <w:r w:rsidR="00FF4288" w:rsidRPr="002C5E0D">
        <w:rPr>
          <w:rFonts w:eastAsia="Times New Roman" w:cs="Arial"/>
          <w:sz w:val="22"/>
          <w:lang w:eastAsia="fr-FR"/>
        </w:rPr>
        <w:t>€</w:t>
      </w:r>
      <w:r w:rsidRPr="002C5E0D">
        <w:rPr>
          <w:rFonts w:eastAsia="Times New Roman" w:cs="Arial"/>
          <w:sz w:val="22"/>
          <w:lang w:eastAsia="fr-FR"/>
        </w:rPr>
        <w:t>, qui aurait appelé une vigilance particulière de la part du comptable ; qu’il</w:t>
      </w:r>
      <w:r w:rsidR="003C2ECA">
        <w:rPr>
          <w:rFonts w:eastAsia="Times New Roman" w:cs="Arial"/>
          <w:sz w:val="22"/>
          <w:lang w:eastAsia="fr-FR"/>
        </w:rPr>
        <w:t xml:space="preserve"> </w:t>
      </w:r>
      <w:r w:rsidRPr="002C5E0D">
        <w:rPr>
          <w:rFonts w:eastAsia="Times New Roman" w:cs="Arial"/>
          <w:sz w:val="22"/>
          <w:lang w:eastAsia="fr-FR"/>
        </w:rPr>
        <w:t>sera donc fait une juste appréciation de l’ensemble des circonstances de l’espèce, en fixant la somme irrémissible mise à la charge de M.</w:t>
      </w:r>
      <w:r w:rsidR="00FF4288" w:rsidRPr="002C5E0D">
        <w:rPr>
          <w:rFonts w:eastAsia="Times New Roman" w:cs="Arial"/>
          <w:sz w:val="22"/>
          <w:lang w:eastAsia="fr-FR"/>
        </w:rPr>
        <w:t> </w:t>
      </w:r>
      <w:r w:rsidR="007A4BDD">
        <w:rPr>
          <w:rFonts w:eastAsia="Times New Roman" w:cs="Arial"/>
          <w:sz w:val="22"/>
          <w:lang w:eastAsia="fr-FR"/>
        </w:rPr>
        <w:t>Y</w:t>
      </w:r>
      <w:r w:rsidRPr="002C5E0D">
        <w:rPr>
          <w:rFonts w:eastAsia="Times New Roman" w:cs="Arial"/>
          <w:sz w:val="22"/>
          <w:lang w:eastAsia="fr-FR"/>
        </w:rPr>
        <w:t xml:space="preserve"> à 200</w:t>
      </w:r>
      <w:r w:rsidR="00582514" w:rsidRPr="002C5E0D">
        <w:rPr>
          <w:rFonts w:eastAsia="Times New Roman" w:cs="Arial"/>
          <w:sz w:val="22"/>
          <w:lang w:eastAsia="fr-FR"/>
        </w:rPr>
        <w:t> </w:t>
      </w:r>
      <w:r w:rsidRPr="002C5E0D">
        <w:rPr>
          <w:rFonts w:eastAsia="Times New Roman" w:cs="Arial"/>
          <w:sz w:val="22"/>
          <w:lang w:eastAsia="fr-FR"/>
        </w:rPr>
        <w:t>€</w:t>
      </w:r>
      <w:r w:rsidR="003C2ECA">
        <w:rPr>
          <w:rFonts w:eastAsia="Times New Roman" w:cs="Arial"/>
          <w:sz w:val="22"/>
          <w:lang w:eastAsia="fr-FR"/>
        </w:rPr>
        <w:t> </w:t>
      </w:r>
      <w:r w:rsidRPr="002C5E0D">
        <w:rPr>
          <w:rFonts w:eastAsia="Times New Roman" w:cs="Arial"/>
          <w:sz w:val="22"/>
          <w:lang w:eastAsia="fr-FR"/>
        </w:rPr>
        <w:t>;</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sz w:val="22"/>
          <w:lang w:eastAsia="fr-FR"/>
        </w:rPr>
        <w:t>Par ces motifs,</w:t>
      </w:r>
    </w:p>
    <w:p w:rsidR="00B50421" w:rsidRPr="002C5E0D" w:rsidRDefault="00B50421" w:rsidP="00B50421">
      <w:pPr>
        <w:spacing w:before="240" w:after="240" w:line="240" w:lineRule="auto"/>
        <w:jc w:val="center"/>
        <w:rPr>
          <w:rFonts w:eastAsia="Times New Roman" w:cs="Arial"/>
          <w:sz w:val="22"/>
          <w:lang w:eastAsia="fr-FR"/>
        </w:rPr>
      </w:pPr>
      <w:r w:rsidRPr="002C5E0D">
        <w:rPr>
          <w:rFonts w:eastAsia="Times New Roman" w:cs="Arial"/>
          <w:b/>
          <w:sz w:val="22"/>
          <w:lang w:eastAsia="fr-FR"/>
        </w:rPr>
        <w:t>DECIDE</w:t>
      </w:r>
      <w:r w:rsidRPr="002C5E0D">
        <w:rPr>
          <w:rFonts w:eastAsia="Times New Roman" w:cs="Arial"/>
          <w:sz w:val="22"/>
          <w:lang w:eastAsia="fr-FR"/>
        </w:rPr>
        <w:t>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b/>
          <w:sz w:val="22"/>
          <w:lang w:eastAsia="fr-FR"/>
        </w:rPr>
        <w:t>Article 1</w:t>
      </w:r>
      <w:r w:rsidRPr="002C5E0D">
        <w:rPr>
          <w:rFonts w:eastAsia="Times New Roman" w:cs="Arial"/>
          <w:b/>
          <w:sz w:val="22"/>
          <w:vertAlign w:val="superscript"/>
          <w:lang w:eastAsia="fr-FR"/>
        </w:rPr>
        <w:t>er</w:t>
      </w:r>
      <w:r w:rsidRPr="002C5E0D">
        <w:rPr>
          <w:rFonts w:eastAsia="Times New Roman" w:cs="Arial"/>
          <w:b/>
          <w:sz w:val="22"/>
          <w:lang w:eastAsia="fr-FR"/>
        </w:rPr>
        <w:t xml:space="preserve"> –</w:t>
      </w:r>
      <w:r w:rsidRPr="002C5E0D">
        <w:rPr>
          <w:rFonts w:eastAsia="Times New Roman" w:cs="Arial"/>
          <w:sz w:val="22"/>
          <w:lang w:eastAsia="fr-FR"/>
        </w:rPr>
        <w:t xml:space="preserve"> Le jugement n°</w:t>
      </w:r>
      <w:r w:rsidR="00FF4288" w:rsidRPr="002C5E0D">
        <w:rPr>
          <w:rFonts w:eastAsia="Times New Roman" w:cs="Arial"/>
          <w:sz w:val="22"/>
          <w:lang w:eastAsia="fr-FR"/>
        </w:rPr>
        <w:t> </w:t>
      </w:r>
      <w:r w:rsidRPr="002C5E0D">
        <w:rPr>
          <w:rFonts w:eastAsia="Times New Roman" w:cs="Arial"/>
          <w:sz w:val="22"/>
          <w:lang w:eastAsia="fr-FR"/>
        </w:rPr>
        <w:t>2014-0036 du 28 août 2014 de la chambre régionale des comptes de Nord-Pas-de-Calais, Picardie est infirmé en ce qu’il a, à tort, engagé la responsabilité personnelle et pécuniaire</w:t>
      </w:r>
      <w:r w:rsidR="002C5E0D">
        <w:rPr>
          <w:rFonts w:eastAsia="Times New Roman" w:cs="Arial"/>
          <w:sz w:val="22"/>
          <w:lang w:eastAsia="fr-FR"/>
        </w:rPr>
        <w:t xml:space="preserve"> </w:t>
      </w:r>
      <w:r w:rsidRPr="002C5E0D">
        <w:rPr>
          <w:rFonts w:eastAsia="Times New Roman" w:cs="Arial"/>
          <w:sz w:val="22"/>
          <w:lang w:eastAsia="fr-FR"/>
        </w:rPr>
        <w:t>de M.</w:t>
      </w:r>
      <w:r w:rsidR="00FF4288" w:rsidRPr="002C5E0D">
        <w:rPr>
          <w:rFonts w:eastAsia="Times New Roman" w:cs="Arial"/>
          <w:sz w:val="22"/>
          <w:lang w:eastAsia="fr-FR"/>
        </w:rPr>
        <w:t> </w:t>
      </w:r>
      <w:r w:rsidR="007A4BDD">
        <w:rPr>
          <w:rFonts w:eastAsia="Times New Roman" w:cs="Arial"/>
          <w:sz w:val="22"/>
          <w:lang w:eastAsia="fr-FR"/>
        </w:rPr>
        <w:t>X</w:t>
      </w:r>
      <w:r w:rsidRPr="002C5E0D">
        <w:rPr>
          <w:rFonts w:eastAsia="Times New Roman" w:cs="Arial"/>
          <w:sz w:val="22"/>
          <w:lang w:eastAsia="fr-FR"/>
        </w:rPr>
        <w:t xml:space="preserve"> au titre de la troisième charge.</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b/>
          <w:sz w:val="22"/>
          <w:lang w:eastAsia="fr-FR"/>
        </w:rPr>
        <w:t>Article 2 – </w:t>
      </w:r>
      <w:r w:rsidRPr="002C5E0D">
        <w:rPr>
          <w:rFonts w:eastAsia="Times New Roman" w:cs="Arial"/>
          <w:sz w:val="22"/>
          <w:lang w:eastAsia="fr-FR"/>
        </w:rPr>
        <w:t>Le débet prononcé par ce même jugement à l’égard de M.</w:t>
      </w:r>
      <w:r w:rsidR="002C5E0D">
        <w:rPr>
          <w:rFonts w:eastAsia="Times New Roman" w:cs="Arial"/>
          <w:sz w:val="22"/>
          <w:lang w:eastAsia="fr-FR"/>
        </w:rPr>
        <w:t> </w:t>
      </w:r>
      <w:r w:rsidR="007A4BDD">
        <w:rPr>
          <w:rFonts w:eastAsia="Times New Roman" w:cs="Arial"/>
          <w:sz w:val="22"/>
          <w:lang w:eastAsia="fr-FR"/>
        </w:rPr>
        <w:t>Y</w:t>
      </w:r>
      <w:r w:rsidRPr="002C5E0D">
        <w:rPr>
          <w:rFonts w:eastAsia="Times New Roman" w:cs="Arial"/>
          <w:sz w:val="22"/>
          <w:lang w:eastAsia="fr-FR"/>
        </w:rPr>
        <w:t xml:space="preserve"> au titre de la quatrième charge est infirmé. </w:t>
      </w:r>
    </w:p>
    <w:p w:rsidR="00B50421" w:rsidRPr="002C5E0D" w:rsidRDefault="00B50421" w:rsidP="00B50421">
      <w:pPr>
        <w:spacing w:before="240" w:after="240" w:line="240" w:lineRule="auto"/>
        <w:jc w:val="both"/>
        <w:rPr>
          <w:rFonts w:eastAsia="Times New Roman" w:cs="Arial"/>
          <w:sz w:val="22"/>
          <w:lang w:eastAsia="fr-FR"/>
        </w:rPr>
      </w:pPr>
      <w:r w:rsidRPr="002C5E0D">
        <w:rPr>
          <w:rFonts w:eastAsia="Times New Roman" w:cs="Arial"/>
          <w:b/>
          <w:sz w:val="22"/>
          <w:lang w:eastAsia="fr-FR"/>
        </w:rPr>
        <w:t>Article 3 -</w:t>
      </w:r>
      <w:r w:rsidRPr="002C5E0D">
        <w:rPr>
          <w:rFonts w:eastAsia="Times New Roman" w:cs="Arial"/>
          <w:sz w:val="22"/>
          <w:lang w:eastAsia="fr-FR"/>
        </w:rPr>
        <w:t xml:space="preserve"> Il est mis à la charge de </w:t>
      </w:r>
      <w:r w:rsidR="007A4BDD">
        <w:rPr>
          <w:rFonts w:eastAsia="Times New Roman" w:cs="Arial"/>
          <w:sz w:val="22"/>
          <w:lang w:eastAsia="fr-FR"/>
        </w:rPr>
        <w:t>M. Y</w:t>
      </w:r>
      <w:r w:rsidRPr="002C5E0D">
        <w:rPr>
          <w:rFonts w:eastAsia="Times New Roman" w:cs="Arial"/>
          <w:sz w:val="22"/>
          <w:lang w:eastAsia="fr-FR"/>
        </w:rPr>
        <w:t xml:space="preserve"> une somme irrémissible de 200</w:t>
      </w:r>
      <w:r w:rsidR="002C5E0D">
        <w:rPr>
          <w:rFonts w:eastAsia="Times New Roman" w:cs="Arial"/>
          <w:sz w:val="22"/>
          <w:lang w:eastAsia="fr-FR"/>
        </w:rPr>
        <w:t> </w:t>
      </w:r>
      <w:r w:rsidR="00FF4288" w:rsidRPr="002C5E0D">
        <w:rPr>
          <w:rFonts w:eastAsia="Times New Roman" w:cs="Arial"/>
          <w:sz w:val="22"/>
          <w:lang w:eastAsia="fr-FR"/>
        </w:rPr>
        <w:t>€</w:t>
      </w:r>
      <w:r w:rsidRPr="002C5E0D">
        <w:rPr>
          <w:rFonts w:eastAsia="Times New Roman" w:cs="Arial"/>
          <w:sz w:val="22"/>
          <w:lang w:eastAsia="fr-FR"/>
        </w:rPr>
        <w:t xml:space="preserve"> au titre de ladite quatrième charge.</w:t>
      </w:r>
    </w:p>
    <w:p w:rsidR="00C744AF" w:rsidRPr="002C5E0D" w:rsidRDefault="00BA4F93" w:rsidP="00C744AF">
      <w:pPr>
        <w:tabs>
          <w:tab w:val="center" w:pos="5245"/>
        </w:tabs>
        <w:spacing w:before="120" w:after="360" w:line="240" w:lineRule="auto"/>
        <w:jc w:val="center"/>
        <w:rPr>
          <w:rFonts w:eastAsia="Times New Roman" w:cs="Arial"/>
          <w:sz w:val="22"/>
          <w:lang w:eastAsia="fr-FR"/>
        </w:rPr>
      </w:pPr>
      <w:r w:rsidRPr="002C5E0D">
        <w:rPr>
          <w:rFonts w:eastAsia="Times New Roman" w:cs="Arial"/>
          <w:sz w:val="22"/>
          <w:lang w:eastAsia="fr-FR"/>
        </w:rPr>
        <w:t>------------</w:t>
      </w:r>
    </w:p>
    <w:p w:rsidR="003C2ECA" w:rsidRDefault="003C2ECA">
      <w:pPr>
        <w:spacing w:line="240" w:lineRule="auto"/>
        <w:rPr>
          <w:rFonts w:eastAsia="Times New Roman" w:cs="Arial"/>
          <w:sz w:val="22"/>
          <w:lang w:eastAsia="fr-FR"/>
        </w:rPr>
      </w:pPr>
      <w:r>
        <w:rPr>
          <w:rFonts w:eastAsia="Times New Roman" w:cs="Arial"/>
          <w:sz w:val="22"/>
          <w:lang w:eastAsia="fr-FR"/>
        </w:rPr>
        <w:br w:type="page"/>
      </w:r>
    </w:p>
    <w:p w:rsidR="003C2ECA" w:rsidRDefault="003C2ECA" w:rsidP="00540E1A">
      <w:pPr>
        <w:spacing w:before="120" w:after="360" w:line="240" w:lineRule="auto"/>
        <w:jc w:val="both"/>
        <w:rPr>
          <w:rFonts w:eastAsia="Times New Roman" w:cs="Arial"/>
          <w:sz w:val="22"/>
          <w:lang w:eastAsia="fr-FR"/>
        </w:rPr>
      </w:pPr>
    </w:p>
    <w:p w:rsidR="00540E1A" w:rsidRPr="002C5E0D" w:rsidRDefault="00BA4F93" w:rsidP="00540E1A">
      <w:pPr>
        <w:spacing w:before="120" w:after="360" w:line="240" w:lineRule="auto"/>
        <w:jc w:val="both"/>
        <w:rPr>
          <w:rFonts w:eastAsia="Times New Roman" w:cs="Arial"/>
          <w:sz w:val="22"/>
          <w:lang w:eastAsia="fr-FR"/>
        </w:rPr>
      </w:pPr>
      <w:bookmarkStart w:id="0" w:name="_GoBack"/>
      <w:bookmarkEnd w:id="0"/>
      <w:r w:rsidRPr="002C5E0D">
        <w:rPr>
          <w:rFonts w:eastAsia="Times New Roman" w:cs="Arial"/>
          <w:sz w:val="22"/>
          <w:lang w:eastAsia="fr-FR"/>
        </w:rPr>
        <w:t>Fait et jugé en la Cour des comptes, quatrième chambre, première section. Présents :</w:t>
      </w:r>
      <w:r w:rsidR="002C5E0D">
        <w:rPr>
          <w:rFonts w:eastAsia="Times New Roman" w:cs="Arial"/>
          <w:sz w:val="22"/>
          <w:lang w:eastAsia="fr-FR"/>
        </w:rPr>
        <w:t> </w:t>
      </w:r>
      <w:r w:rsidRPr="002C5E0D">
        <w:rPr>
          <w:rFonts w:eastAsia="Times New Roman" w:cs="Arial"/>
          <w:sz w:val="22"/>
          <w:lang w:eastAsia="fr-FR"/>
        </w:rPr>
        <w:t>M. Yves ROLLAND, président de section,</w:t>
      </w:r>
      <w:r w:rsidR="004F1FE5" w:rsidRPr="002C5E0D">
        <w:rPr>
          <w:rFonts w:eastAsia="Times New Roman" w:cs="Arial"/>
          <w:sz w:val="22"/>
          <w:lang w:eastAsia="fr-FR"/>
        </w:rPr>
        <w:t xml:space="preserve"> </w:t>
      </w:r>
      <w:r w:rsidR="00F87D7D" w:rsidRPr="002C5E0D">
        <w:rPr>
          <w:rFonts w:eastAsia="Times New Roman" w:cs="Arial"/>
          <w:sz w:val="22"/>
          <w:lang w:eastAsia="fr-FR"/>
        </w:rPr>
        <w:t>p</w:t>
      </w:r>
      <w:r w:rsidR="004F1FE5" w:rsidRPr="002C5E0D">
        <w:rPr>
          <w:rFonts w:eastAsia="Times New Roman" w:cs="Arial"/>
          <w:sz w:val="22"/>
          <w:lang w:eastAsia="fr-FR"/>
        </w:rPr>
        <w:t xml:space="preserve">résident de séance, </w:t>
      </w:r>
      <w:r w:rsidR="002C5E0D">
        <w:rPr>
          <w:rFonts w:eastAsia="Times New Roman" w:cs="Arial"/>
          <w:sz w:val="22"/>
          <w:lang w:eastAsia="fr-FR"/>
        </w:rPr>
        <w:br/>
      </w:r>
      <w:r w:rsidRPr="002C5E0D">
        <w:rPr>
          <w:rFonts w:eastAsia="Times New Roman" w:cs="Arial"/>
          <w:sz w:val="22"/>
          <w:lang w:eastAsia="fr-FR"/>
        </w:rPr>
        <w:t>M</w:t>
      </w:r>
      <w:r w:rsidRPr="003C2ECA">
        <w:rPr>
          <w:rFonts w:eastAsia="Times New Roman" w:cs="Arial"/>
          <w:sz w:val="22"/>
          <w:vertAlign w:val="superscript"/>
          <w:lang w:eastAsia="fr-FR"/>
        </w:rPr>
        <w:t>me</w:t>
      </w:r>
      <w:r w:rsidRPr="002C5E0D">
        <w:rPr>
          <w:rFonts w:eastAsia="Times New Roman" w:cs="Arial"/>
          <w:sz w:val="22"/>
          <w:lang w:eastAsia="fr-FR"/>
        </w:rPr>
        <w:t xml:space="preserve"> Anne FROMENT-MEURICE, présidente de chambre maintenue en activité, MM. Gérard GANSER, Jean-Pierre LAFAURE, Jean-Yves BERTUCCI, conseillers maîtres, </w:t>
      </w:r>
      <w:r w:rsidR="00D2306C">
        <w:rPr>
          <w:rFonts w:eastAsia="Times New Roman" w:cs="Arial"/>
          <w:sz w:val="22"/>
          <w:lang w:eastAsia="fr-FR"/>
        </w:rPr>
        <w:t xml:space="preserve">et </w:t>
      </w:r>
      <w:r w:rsidR="003C2ECA" w:rsidRPr="003C2ECA">
        <w:rPr>
          <w:rFonts w:eastAsia="Times New Roman" w:cs="Arial"/>
          <w:sz w:val="22"/>
          <w:lang w:eastAsia="fr-FR"/>
        </w:rPr>
        <w:t>M</w:t>
      </w:r>
      <w:r w:rsidR="003C2ECA" w:rsidRPr="003C2ECA">
        <w:rPr>
          <w:rFonts w:eastAsia="Times New Roman" w:cs="Arial"/>
          <w:sz w:val="22"/>
          <w:vertAlign w:val="superscript"/>
          <w:lang w:eastAsia="fr-FR"/>
        </w:rPr>
        <w:t>me</w:t>
      </w:r>
      <w:r w:rsidR="00342577" w:rsidRPr="002C5E0D">
        <w:rPr>
          <w:rFonts w:eastAsia="Times New Roman" w:cs="Arial"/>
          <w:sz w:val="22"/>
          <w:lang w:eastAsia="fr-FR"/>
        </w:rPr>
        <w:t> </w:t>
      </w:r>
      <w:r w:rsidR="004326DB" w:rsidRPr="002C5E0D">
        <w:rPr>
          <w:rFonts w:eastAsia="Times New Roman" w:cs="Arial"/>
          <w:sz w:val="22"/>
          <w:lang w:eastAsia="fr-FR"/>
        </w:rPr>
        <w:t xml:space="preserve">Isabelle </w:t>
      </w:r>
      <w:r w:rsidR="00F40EDA" w:rsidRPr="002C5E0D">
        <w:rPr>
          <w:rFonts w:eastAsia="Times New Roman" w:cs="Arial"/>
          <w:sz w:val="22"/>
          <w:lang w:eastAsia="fr-FR"/>
        </w:rPr>
        <w:t xml:space="preserve">LATOURNARIE-WILLLEMS, </w:t>
      </w:r>
      <w:r w:rsidRPr="002C5E0D">
        <w:rPr>
          <w:rFonts w:eastAsia="Times New Roman" w:cs="Arial"/>
          <w:sz w:val="22"/>
          <w:lang w:eastAsia="fr-FR"/>
        </w:rPr>
        <w:t>conseillère maître.</w:t>
      </w:r>
    </w:p>
    <w:p w:rsidR="00C744AF" w:rsidRPr="002C5E0D" w:rsidRDefault="00BA4F93" w:rsidP="00C744AF">
      <w:pPr>
        <w:tabs>
          <w:tab w:val="center" w:pos="4536"/>
          <w:tab w:val="right" w:pos="9072"/>
        </w:tabs>
        <w:spacing w:before="120" w:after="360" w:line="240" w:lineRule="auto"/>
        <w:jc w:val="both"/>
        <w:rPr>
          <w:rFonts w:eastAsia="Times New Roman" w:cs="Arial"/>
          <w:sz w:val="22"/>
          <w:lang w:eastAsia="fr-FR"/>
        </w:rPr>
      </w:pPr>
      <w:r w:rsidRPr="002C5E0D">
        <w:rPr>
          <w:rFonts w:eastAsia="Times New Roman" w:cs="Arial"/>
          <w:sz w:val="22"/>
          <w:lang w:eastAsia="fr-FR"/>
        </w:rPr>
        <w:t>En présence d</w:t>
      </w:r>
      <w:r w:rsidR="00F40EDA" w:rsidRPr="002C5E0D">
        <w:rPr>
          <w:rFonts w:eastAsia="Times New Roman" w:cs="Arial"/>
          <w:sz w:val="22"/>
          <w:lang w:eastAsia="fr-FR"/>
        </w:rPr>
        <w:t xml:space="preserve">e </w:t>
      </w:r>
      <w:r w:rsidR="003C2ECA" w:rsidRPr="003C2ECA">
        <w:rPr>
          <w:rFonts w:eastAsia="Times New Roman" w:cs="Arial"/>
          <w:sz w:val="22"/>
          <w:lang w:eastAsia="fr-FR"/>
        </w:rPr>
        <w:t>M</w:t>
      </w:r>
      <w:r w:rsidR="003C2ECA" w:rsidRPr="003C2ECA">
        <w:rPr>
          <w:rFonts w:eastAsia="Times New Roman" w:cs="Arial"/>
          <w:sz w:val="22"/>
          <w:vertAlign w:val="superscript"/>
          <w:lang w:eastAsia="fr-FR"/>
        </w:rPr>
        <w:t>me</w:t>
      </w:r>
      <w:r w:rsidR="003C2ECA">
        <w:rPr>
          <w:rFonts w:eastAsia="Times New Roman" w:cs="Arial"/>
          <w:sz w:val="22"/>
          <w:lang w:eastAsia="fr-FR"/>
        </w:rPr>
        <w:t xml:space="preserve"> </w:t>
      </w:r>
      <w:r w:rsidR="00F40EDA" w:rsidRPr="002C5E0D">
        <w:rPr>
          <w:rFonts w:eastAsia="Times New Roman" w:cs="Arial"/>
          <w:sz w:val="22"/>
          <w:lang w:eastAsia="fr-FR"/>
        </w:rPr>
        <w:t>Marie-Noëlle TOTH</w:t>
      </w:r>
      <w:r w:rsidRPr="002C5E0D">
        <w:rPr>
          <w:rFonts w:eastAsia="Times New Roman" w:cs="Arial"/>
          <w:sz w:val="22"/>
          <w:lang w:eastAsia="fr-FR"/>
        </w:rPr>
        <w:t>, greffière de séance.</w:t>
      </w:r>
    </w:p>
    <w:p w:rsidR="00C744AF" w:rsidRPr="002C5E0D" w:rsidRDefault="00E135F2" w:rsidP="00C744AF">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4"/>
        <w:gridCol w:w="4628"/>
      </w:tblGrid>
      <w:tr w:rsidR="006A6A2B" w:rsidRPr="002C5E0D" w:rsidTr="006A6A2B">
        <w:tc>
          <w:tcPr>
            <w:tcW w:w="4701" w:type="dxa"/>
          </w:tcPr>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6A6A2B" w:rsidRPr="002C5E0D" w:rsidRDefault="00F40EDA" w:rsidP="00C03789">
            <w:pPr>
              <w:tabs>
                <w:tab w:val="center" w:pos="4536"/>
                <w:tab w:val="right" w:pos="9072"/>
              </w:tabs>
              <w:spacing w:line="240" w:lineRule="auto"/>
              <w:jc w:val="center"/>
              <w:rPr>
                <w:rFonts w:eastAsia="Times New Roman" w:cs="Arial"/>
                <w:b/>
                <w:sz w:val="22"/>
                <w:lang w:eastAsia="fr-FR"/>
              </w:rPr>
            </w:pPr>
            <w:r w:rsidRPr="002C5E0D">
              <w:rPr>
                <w:rFonts w:eastAsia="Times New Roman" w:cs="Arial"/>
                <w:b/>
                <w:sz w:val="22"/>
                <w:lang w:eastAsia="fr-FR"/>
              </w:rPr>
              <w:t>Marie-Noëlle TOTH</w:t>
            </w:r>
          </w:p>
          <w:p w:rsidR="006A6A2B" w:rsidRPr="002C5E0D" w:rsidRDefault="00E135F2" w:rsidP="00C03789">
            <w:pPr>
              <w:tabs>
                <w:tab w:val="center" w:pos="4536"/>
                <w:tab w:val="right" w:pos="9072"/>
              </w:tabs>
              <w:jc w:val="center"/>
              <w:rPr>
                <w:rFonts w:eastAsia="Times New Roman" w:cs="Arial"/>
                <w:b/>
                <w:sz w:val="22"/>
                <w:lang w:eastAsia="fr-FR"/>
              </w:rPr>
            </w:pPr>
          </w:p>
        </w:tc>
        <w:tc>
          <w:tcPr>
            <w:tcW w:w="4696" w:type="dxa"/>
          </w:tcPr>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6A6A2B" w:rsidRPr="002C5E0D" w:rsidRDefault="00E135F2"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4F1FE5" w:rsidRPr="002C5E0D" w:rsidRDefault="004F1FE5" w:rsidP="00C03789">
            <w:pPr>
              <w:tabs>
                <w:tab w:val="center" w:pos="4536"/>
                <w:tab w:val="right" w:pos="9072"/>
              </w:tabs>
              <w:spacing w:line="240" w:lineRule="auto"/>
              <w:jc w:val="center"/>
              <w:rPr>
                <w:rFonts w:eastAsia="Times New Roman" w:cs="Arial"/>
                <w:b/>
                <w:sz w:val="22"/>
                <w:lang w:eastAsia="fr-FR"/>
              </w:rPr>
            </w:pPr>
          </w:p>
          <w:p w:rsidR="00F87D7D" w:rsidRPr="002C5E0D" w:rsidRDefault="00F87D7D" w:rsidP="00C03789">
            <w:pPr>
              <w:tabs>
                <w:tab w:val="center" w:pos="4536"/>
                <w:tab w:val="right" w:pos="9072"/>
              </w:tabs>
              <w:spacing w:line="240" w:lineRule="auto"/>
              <w:jc w:val="center"/>
              <w:rPr>
                <w:rFonts w:eastAsia="Times New Roman" w:cs="Arial"/>
                <w:b/>
                <w:sz w:val="22"/>
                <w:lang w:eastAsia="fr-FR"/>
              </w:rPr>
            </w:pPr>
          </w:p>
          <w:p w:rsidR="006A6A2B" w:rsidRPr="002C5E0D" w:rsidRDefault="00F40EDA" w:rsidP="00C03789">
            <w:pPr>
              <w:tabs>
                <w:tab w:val="center" w:pos="4536"/>
                <w:tab w:val="right" w:pos="9072"/>
              </w:tabs>
              <w:spacing w:line="240" w:lineRule="auto"/>
              <w:jc w:val="center"/>
              <w:rPr>
                <w:rFonts w:eastAsia="Times New Roman" w:cs="Arial"/>
                <w:b/>
                <w:sz w:val="22"/>
                <w:lang w:eastAsia="fr-FR"/>
              </w:rPr>
            </w:pPr>
            <w:r w:rsidRPr="002C5E0D">
              <w:rPr>
                <w:rFonts w:eastAsia="Times New Roman" w:cs="Arial"/>
                <w:b/>
                <w:sz w:val="22"/>
                <w:lang w:eastAsia="fr-FR"/>
              </w:rPr>
              <w:t>Yves ROLLAND</w:t>
            </w:r>
          </w:p>
          <w:p w:rsidR="006A6A2B" w:rsidRPr="002C5E0D" w:rsidRDefault="00E135F2" w:rsidP="00C03789">
            <w:pPr>
              <w:tabs>
                <w:tab w:val="center" w:pos="4536"/>
                <w:tab w:val="right" w:pos="9072"/>
              </w:tabs>
              <w:jc w:val="center"/>
              <w:rPr>
                <w:rFonts w:eastAsia="Times New Roman" w:cs="Arial"/>
                <w:b/>
                <w:sz w:val="22"/>
                <w:lang w:eastAsia="fr-FR"/>
              </w:rPr>
            </w:pPr>
          </w:p>
        </w:tc>
      </w:tr>
    </w:tbl>
    <w:p w:rsidR="00F942D7" w:rsidRPr="002C5E0D" w:rsidRDefault="00E135F2" w:rsidP="00F942D7">
      <w:pPr>
        <w:tabs>
          <w:tab w:val="center" w:pos="4536"/>
        </w:tabs>
        <w:spacing w:line="240" w:lineRule="auto"/>
        <w:jc w:val="both"/>
        <w:rPr>
          <w:rFonts w:eastAsia="Times New Roman" w:cs="Arial"/>
          <w:sz w:val="22"/>
          <w:lang w:eastAsia="fr-FR"/>
        </w:rPr>
      </w:pPr>
    </w:p>
    <w:p w:rsidR="00FF4288" w:rsidRPr="002C5E0D" w:rsidRDefault="00FF4288" w:rsidP="00F942D7">
      <w:pPr>
        <w:tabs>
          <w:tab w:val="center" w:pos="4536"/>
        </w:tabs>
        <w:spacing w:line="240" w:lineRule="auto"/>
        <w:jc w:val="both"/>
        <w:rPr>
          <w:rFonts w:eastAsia="Times New Roman" w:cs="Arial"/>
          <w:sz w:val="22"/>
          <w:lang w:eastAsia="fr-FR"/>
        </w:rPr>
      </w:pPr>
    </w:p>
    <w:p w:rsidR="00FF4288" w:rsidRPr="002C5E0D" w:rsidRDefault="00FF4288" w:rsidP="00FF4288">
      <w:pPr>
        <w:tabs>
          <w:tab w:val="center" w:pos="4536"/>
          <w:tab w:val="right" w:pos="9072"/>
        </w:tabs>
        <w:spacing w:line="240" w:lineRule="auto"/>
        <w:jc w:val="both"/>
        <w:rPr>
          <w:rFonts w:eastAsia="Times New Roman" w:cs="Arial"/>
          <w:sz w:val="22"/>
          <w:lang w:eastAsia="fr-FR"/>
        </w:rPr>
      </w:pPr>
      <w:r w:rsidRPr="002C5E0D">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F4288" w:rsidRPr="002C5E0D" w:rsidRDefault="00FF4288" w:rsidP="00FF4288">
      <w:pPr>
        <w:tabs>
          <w:tab w:val="center" w:pos="4536"/>
          <w:tab w:val="right" w:pos="9072"/>
        </w:tabs>
        <w:spacing w:line="240" w:lineRule="auto"/>
        <w:jc w:val="both"/>
        <w:rPr>
          <w:rFonts w:eastAsia="Times New Roman" w:cs="Arial"/>
          <w:sz w:val="22"/>
          <w:lang w:eastAsia="fr-FR"/>
        </w:rPr>
      </w:pPr>
    </w:p>
    <w:p w:rsidR="008F197D" w:rsidRPr="002C5E0D" w:rsidRDefault="00BA4F93" w:rsidP="00F35882">
      <w:pPr>
        <w:tabs>
          <w:tab w:val="center" w:pos="4536"/>
        </w:tabs>
        <w:spacing w:line="240" w:lineRule="auto"/>
        <w:jc w:val="both"/>
        <w:rPr>
          <w:rFonts w:cs="Arial"/>
          <w:sz w:val="22"/>
        </w:rPr>
      </w:pPr>
      <w:r w:rsidRPr="002C5E0D">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w:t>
      </w:r>
      <w:r w:rsidR="00556236" w:rsidRPr="002C5E0D">
        <w:rPr>
          <w:rFonts w:eastAsia="Times New Roman" w:cs="Arial"/>
          <w:sz w:val="22"/>
          <w:lang w:eastAsia="fr-FR"/>
        </w:rPr>
        <w:t> </w:t>
      </w:r>
      <w:r w:rsidRPr="002C5E0D">
        <w:rPr>
          <w:rFonts w:eastAsia="Times New Roman" w:cs="Arial"/>
          <w:sz w:val="22"/>
          <w:lang w:eastAsia="fr-FR"/>
        </w:rPr>
        <w:t xml:space="preserve">révision d’un arrêt ou d’une ordonnance peut être demandée après expiration des délais de pourvoi en cassation, et ce dans les conditions prévues </w:t>
      </w:r>
      <w:r w:rsidR="00F40EDA" w:rsidRPr="002C5E0D">
        <w:rPr>
          <w:rFonts w:eastAsia="Times New Roman" w:cs="Arial"/>
          <w:sz w:val="22"/>
          <w:lang w:eastAsia="fr-FR"/>
        </w:rPr>
        <w:t>au paragraphe I de</w:t>
      </w:r>
      <w:r w:rsidRPr="002C5E0D">
        <w:rPr>
          <w:rFonts w:eastAsia="Times New Roman" w:cs="Arial"/>
          <w:sz w:val="22"/>
          <w:lang w:eastAsia="fr-FR"/>
        </w:rPr>
        <w:t xml:space="preserve"> l’article R. 142-15 du même code.</w:t>
      </w:r>
    </w:p>
    <w:p w:rsidR="008F197D" w:rsidRPr="002C5E0D" w:rsidRDefault="00E135F2" w:rsidP="00F35882">
      <w:pPr>
        <w:spacing w:before="240" w:after="240" w:line="240" w:lineRule="auto"/>
        <w:jc w:val="both"/>
        <w:rPr>
          <w:rFonts w:cs="Arial"/>
          <w:sz w:val="22"/>
        </w:rPr>
      </w:pPr>
    </w:p>
    <w:sectPr w:rsidR="008F197D" w:rsidRPr="002C5E0D"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5F2" w:rsidRDefault="00E135F2" w:rsidP="00B41656">
      <w:pPr>
        <w:spacing w:line="240" w:lineRule="auto"/>
      </w:pPr>
      <w:r>
        <w:separator/>
      </w:r>
    </w:p>
  </w:endnote>
  <w:endnote w:type="continuationSeparator" w:id="0">
    <w:p w:rsidR="00E135F2" w:rsidRDefault="00E135F2"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5F2" w:rsidRDefault="00E135F2" w:rsidP="00B41656">
      <w:pPr>
        <w:spacing w:line="240" w:lineRule="auto"/>
      </w:pPr>
      <w:r>
        <w:separator/>
      </w:r>
    </w:p>
  </w:footnote>
  <w:footnote w:type="continuationSeparator" w:id="0">
    <w:p w:rsidR="00E135F2" w:rsidRDefault="00E135F2"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E135F2"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3C2ECA">
                <w:rPr>
                  <w:b/>
                  <w:noProof/>
                </w:rPr>
                <w:t>3</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3C2ECA">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CF8CDA7" wp14:editId="2FF65A2F">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864AB"/>
    <w:rsid w:val="00092145"/>
    <w:rsid w:val="000F5299"/>
    <w:rsid w:val="000F53CA"/>
    <w:rsid w:val="00110640"/>
    <w:rsid w:val="001248F5"/>
    <w:rsid w:val="0013115F"/>
    <w:rsid w:val="00131A38"/>
    <w:rsid w:val="001440E9"/>
    <w:rsid w:val="0016783F"/>
    <w:rsid w:val="001733C8"/>
    <w:rsid w:val="00177B90"/>
    <w:rsid w:val="001D11BE"/>
    <w:rsid w:val="002040C2"/>
    <w:rsid w:val="002304DE"/>
    <w:rsid w:val="00231C67"/>
    <w:rsid w:val="00240C13"/>
    <w:rsid w:val="00244453"/>
    <w:rsid w:val="00265091"/>
    <w:rsid w:val="00283473"/>
    <w:rsid w:val="002878B1"/>
    <w:rsid w:val="002B74C3"/>
    <w:rsid w:val="002C0B4C"/>
    <w:rsid w:val="002C5366"/>
    <w:rsid w:val="002C5E0D"/>
    <w:rsid w:val="002D0DA9"/>
    <w:rsid w:val="002E75B7"/>
    <w:rsid w:val="00342577"/>
    <w:rsid w:val="00376FD6"/>
    <w:rsid w:val="003955D7"/>
    <w:rsid w:val="003A09FE"/>
    <w:rsid w:val="003B7BA2"/>
    <w:rsid w:val="003C2ECA"/>
    <w:rsid w:val="003C582D"/>
    <w:rsid w:val="003C729C"/>
    <w:rsid w:val="003D7655"/>
    <w:rsid w:val="004022CB"/>
    <w:rsid w:val="004326DB"/>
    <w:rsid w:val="004507C2"/>
    <w:rsid w:val="00466852"/>
    <w:rsid w:val="0047092C"/>
    <w:rsid w:val="00477C3D"/>
    <w:rsid w:val="004A1A11"/>
    <w:rsid w:val="004A49F1"/>
    <w:rsid w:val="004F1FE5"/>
    <w:rsid w:val="005105DF"/>
    <w:rsid w:val="005369EE"/>
    <w:rsid w:val="00543DF7"/>
    <w:rsid w:val="0054781F"/>
    <w:rsid w:val="00556236"/>
    <w:rsid w:val="00582514"/>
    <w:rsid w:val="005B4CA5"/>
    <w:rsid w:val="005C5994"/>
    <w:rsid w:val="005F61B5"/>
    <w:rsid w:val="00604974"/>
    <w:rsid w:val="00616BD4"/>
    <w:rsid w:val="0062361C"/>
    <w:rsid w:val="006344B0"/>
    <w:rsid w:val="00647807"/>
    <w:rsid w:val="00662166"/>
    <w:rsid w:val="00662E7F"/>
    <w:rsid w:val="00676091"/>
    <w:rsid w:val="006774B5"/>
    <w:rsid w:val="00687F6F"/>
    <w:rsid w:val="006A49D9"/>
    <w:rsid w:val="006A4EB5"/>
    <w:rsid w:val="006A568B"/>
    <w:rsid w:val="006A7750"/>
    <w:rsid w:val="006C72CB"/>
    <w:rsid w:val="006E170E"/>
    <w:rsid w:val="006E3A7F"/>
    <w:rsid w:val="00707BD1"/>
    <w:rsid w:val="00724014"/>
    <w:rsid w:val="007252C5"/>
    <w:rsid w:val="007318F5"/>
    <w:rsid w:val="007410AA"/>
    <w:rsid w:val="00764F62"/>
    <w:rsid w:val="00765A21"/>
    <w:rsid w:val="0077703E"/>
    <w:rsid w:val="007A448C"/>
    <w:rsid w:val="007A4BDD"/>
    <w:rsid w:val="007B06F6"/>
    <w:rsid w:val="007E06F2"/>
    <w:rsid w:val="007F2707"/>
    <w:rsid w:val="007F3742"/>
    <w:rsid w:val="0081551A"/>
    <w:rsid w:val="008256E2"/>
    <w:rsid w:val="0085194D"/>
    <w:rsid w:val="00862555"/>
    <w:rsid w:val="00863D04"/>
    <w:rsid w:val="0086760B"/>
    <w:rsid w:val="00875AE9"/>
    <w:rsid w:val="008844EF"/>
    <w:rsid w:val="008A34BF"/>
    <w:rsid w:val="008A6ACF"/>
    <w:rsid w:val="008C244D"/>
    <w:rsid w:val="008E360F"/>
    <w:rsid w:val="008E5EE8"/>
    <w:rsid w:val="008E6349"/>
    <w:rsid w:val="009405CE"/>
    <w:rsid w:val="00950441"/>
    <w:rsid w:val="00955041"/>
    <w:rsid w:val="00966697"/>
    <w:rsid w:val="009802E3"/>
    <w:rsid w:val="009B22BF"/>
    <w:rsid w:val="00A02D30"/>
    <w:rsid w:val="00A32C49"/>
    <w:rsid w:val="00A4059D"/>
    <w:rsid w:val="00A56A52"/>
    <w:rsid w:val="00A6394C"/>
    <w:rsid w:val="00A63FED"/>
    <w:rsid w:val="00A755A3"/>
    <w:rsid w:val="00A83FC9"/>
    <w:rsid w:val="00A9735F"/>
    <w:rsid w:val="00AC62B2"/>
    <w:rsid w:val="00AE774F"/>
    <w:rsid w:val="00B018EA"/>
    <w:rsid w:val="00B128E3"/>
    <w:rsid w:val="00B41656"/>
    <w:rsid w:val="00B50421"/>
    <w:rsid w:val="00B645D1"/>
    <w:rsid w:val="00B64E5B"/>
    <w:rsid w:val="00B8223C"/>
    <w:rsid w:val="00B967C8"/>
    <w:rsid w:val="00BA4F93"/>
    <w:rsid w:val="00BA60D8"/>
    <w:rsid w:val="00BB2920"/>
    <w:rsid w:val="00BB7176"/>
    <w:rsid w:val="00BC40A5"/>
    <w:rsid w:val="00BD40C9"/>
    <w:rsid w:val="00BE435D"/>
    <w:rsid w:val="00C04525"/>
    <w:rsid w:val="00C17123"/>
    <w:rsid w:val="00C22187"/>
    <w:rsid w:val="00C23B89"/>
    <w:rsid w:val="00C250C4"/>
    <w:rsid w:val="00C32D50"/>
    <w:rsid w:val="00C470E9"/>
    <w:rsid w:val="00C77CA2"/>
    <w:rsid w:val="00CA1BD5"/>
    <w:rsid w:val="00CC39B0"/>
    <w:rsid w:val="00CE1BD7"/>
    <w:rsid w:val="00CE4F79"/>
    <w:rsid w:val="00CF6809"/>
    <w:rsid w:val="00D21CDB"/>
    <w:rsid w:val="00D2306C"/>
    <w:rsid w:val="00D37E99"/>
    <w:rsid w:val="00D500EF"/>
    <w:rsid w:val="00D51C43"/>
    <w:rsid w:val="00D62649"/>
    <w:rsid w:val="00D817B5"/>
    <w:rsid w:val="00DA6392"/>
    <w:rsid w:val="00DE48AF"/>
    <w:rsid w:val="00DE6999"/>
    <w:rsid w:val="00E03E5C"/>
    <w:rsid w:val="00E135F2"/>
    <w:rsid w:val="00E234E7"/>
    <w:rsid w:val="00E25406"/>
    <w:rsid w:val="00E269A3"/>
    <w:rsid w:val="00E35B8A"/>
    <w:rsid w:val="00E430FB"/>
    <w:rsid w:val="00E528BE"/>
    <w:rsid w:val="00E55D24"/>
    <w:rsid w:val="00E86FB6"/>
    <w:rsid w:val="00E87137"/>
    <w:rsid w:val="00ED3235"/>
    <w:rsid w:val="00ED3BBB"/>
    <w:rsid w:val="00EE3AA4"/>
    <w:rsid w:val="00EE4F42"/>
    <w:rsid w:val="00EE58C6"/>
    <w:rsid w:val="00F02D0A"/>
    <w:rsid w:val="00F34BAC"/>
    <w:rsid w:val="00F40EDA"/>
    <w:rsid w:val="00F63CE2"/>
    <w:rsid w:val="00F73ABC"/>
    <w:rsid w:val="00F8606B"/>
    <w:rsid w:val="00F87D7D"/>
    <w:rsid w:val="00FA2EC4"/>
    <w:rsid w:val="00FC0DA1"/>
    <w:rsid w:val="00FC3558"/>
    <w:rsid w:val="00FD31C9"/>
    <w:rsid w:val="00FF4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D37E99"/>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D37E99"/>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A05D-7E44-4489-98D0-DB616076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2104</Words>
  <Characters>11574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21</cp:revision>
  <cp:lastPrinted>2015-08-31T07:22:00Z</cp:lastPrinted>
  <dcterms:created xsi:type="dcterms:W3CDTF">2015-07-22T09:51:00Z</dcterms:created>
  <dcterms:modified xsi:type="dcterms:W3CDTF">2015-11-10T07:51:00Z</dcterms:modified>
</cp:coreProperties>
</file>