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6DE" w:rsidRPr="003E76DE" w:rsidRDefault="00BA4F93">
      <w:pPr>
        <w:rPr>
          <w:rFonts w:cs="Arial"/>
        </w:rPr>
      </w:pPr>
      <w:r w:rsidRPr="003E76DE">
        <w:rPr>
          <w:rFonts w:cs="Arial"/>
          <w:noProof/>
          <w:lang w:eastAsia="fr-FR"/>
        </w:rPr>
        <w:drawing>
          <wp:anchor distT="0" distB="0" distL="114300" distR="114300" simplePos="0" relativeHeight="251659264" behindDoc="0" locked="0" layoutInCell="1" allowOverlap="1" wp14:anchorId="0CC685EA" wp14:editId="370C152F">
            <wp:simplePos x="0" y="0"/>
            <wp:positionH relativeFrom="column">
              <wp:posOffset>-728345</wp:posOffset>
            </wp:positionH>
            <wp:positionV relativeFrom="paragraph">
              <wp:posOffset>-562610</wp:posOffset>
            </wp:positionV>
            <wp:extent cx="7559040" cy="1258570"/>
            <wp:effectExtent l="19050" t="0" r="3810" b="0"/>
            <wp:wrapTopAndBottom/>
            <wp:docPr id="468008388" name="32355592449e9555b"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79945" name="N_COUR_BANDEAU-ENTETE.jpg"/>
                    <pic:cNvPicPr/>
                  </pic:nvPicPr>
                  <pic:blipFill>
                    <a:blip r:embed="rId9"/>
                    <a:stretch>
                      <a:fillRect/>
                    </a:stretch>
                  </pic:blipFill>
                  <pic:spPr>
                    <a:xfrm>
                      <a:off x="0" y="0"/>
                      <a:ext cx="7559040" cy="1258570"/>
                    </a:xfrm>
                    <a:prstGeom prst="rect">
                      <a:avLst/>
                    </a:prstGeom>
                  </pic:spPr>
                </pic:pic>
              </a:graphicData>
            </a:graphic>
          </wp:anchor>
        </w:drawing>
      </w:r>
    </w:p>
    <w:tbl>
      <w:tblPr>
        <w:tblW w:w="9889" w:type="dxa"/>
        <w:tblLook w:val="00A0" w:firstRow="1" w:lastRow="0" w:firstColumn="1" w:lastColumn="0" w:noHBand="0" w:noVBand="0"/>
      </w:tblPr>
      <w:tblGrid>
        <w:gridCol w:w="5103"/>
        <w:gridCol w:w="4786"/>
      </w:tblGrid>
      <w:tr w:rsidR="009F58BA" w:rsidRPr="003E76DE" w:rsidTr="00F942D7">
        <w:tc>
          <w:tcPr>
            <w:tcW w:w="5103" w:type="dxa"/>
          </w:tcPr>
          <w:p w:rsidR="009F58BA" w:rsidRPr="00D465B4" w:rsidRDefault="00BA4F93" w:rsidP="00B5388A">
            <w:pPr>
              <w:spacing w:line="240" w:lineRule="auto"/>
              <w:ind w:right="1201" w:firstLine="34"/>
              <w:jc w:val="center"/>
              <w:rPr>
                <w:rFonts w:eastAsia="Times New Roman" w:cs="Arial"/>
                <w:sz w:val="22"/>
                <w:lang w:eastAsia="fr-FR"/>
              </w:rPr>
            </w:pPr>
            <w:r w:rsidRPr="00D465B4">
              <w:rPr>
                <w:rFonts w:eastAsia="Times New Roman" w:cs="Arial"/>
                <w:sz w:val="22"/>
                <w:lang w:eastAsia="fr-FR"/>
              </w:rPr>
              <w:t>QUATRIÈME CHAMBRE</w:t>
            </w:r>
          </w:p>
          <w:p w:rsidR="009F58BA" w:rsidRPr="00D465B4" w:rsidRDefault="00BA4F93" w:rsidP="00B5388A">
            <w:pPr>
              <w:spacing w:line="240" w:lineRule="auto"/>
              <w:ind w:right="1201" w:firstLine="34"/>
              <w:jc w:val="center"/>
              <w:rPr>
                <w:rFonts w:eastAsia="Times New Roman" w:cs="Arial"/>
                <w:b/>
                <w:sz w:val="22"/>
                <w:lang w:eastAsia="fr-FR"/>
              </w:rPr>
            </w:pPr>
            <w:r w:rsidRPr="00D465B4">
              <w:rPr>
                <w:rFonts w:eastAsia="Times New Roman" w:cs="Arial"/>
                <w:b/>
                <w:sz w:val="22"/>
                <w:lang w:eastAsia="fr-FR"/>
              </w:rPr>
              <w:t>-------</w:t>
            </w:r>
          </w:p>
          <w:p w:rsidR="009F58BA" w:rsidRPr="00D465B4" w:rsidRDefault="00BA4F93" w:rsidP="00B5388A">
            <w:pPr>
              <w:spacing w:line="240" w:lineRule="auto"/>
              <w:ind w:right="1201" w:firstLine="34"/>
              <w:jc w:val="center"/>
              <w:rPr>
                <w:rFonts w:eastAsia="Times New Roman" w:cs="Arial"/>
                <w:sz w:val="22"/>
                <w:lang w:eastAsia="fr-FR"/>
              </w:rPr>
            </w:pPr>
            <w:r w:rsidRPr="00D465B4">
              <w:rPr>
                <w:rFonts w:eastAsia="Times New Roman" w:cs="Arial"/>
                <w:sz w:val="22"/>
                <w:lang w:eastAsia="fr-FR"/>
              </w:rPr>
              <w:t>Première section</w:t>
            </w:r>
          </w:p>
          <w:p w:rsidR="009F58BA" w:rsidRPr="00D465B4" w:rsidRDefault="00BA4F93" w:rsidP="00B5388A">
            <w:pPr>
              <w:spacing w:line="240" w:lineRule="auto"/>
              <w:ind w:right="1201" w:firstLine="34"/>
              <w:jc w:val="center"/>
              <w:rPr>
                <w:rFonts w:eastAsia="Times New Roman" w:cs="Arial"/>
                <w:b/>
                <w:sz w:val="22"/>
                <w:lang w:eastAsia="fr-FR"/>
              </w:rPr>
            </w:pPr>
            <w:r w:rsidRPr="00D465B4">
              <w:rPr>
                <w:rFonts w:eastAsia="Times New Roman" w:cs="Arial"/>
                <w:b/>
                <w:sz w:val="22"/>
                <w:lang w:eastAsia="fr-FR"/>
              </w:rPr>
              <w:t>-------</w:t>
            </w:r>
          </w:p>
          <w:p w:rsidR="009F58BA" w:rsidRPr="00D465B4" w:rsidRDefault="00BA4F93" w:rsidP="00B5388A">
            <w:pPr>
              <w:spacing w:line="240" w:lineRule="auto"/>
              <w:ind w:right="1201" w:firstLine="34"/>
              <w:jc w:val="center"/>
              <w:rPr>
                <w:rFonts w:eastAsia="Times New Roman" w:cs="Arial"/>
                <w:sz w:val="22"/>
                <w:lang w:eastAsia="fr-FR"/>
              </w:rPr>
            </w:pPr>
            <w:r w:rsidRPr="00D465B4">
              <w:rPr>
                <w:rFonts w:eastAsia="Times New Roman" w:cs="Arial"/>
                <w:sz w:val="22"/>
                <w:lang w:eastAsia="fr-FR"/>
              </w:rPr>
              <w:t xml:space="preserve">Arrêt n° </w:t>
            </w:r>
            <w:r w:rsidR="0005100B" w:rsidRPr="00D465B4">
              <w:rPr>
                <w:rFonts w:eastAsia="Times New Roman" w:cs="Arial"/>
                <w:sz w:val="22"/>
                <w:lang w:eastAsia="fr-FR"/>
              </w:rPr>
              <w:t>72611</w:t>
            </w:r>
          </w:p>
          <w:p w:rsidR="009F58BA" w:rsidRPr="00D465B4" w:rsidRDefault="000C1C6B" w:rsidP="00B5388A">
            <w:pPr>
              <w:spacing w:line="240" w:lineRule="auto"/>
              <w:ind w:right="1201" w:firstLine="34"/>
              <w:jc w:val="center"/>
              <w:rPr>
                <w:rFonts w:eastAsia="Times New Roman" w:cs="Arial"/>
                <w:sz w:val="22"/>
                <w:lang w:eastAsia="fr-FR"/>
              </w:rPr>
            </w:pPr>
          </w:p>
          <w:p w:rsidR="009F58BA" w:rsidRPr="00D465B4" w:rsidRDefault="00BA4F93" w:rsidP="00B5388A">
            <w:pPr>
              <w:spacing w:line="240" w:lineRule="auto"/>
              <w:ind w:right="1201" w:firstLine="34"/>
              <w:jc w:val="center"/>
              <w:rPr>
                <w:rFonts w:eastAsia="Times New Roman" w:cs="Arial"/>
                <w:sz w:val="22"/>
                <w:lang w:eastAsia="fr-FR"/>
              </w:rPr>
            </w:pPr>
            <w:r w:rsidRPr="00D465B4">
              <w:rPr>
                <w:rFonts w:eastAsia="Times New Roman" w:cs="Arial"/>
                <w:sz w:val="22"/>
                <w:lang w:eastAsia="fr-FR"/>
              </w:rPr>
              <w:t xml:space="preserve">Audience publique du </w:t>
            </w:r>
            <w:r w:rsidR="0005100B" w:rsidRPr="00D465B4">
              <w:rPr>
                <w:rFonts w:eastAsia="Times New Roman" w:cs="Arial"/>
                <w:sz w:val="22"/>
                <w:lang w:eastAsia="fr-FR"/>
              </w:rPr>
              <w:t>23 juillet 2015</w:t>
            </w:r>
          </w:p>
          <w:p w:rsidR="009F58BA" w:rsidRPr="00D465B4" w:rsidRDefault="000C1C6B" w:rsidP="00B5388A">
            <w:pPr>
              <w:spacing w:line="240" w:lineRule="auto"/>
              <w:ind w:right="1201" w:firstLine="34"/>
              <w:jc w:val="center"/>
              <w:rPr>
                <w:rFonts w:eastAsia="Times New Roman" w:cs="Arial"/>
                <w:sz w:val="22"/>
                <w:lang w:eastAsia="fr-FR"/>
              </w:rPr>
            </w:pPr>
          </w:p>
          <w:p w:rsidR="009F58BA" w:rsidRPr="00D465B4" w:rsidRDefault="00BA4F93" w:rsidP="00B5388A">
            <w:pPr>
              <w:spacing w:line="240" w:lineRule="auto"/>
              <w:ind w:right="1201" w:firstLine="34"/>
              <w:jc w:val="center"/>
              <w:rPr>
                <w:rFonts w:eastAsia="Times New Roman" w:cs="Arial"/>
                <w:i/>
                <w:sz w:val="22"/>
                <w:lang w:eastAsia="fr-FR"/>
              </w:rPr>
            </w:pPr>
            <w:r w:rsidRPr="00D465B4">
              <w:rPr>
                <w:rFonts w:eastAsia="Times New Roman" w:cs="Arial"/>
                <w:sz w:val="22"/>
                <w:lang w:eastAsia="fr-FR"/>
              </w:rPr>
              <w:t>Prononcé du</w:t>
            </w:r>
            <w:r w:rsidR="0005100B" w:rsidRPr="00D465B4">
              <w:rPr>
                <w:rFonts w:eastAsia="Times New Roman" w:cs="Arial"/>
                <w:sz w:val="22"/>
                <w:lang w:eastAsia="fr-FR"/>
              </w:rPr>
              <w:t xml:space="preserve"> 10 septembre 2015</w:t>
            </w:r>
          </w:p>
          <w:p w:rsidR="009F58BA" w:rsidRPr="00D465B4" w:rsidRDefault="000C1C6B" w:rsidP="00B5388A">
            <w:pPr>
              <w:spacing w:line="240" w:lineRule="auto"/>
              <w:ind w:right="1201"/>
              <w:jc w:val="center"/>
              <w:rPr>
                <w:rFonts w:eastAsia="Times New Roman" w:cs="Arial"/>
                <w:sz w:val="22"/>
                <w:lang w:eastAsia="fr-FR"/>
              </w:rPr>
            </w:pPr>
          </w:p>
        </w:tc>
        <w:tc>
          <w:tcPr>
            <w:tcW w:w="4786" w:type="dxa"/>
          </w:tcPr>
          <w:p w:rsidR="0005100B" w:rsidRPr="00D465B4" w:rsidRDefault="0005100B">
            <w:pPr>
              <w:spacing w:line="240" w:lineRule="auto"/>
              <w:rPr>
                <w:rFonts w:eastAsia="Times New Roman" w:cs="Arial"/>
                <w:sz w:val="22"/>
                <w:lang w:eastAsia="fr-FR"/>
              </w:rPr>
            </w:pPr>
            <w:r w:rsidRPr="00D465B4">
              <w:rPr>
                <w:rFonts w:eastAsia="Times New Roman" w:cs="Arial"/>
                <w:sz w:val="22"/>
                <w:lang w:eastAsia="fr-FR"/>
              </w:rPr>
              <w:t>CENTRE HOSPITALIER PAUL CHAPRON</w:t>
            </w:r>
          </w:p>
          <w:p w:rsidR="009F58BA" w:rsidRPr="00D465B4" w:rsidRDefault="0005100B">
            <w:pPr>
              <w:spacing w:line="240" w:lineRule="auto"/>
              <w:rPr>
                <w:rFonts w:eastAsia="Times New Roman" w:cs="Arial"/>
                <w:sz w:val="22"/>
                <w:lang w:eastAsia="fr-FR"/>
              </w:rPr>
            </w:pPr>
            <w:r w:rsidRPr="00D465B4">
              <w:rPr>
                <w:rFonts w:eastAsia="Times New Roman" w:cs="Arial"/>
                <w:sz w:val="22"/>
                <w:lang w:eastAsia="fr-FR"/>
              </w:rPr>
              <w:t>A LA FERT</w:t>
            </w:r>
            <w:r w:rsidR="00D465B4">
              <w:rPr>
                <w:rFonts w:eastAsia="Times New Roman" w:cs="Arial"/>
                <w:sz w:val="22"/>
                <w:lang w:eastAsia="fr-FR"/>
              </w:rPr>
              <w:t>É</w:t>
            </w:r>
            <w:r w:rsidRPr="00D465B4">
              <w:rPr>
                <w:rFonts w:eastAsia="Times New Roman" w:cs="Arial"/>
                <w:sz w:val="22"/>
                <w:lang w:eastAsia="fr-FR"/>
              </w:rPr>
              <w:t>-BERNARD</w:t>
            </w:r>
          </w:p>
          <w:p w:rsidR="0005100B" w:rsidRPr="00D465B4" w:rsidRDefault="0005100B">
            <w:pPr>
              <w:spacing w:line="240" w:lineRule="auto"/>
              <w:rPr>
                <w:rFonts w:eastAsia="Times New Roman" w:cs="Arial"/>
                <w:sz w:val="22"/>
                <w:lang w:eastAsia="fr-FR"/>
              </w:rPr>
            </w:pPr>
            <w:r w:rsidRPr="00D465B4">
              <w:rPr>
                <w:rFonts w:eastAsia="Times New Roman" w:cs="Arial"/>
                <w:sz w:val="22"/>
                <w:lang w:eastAsia="fr-FR"/>
              </w:rPr>
              <w:t>(SARTHE)</w:t>
            </w:r>
          </w:p>
          <w:p w:rsidR="009F58BA" w:rsidRDefault="000C1C6B">
            <w:pPr>
              <w:spacing w:line="240" w:lineRule="auto"/>
              <w:rPr>
                <w:rFonts w:eastAsia="Times New Roman" w:cs="Arial"/>
                <w:sz w:val="22"/>
                <w:lang w:eastAsia="fr-FR"/>
              </w:rPr>
            </w:pPr>
          </w:p>
          <w:p w:rsidR="003460D2" w:rsidRDefault="003460D2">
            <w:pPr>
              <w:spacing w:line="240" w:lineRule="auto"/>
              <w:rPr>
                <w:rFonts w:eastAsia="Times New Roman" w:cs="Arial"/>
                <w:sz w:val="22"/>
                <w:lang w:eastAsia="fr-FR"/>
              </w:rPr>
            </w:pPr>
          </w:p>
          <w:p w:rsidR="009F58BA" w:rsidRPr="00D465B4" w:rsidRDefault="00BA4F93">
            <w:pPr>
              <w:spacing w:line="240" w:lineRule="auto"/>
              <w:rPr>
                <w:rFonts w:eastAsia="Times New Roman" w:cs="Arial"/>
                <w:sz w:val="22"/>
                <w:lang w:eastAsia="fr-FR"/>
              </w:rPr>
            </w:pPr>
            <w:r w:rsidRPr="00D465B4">
              <w:rPr>
                <w:rFonts w:eastAsia="Times New Roman" w:cs="Arial"/>
                <w:sz w:val="22"/>
                <w:lang w:eastAsia="fr-FR"/>
              </w:rPr>
              <w:t>Appel d’un jugement de la chambre régionale des comptes de</w:t>
            </w:r>
            <w:r w:rsidR="0005100B" w:rsidRPr="00D465B4">
              <w:rPr>
                <w:rFonts w:eastAsia="Times New Roman" w:cs="Arial"/>
                <w:sz w:val="22"/>
                <w:lang w:eastAsia="fr-FR"/>
              </w:rPr>
              <w:t>s Pays-de-la-Loire</w:t>
            </w:r>
          </w:p>
          <w:p w:rsidR="009F58BA" w:rsidRDefault="000C1C6B">
            <w:pPr>
              <w:spacing w:line="240" w:lineRule="auto"/>
              <w:rPr>
                <w:rFonts w:eastAsia="Times New Roman" w:cs="Arial"/>
                <w:sz w:val="22"/>
                <w:lang w:eastAsia="fr-FR"/>
              </w:rPr>
            </w:pPr>
          </w:p>
          <w:p w:rsidR="009F58BA" w:rsidRPr="00D465B4" w:rsidRDefault="00BA4F93" w:rsidP="00B12A9C">
            <w:pPr>
              <w:spacing w:line="240" w:lineRule="auto"/>
              <w:rPr>
                <w:rFonts w:eastAsia="Times New Roman" w:cs="Arial"/>
                <w:sz w:val="22"/>
                <w:lang w:eastAsia="fr-FR"/>
              </w:rPr>
            </w:pPr>
            <w:r w:rsidRPr="00D465B4">
              <w:rPr>
                <w:rFonts w:eastAsia="Times New Roman" w:cs="Arial"/>
                <w:sz w:val="22"/>
                <w:lang w:eastAsia="fr-FR"/>
              </w:rPr>
              <w:t>Rapport n° </w:t>
            </w:r>
            <w:r w:rsidR="0005100B" w:rsidRPr="00D465B4">
              <w:rPr>
                <w:rFonts w:eastAsia="Times New Roman" w:cs="Arial"/>
                <w:sz w:val="22"/>
                <w:lang w:eastAsia="fr-FR"/>
              </w:rPr>
              <w:t>2015-227-0</w:t>
            </w:r>
          </w:p>
        </w:tc>
      </w:tr>
    </w:tbl>
    <w:p w:rsidR="00C744AF" w:rsidRPr="003E76DE" w:rsidRDefault="000C1C6B" w:rsidP="00C744AF">
      <w:pPr>
        <w:spacing w:line="240" w:lineRule="auto"/>
        <w:ind w:left="5670"/>
        <w:rPr>
          <w:rFonts w:eastAsia="Times New Roman" w:cs="Arial"/>
          <w:lang w:eastAsia="fr-FR"/>
        </w:rPr>
      </w:pPr>
    </w:p>
    <w:p w:rsidR="00C744AF" w:rsidRPr="003E76DE" w:rsidRDefault="000C1C6B" w:rsidP="00C744AF">
      <w:pPr>
        <w:spacing w:line="240" w:lineRule="auto"/>
        <w:ind w:left="5670"/>
        <w:rPr>
          <w:rFonts w:eastAsia="Times New Roman" w:cs="Arial"/>
          <w:lang w:eastAsia="fr-FR"/>
        </w:rPr>
      </w:pPr>
    </w:p>
    <w:p w:rsidR="00C744AF" w:rsidRPr="0005100B" w:rsidRDefault="00BA4F93" w:rsidP="003460D2">
      <w:pPr>
        <w:tabs>
          <w:tab w:val="center" w:pos="9072"/>
        </w:tabs>
        <w:spacing w:line="240" w:lineRule="auto"/>
        <w:jc w:val="center"/>
        <w:rPr>
          <w:rFonts w:eastAsia="Times New Roman" w:cs="Arial"/>
          <w:sz w:val="22"/>
          <w:lang w:eastAsia="fr-FR"/>
        </w:rPr>
      </w:pPr>
      <w:r w:rsidRPr="0005100B">
        <w:rPr>
          <w:rFonts w:eastAsia="Times New Roman" w:cs="Arial"/>
          <w:sz w:val="22"/>
          <w:lang w:eastAsia="fr-FR"/>
        </w:rPr>
        <w:t>République Française,</w:t>
      </w:r>
    </w:p>
    <w:p w:rsidR="00C744AF" w:rsidRPr="0005100B" w:rsidRDefault="00BA4F93" w:rsidP="00C744AF">
      <w:pPr>
        <w:tabs>
          <w:tab w:val="center" w:pos="9072"/>
        </w:tabs>
        <w:spacing w:line="240" w:lineRule="auto"/>
        <w:jc w:val="center"/>
        <w:rPr>
          <w:rFonts w:eastAsia="Times New Roman" w:cs="Arial"/>
          <w:sz w:val="22"/>
          <w:lang w:eastAsia="fr-FR"/>
        </w:rPr>
      </w:pPr>
      <w:r w:rsidRPr="0005100B">
        <w:rPr>
          <w:rFonts w:eastAsia="Times New Roman" w:cs="Arial"/>
          <w:sz w:val="22"/>
          <w:lang w:eastAsia="fr-FR"/>
        </w:rPr>
        <w:t>Au nom du peuple français,</w:t>
      </w:r>
    </w:p>
    <w:p w:rsidR="00C744AF" w:rsidRPr="0005100B" w:rsidRDefault="000C1C6B" w:rsidP="00C744AF">
      <w:pPr>
        <w:tabs>
          <w:tab w:val="center" w:pos="9072"/>
        </w:tabs>
        <w:spacing w:line="240" w:lineRule="auto"/>
        <w:jc w:val="center"/>
        <w:rPr>
          <w:rFonts w:eastAsia="Times New Roman" w:cs="Arial"/>
          <w:sz w:val="22"/>
          <w:lang w:eastAsia="fr-FR"/>
        </w:rPr>
      </w:pPr>
    </w:p>
    <w:p w:rsidR="00C744AF" w:rsidRPr="0005100B" w:rsidRDefault="00BA4F93" w:rsidP="00C744AF">
      <w:pPr>
        <w:tabs>
          <w:tab w:val="center" w:pos="9072"/>
        </w:tabs>
        <w:spacing w:before="120" w:after="360" w:line="240" w:lineRule="auto"/>
        <w:jc w:val="center"/>
        <w:rPr>
          <w:rFonts w:eastAsia="Times New Roman" w:cs="Arial"/>
          <w:sz w:val="22"/>
          <w:lang w:eastAsia="fr-FR"/>
        </w:rPr>
      </w:pPr>
      <w:r w:rsidRPr="0005100B">
        <w:rPr>
          <w:rFonts w:eastAsia="Times New Roman" w:cs="Arial"/>
          <w:sz w:val="22"/>
          <w:lang w:eastAsia="fr-FR"/>
        </w:rPr>
        <w:t>La Cour,</w:t>
      </w:r>
    </w:p>
    <w:p w:rsidR="0005100B" w:rsidRPr="0005100B" w:rsidRDefault="0005100B" w:rsidP="0005100B">
      <w:pPr>
        <w:spacing w:before="120" w:after="240"/>
        <w:jc w:val="both"/>
        <w:rPr>
          <w:rFonts w:cs="Arial"/>
          <w:sz w:val="22"/>
        </w:rPr>
      </w:pPr>
      <w:r w:rsidRPr="0005100B">
        <w:rPr>
          <w:rFonts w:cs="Arial"/>
          <w:sz w:val="22"/>
        </w:rPr>
        <w:t>Vu la requête enregistrée le 7 mai 2014 au greffe de la chambre régionale des comptes des</w:t>
      </w:r>
      <w:r w:rsidR="00B5388A">
        <w:rPr>
          <w:rFonts w:cs="Arial"/>
          <w:sz w:val="22"/>
        </w:rPr>
        <w:t xml:space="preserve"> </w:t>
      </w:r>
      <w:r w:rsidRPr="0005100B">
        <w:rPr>
          <w:rFonts w:cs="Arial"/>
          <w:sz w:val="22"/>
        </w:rPr>
        <w:t>Pays-de-la-Loire, par laquelle M.</w:t>
      </w:r>
      <w:r>
        <w:rPr>
          <w:rFonts w:cs="Arial"/>
          <w:sz w:val="22"/>
        </w:rPr>
        <w:t> </w:t>
      </w:r>
      <w:r w:rsidR="00B40F11">
        <w:rPr>
          <w:rFonts w:cs="Arial"/>
          <w:sz w:val="22"/>
        </w:rPr>
        <w:t>X</w:t>
      </w:r>
      <w:r w:rsidRPr="0005100B">
        <w:rPr>
          <w:rFonts w:cs="Arial"/>
          <w:sz w:val="22"/>
        </w:rPr>
        <w:t xml:space="preserve">, comptable du </w:t>
      </w:r>
      <w:r w:rsidR="003460D2">
        <w:rPr>
          <w:rFonts w:cs="Arial"/>
          <w:sz w:val="22"/>
        </w:rPr>
        <w:t>c</w:t>
      </w:r>
      <w:r w:rsidRPr="0005100B">
        <w:rPr>
          <w:rFonts w:cs="Arial"/>
          <w:sz w:val="22"/>
        </w:rPr>
        <w:t>entre hospitalier Paul CHAPRON à la Ferté-Bernard (Sarthe), a interjeté appel du jugement n° 2014-0002 du 28 février 2014, par lequel ladite chambre l’a constitué débiteur envers le centre hospitalier de la somme de 34 352,09 €, augmentée des intérêts de droit calculés à</w:t>
      </w:r>
      <w:r w:rsidR="00B5388A">
        <w:rPr>
          <w:rFonts w:cs="Arial"/>
          <w:sz w:val="22"/>
        </w:rPr>
        <w:t xml:space="preserve"> </w:t>
      </w:r>
      <w:r w:rsidRPr="0005100B">
        <w:rPr>
          <w:rFonts w:cs="Arial"/>
          <w:sz w:val="22"/>
        </w:rPr>
        <w:t>compter du 28 octobre 2013 ;</w:t>
      </w:r>
    </w:p>
    <w:p w:rsidR="0005100B" w:rsidRPr="0005100B" w:rsidRDefault="0005100B" w:rsidP="0005100B">
      <w:pPr>
        <w:spacing w:before="120" w:after="240"/>
        <w:jc w:val="both"/>
        <w:rPr>
          <w:rFonts w:cs="Arial"/>
          <w:sz w:val="22"/>
        </w:rPr>
      </w:pPr>
      <w:r w:rsidRPr="0005100B">
        <w:rPr>
          <w:rFonts w:cs="Arial"/>
          <w:sz w:val="22"/>
        </w:rPr>
        <w:t>Vu le réquisitoire du Procureur général près la Cour des comptes n° 2014-97 du 15</w:t>
      </w:r>
      <w:r w:rsidR="00B5388A">
        <w:rPr>
          <w:rFonts w:cs="Arial"/>
          <w:sz w:val="22"/>
        </w:rPr>
        <w:t xml:space="preserve"> </w:t>
      </w:r>
      <w:r w:rsidRPr="0005100B">
        <w:rPr>
          <w:rFonts w:cs="Arial"/>
          <w:sz w:val="22"/>
        </w:rPr>
        <w:t>septembre</w:t>
      </w:r>
      <w:r w:rsidR="00B5388A">
        <w:rPr>
          <w:rFonts w:cs="Arial"/>
          <w:sz w:val="22"/>
        </w:rPr>
        <w:t xml:space="preserve"> </w:t>
      </w:r>
      <w:r w:rsidRPr="0005100B">
        <w:rPr>
          <w:rFonts w:cs="Arial"/>
          <w:sz w:val="22"/>
        </w:rPr>
        <w:t>2014 transmettant la requête précitée à la Cour ;</w:t>
      </w:r>
    </w:p>
    <w:p w:rsidR="0005100B" w:rsidRPr="0005100B" w:rsidRDefault="0005100B" w:rsidP="0005100B">
      <w:pPr>
        <w:spacing w:before="120" w:after="240"/>
        <w:jc w:val="both"/>
        <w:rPr>
          <w:rFonts w:cs="Arial"/>
          <w:sz w:val="22"/>
        </w:rPr>
      </w:pPr>
      <w:r w:rsidRPr="0005100B">
        <w:rPr>
          <w:rFonts w:cs="Arial"/>
          <w:sz w:val="22"/>
        </w:rPr>
        <w:t>Vu les pièces de la procédure suivie en première instance ;</w:t>
      </w:r>
    </w:p>
    <w:p w:rsidR="0005100B" w:rsidRPr="0005100B" w:rsidRDefault="0005100B" w:rsidP="0005100B">
      <w:pPr>
        <w:spacing w:before="120" w:after="240"/>
        <w:jc w:val="both"/>
        <w:rPr>
          <w:rFonts w:cs="Arial"/>
          <w:sz w:val="22"/>
        </w:rPr>
      </w:pPr>
      <w:r w:rsidRPr="0005100B">
        <w:rPr>
          <w:rFonts w:cs="Arial"/>
          <w:sz w:val="22"/>
        </w:rPr>
        <w:t>Vu le code des juridictions financières ;</w:t>
      </w:r>
    </w:p>
    <w:p w:rsidR="0005100B" w:rsidRPr="0005100B" w:rsidRDefault="0005100B" w:rsidP="0005100B">
      <w:pPr>
        <w:spacing w:before="120" w:after="240"/>
        <w:jc w:val="both"/>
        <w:rPr>
          <w:rFonts w:cs="Arial"/>
          <w:sz w:val="22"/>
        </w:rPr>
      </w:pPr>
      <w:r w:rsidRPr="0005100B">
        <w:rPr>
          <w:rFonts w:cs="Arial"/>
          <w:sz w:val="22"/>
        </w:rPr>
        <w:t xml:space="preserve">Vu le code général des collectivités territoriales ; </w:t>
      </w:r>
    </w:p>
    <w:p w:rsidR="0005100B" w:rsidRPr="0005100B" w:rsidRDefault="0005100B" w:rsidP="0005100B">
      <w:pPr>
        <w:spacing w:before="120" w:after="240"/>
        <w:jc w:val="both"/>
        <w:rPr>
          <w:rFonts w:cs="Arial"/>
          <w:sz w:val="22"/>
        </w:rPr>
      </w:pPr>
      <w:r w:rsidRPr="0005100B">
        <w:rPr>
          <w:rFonts w:cs="Arial"/>
          <w:sz w:val="22"/>
        </w:rPr>
        <w:t>Vu l’article 60 de la loi de finances n° 63-156 du 23 février 1963, dans sa rédaction issue de l’article 90 de la loi n° 2011-1978 du 28 décembre 2011 de finances rectificative pour 2011 ;</w:t>
      </w:r>
    </w:p>
    <w:p w:rsidR="0005100B" w:rsidRPr="0005100B" w:rsidRDefault="0005100B" w:rsidP="0005100B">
      <w:pPr>
        <w:spacing w:before="120" w:after="240"/>
        <w:jc w:val="both"/>
        <w:rPr>
          <w:rFonts w:cs="Arial"/>
          <w:sz w:val="22"/>
        </w:rPr>
      </w:pPr>
      <w:r w:rsidRPr="0005100B">
        <w:rPr>
          <w:rFonts w:cs="Arial"/>
          <w:sz w:val="22"/>
        </w:rPr>
        <w:t>Vu le décret n° 62-1587 du 29 décembre 1962 modifié portant règlement général sur la comptabilité publique, en vigueur au moment des faits ;</w:t>
      </w:r>
    </w:p>
    <w:p w:rsidR="0005100B" w:rsidRPr="0005100B" w:rsidRDefault="0005100B" w:rsidP="0005100B">
      <w:pPr>
        <w:spacing w:before="120" w:after="240"/>
        <w:jc w:val="both"/>
        <w:rPr>
          <w:rFonts w:cs="Arial"/>
          <w:i/>
          <w:sz w:val="22"/>
        </w:rPr>
      </w:pPr>
      <w:r w:rsidRPr="0005100B">
        <w:rPr>
          <w:rFonts w:cs="Arial"/>
          <w:sz w:val="22"/>
        </w:rPr>
        <w:t xml:space="preserve">Vu les pièces produites en appel ; </w:t>
      </w:r>
    </w:p>
    <w:p w:rsidR="0005100B" w:rsidRPr="0005100B" w:rsidRDefault="0005100B" w:rsidP="0005100B">
      <w:pPr>
        <w:spacing w:before="120" w:after="240"/>
        <w:jc w:val="both"/>
        <w:rPr>
          <w:rFonts w:cs="Arial"/>
          <w:sz w:val="22"/>
        </w:rPr>
      </w:pPr>
      <w:r w:rsidRPr="0005100B">
        <w:rPr>
          <w:rFonts w:cs="Arial"/>
          <w:sz w:val="22"/>
        </w:rPr>
        <w:t xml:space="preserve">Vu le rapport de </w:t>
      </w:r>
      <w:r w:rsidR="00B5388A" w:rsidRPr="00B5388A">
        <w:rPr>
          <w:rFonts w:cs="Arial"/>
          <w:sz w:val="22"/>
        </w:rPr>
        <w:t>M</w:t>
      </w:r>
      <w:r w:rsidR="00B5388A" w:rsidRPr="00B5388A">
        <w:rPr>
          <w:rFonts w:cs="Arial"/>
          <w:sz w:val="22"/>
          <w:vertAlign w:val="superscript"/>
        </w:rPr>
        <w:t>me</w:t>
      </w:r>
      <w:r w:rsidR="00B5388A">
        <w:rPr>
          <w:rFonts w:cs="Arial"/>
          <w:sz w:val="22"/>
        </w:rPr>
        <w:t xml:space="preserve"> </w:t>
      </w:r>
      <w:r w:rsidRPr="0005100B">
        <w:rPr>
          <w:rFonts w:cs="Arial"/>
          <w:sz w:val="22"/>
        </w:rPr>
        <w:t>Marie-Aimée GASPARI, conseill</w:t>
      </w:r>
      <w:r>
        <w:rPr>
          <w:rFonts w:cs="Arial"/>
          <w:sz w:val="22"/>
        </w:rPr>
        <w:t>è</w:t>
      </w:r>
      <w:r w:rsidRPr="0005100B">
        <w:rPr>
          <w:rFonts w:cs="Arial"/>
          <w:sz w:val="22"/>
        </w:rPr>
        <w:t>r</w:t>
      </w:r>
      <w:r>
        <w:rPr>
          <w:rFonts w:cs="Arial"/>
          <w:sz w:val="22"/>
        </w:rPr>
        <w:t>e</w:t>
      </w:r>
      <w:r w:rsidRPr="0005100B">
        <w:rPr>
          <w:rFonts w:cs="Arial"/>
          <w:sz w:val="22"/>
        </w:rPr>
        <w:t xml:space="preserve"> référendaire ;</w:t>
      </w:r>
    </w:p>
    <w:p w:rsidR="0005100B" w:rsidRPr="0005100B" w:rsidRDefault="0005100B" w:rsidP="0005100B">
      <w:pPr>
        <w:spacing w:before="120" w:after="240"/>
        <w:jc w:val="both"/>
        <w:rPr>
          <w:rFonts w:cs="Arial"/>
          <w:sz w:val="22"/>
        </w:rPr>
      </w:pPr>
      <w:r w:rsidRPr="0005100B">
        <w:rPr>
          <w:rFonts w:cs="Arial"/>
          <w:sz w:val="22"/>
        </w:rPr>
        <w:t>Vu les conclusions du Procureur général n°</w:t>
      </w:r>
      <w:r>
        <w:rPr>
          <w:rFonts w:cs="Arial"/>
          <w:sz w:val="22"/>
        </w:rPr>
        <w:t> </w:t>
      </w:r>
      <w:r w:rsidRPr="0005100B">
        <w:rPr>
          <w:rFonts w:cs="Arial"/>
          <w:sz w:val="22"/>
        </w:rPr>
        <w:t>438 du 3 juillet 2015 ;</w:t>
      </w:r>
    </w:p>
    <w:p w:rsidR="0005100B" w:rsidRPr="0005100B" w:rsidRDefault="004C372F" w:rsidP="0005100B">
      <w:pPr>
        <w:spacing w:before="120" w:after="240"/>
        <w:jc w:val="both"/>
        <w:rPr>
          <w:rFonts w:cs="Arial"/>
          <w:sz w:val="22"/>
        </w:rPr>
      </w:pPr>
      <w:r>
        <w:rPr>
          <w:rFonts w:cs="Arial"/>
          <w:sz w:val="22"/>
        </w:rPr>
        <w:t>Entendu</w:t>
      </w:r>
      <w:r w:rsidR="0005100B" w:rsidRPr="0005100B">
        <w:rPr>
          <w:rFonts w:cs="Arial"/>
          <w:sz w:val="22"/>
        </w:rPr>
        <w:t xml:space="preserve">, lors de l’audience publique du 23 juillet 2015, </w:t>
      </w:r>
      <w:r w:rsidR="00B5388A" w:rsidRPr="00B5388A">
        <w:rPr>
          <w:rFonts w:cs="Arial"/>
          <w:sz w:val="22"/>
        </w:rPr>
        <w:t>M</w:t>
      </w:r>
      <w:r w:rsidR="00B5388A" w:rsidRPr="00B5388A">
        <w:rPr>
          <w:rFonts w:cs="Arial"/>
          <w:sz w:val="22"/>
          <w:vertAlign w:val="superscript"/>
        </w:rPr>
        <w:t>me</w:t>
      </w:r>
      <w:r w:rsidR="00B5388A">
        <w:rPr>
          <w:rFonts w:cs="Arial"/>
          <w:sz w:val="22"/>
        </w:rPr>
        <w:t xml:space="preserve"> </w:t>
      </w:r>
      <w:r w:rsidR="0005100B" w:rsidRPr="0005100B">
        <w:rPr>
          <w:rFonts w:cs="Arial"/>
          <w:sz w:val="22"/>
        </w:rPr>
        <w:t>GASPARI, en son rapport, M.</w:t>
      </w:r>
      <w:r w:rsidR="0005100B">
        <w:rPr>
          <w:rFonts w:cs="Arial"/>
          <w:sz w:val="22"/>
        </w:rPr>
        <w:t> </w:t>
      </w:r>
      <w:r w:rsidR="0005100B" w:rsidRPr="0005100B">
        <w:rPr>
          <w:rFonts w:cs="Arial"/>
          <w:sz w:val="22"/>
        </w:rPr>
        <w:t>Gilles MILLER, avocat général, en les conclusions du ministère public ;</w:t>
      </w:r>
    </w:p>
    <w:p w:rsidR="0005100B" w:rsidRPr="0005100B" w:rsidRDefault="0005100B" w:rsidP="0005100B">
      <w:pPr>
        <w:spacing w:before="120" w:after="240"/>
        <w:jc w:val="both"/>
        <w:rPr>
          <w:rFonts w:cs="Arial"/>
          <w:sz w:val="22"/>
        </w:rPr>
      </w:pPr>
      <w:r w:rsidRPr="0005100B">
        <w:rPr>
          <w:rFonts w:cs="Arial"/>
          <w:sz w:val="22"/>
        </w:rPr>
        <w:t xml:space="preserve">Après avoir entendu en délibéré </w:t>
      </w:r>
      <w:r w:rsidR="00B5388A" w:rsidRPr="00B5388A">
        <w:rPr>
          <w:rFonts w:cs="Arial"/>
          <w:sz w:val="22"/>
        </w:rPr>
        <w:t>M</w:t>
      </w:r>
      <w:r w:rsidR="00B5388A" w:rsidRPr="00B5388A">
        <w:rPr>
          <w:rFonts w:cs="Arial"/>
          <w:sz w:val="22"/>
          <w:vertAlign w:val="superscript"/>
        </w:rPr>
        <w:t>me</w:t>
      </w:r>
      <w:r w:rsidR="00B5388A">
        <w:rPr>
          <w:rFonts w:cs="Arial"/>
          <w:sz w:val="22"/>
        </w:rPr>
        <w:t xml:space="preserve"> </w:t>
      </w:r>
      <w:r w:rsidRPr="0005100B">
        <w:rPr>
          <w:rFonts w:cs="Arial"/>
          <w:sz w:val="22"/>
        </w:rPr>
        <w:t xml:space="preserve">Isabelle </w:t>
      </w:r>
      <w:r w:rsidRPr="0005100B">
        <w:rPr>
          <w:rFonts w:cs="Arial"/>
          <w:caps/>
          <w:sz w:val="22"/>
        </w:rPr>
        <w:t>Latournarie-Willems</w:t>
      </w:r>
      <w:r w:rsidRPr="0005100B">
        <w:rPr>
          <w:rFonts w:cs="Arial"/>
          <w:sz w:val="22"/>
        </w:rPr>
        <w:t>, conseillère maître, en ses observations ;</w:t>
      </w:r>
    </w:p>
    <w:p w:rsidR="00B5388A" w:rsidRDefault="00B5388A">
      <w:pPr>
        <w:spacing w:line="240" w:lineRule="auto"/>
        <w:rPr>
          <w:rFonts w:cs="Arial"/>
          <w:sz w:val="22"/>
        </w:rPr>
      </w:pPr>
      <w:r>
        <w:rPr>
          <w:rFonts w:cs="Arial"/>
          <w:sz w:val="22"/>
        </w:rPr>
        <w:br w:type="page"/>
      </w:r>
    </w:p>
    <w:p w:rsidR="00B5388A" w:rsidRDefault="00B5388A" w:rsidP="00AE583F">
      <w:pPr>
        <w:spacing w:before="120" w:after="240"/>
        <w:jc w:val="both"/>
        <w:rPr>
          <w:rFonts w:cs="Arial"/>
          <w:sz w:val="22"/>
        </w:rPr>
      </w:pPr>
    </w:p>
    <w:p w:rsidR="0005100B" w:rsidRPr="0005100B" w:rsidRDefault="0005100B" w:rsidP="00AE583F">
      <w:pPr>
        <w:spacing w:before="120" w:after="240"/>
        <w:jc w:val="both"/>
        <w:rPr>
          <w:rFonts w:cs="Arial"/>
          <w:sz w:val="22"/>
        </w:rPr>
      </w:pPr>
      <w:r w:rsidRPr="0005100B">
        <w:rPr>
          <w:rFonts w:cs="Arial"/>
          <w:sz w:val="22"/>
        </w:rPr>
        <w:t>Attendu que par le jugement entrepris, la chambre régionale des comptes des Pays-de-la-Loire a constitué M.</w:t>
      </w:r>
      <w:r w:rsidR="00AE583F">
        <w:rPr>
          <w:rFonts w:cs="Arial"/>
          <w:sz w:val="22"/>
        </w:rPr>
        <w:t> </w:t>
      </w:r>
      <w:r w:rsidR="00B40F11">
        <w:rPr>
          <w:rFonts w:cs="Arial"/>
          <w:sz w:val="22"/>
        </w:rPr>
        <w:t>X</w:t>
      </w:r>
      <w:r w:rsidRPr="0005100B">
        <w:rPr>
          <w:rFonts w:cs="Arial"/>
          <w:sz w:val="22"/>
        </w:rPr>
        <w:t>, comptable du centre hospitalier Paul</w:t>
      </w:r>
      <w:r w:rsidR="00B5388A">
        <w:rPr>
          <w:rFonts w:cs="Arial"/>
          <w:sz w:val="22"/>
        </w:rPr>
        <w:t xml:space="preserve"> </w:t>
      </w:r>
      <w:proofErr w:type="spellStart"/>
      <w:r w:rsidRPr="0005100B">
        <w:rPr>
          <w:rFonts w:cs="Arial"/>
          <w:sz w:val="22"/>
        </w:rPr>
        <w:t>Chapron</w:t>
      </w:r>
      <w:proofErr w:type="spellEnd"/>
      <w:r w:rsidRPr="0005100B">
        <w:rPr>
          <w:rFonts w:cs="Arial"/>
          <w:sz w:val="22"/>
        </w:rPr>
        <w:t xml:space="preserve"> à la Ferté-Bernard, débiteur envers cet établissement de la somme de</w:t>
      </w:r>
      <w:r w:rsidR="00B5388A">
        <w:rPr>
          <w:rFonts w:cs="Arial"/>
          <w:sz w:val="22"/>
        </w:rPr>
        <w:t xml:space="preserve"> </w:t>
      </w:r>
      <w:r w:rsidRPr="0005100B">
        <w:rPr>
          <w:rFonts w:cs="Arial"/>
          <w:sz w:val="22"/>
        </w:rPr>
        <w:t>34 352,09 €, augmentée des intérêts au taux légal à compter du 28 octobre 2013, pour avoir payé en 2009 trois mandats correspondant à un marché de travaux relevant de la catégorie des marchés à procédure adaptée, sans avoir veillé à la qualité de l’ordonnateur sur les pièces justificatives requises, dès lors qu’il ne disposait pas d’une délégation de signature de l’ordonnateur au signataire des pièces relatives à ce marché ;</w:t>
      </w:r>
    </w:p>
    <w:p w:rsidR="0005100B" w:rsidRPr="0005100B" w:rsidRDefault="0005100B" w:rsidP="0005100B">
      <w:pPr>
        <w:spacing w:before="120" w:after="240"/>
        <w:jc w:val="both"/>
        <w:rPr>
          <w:rFonts w:cs="Arial"/>
          <w:b/>
          <w:sz w:val="22"/>
        </w:rPr>
      </w:pPr>
      <w:r w:rsidRPr="0005100B">
        <w:rPr>
          <w:rFonts w:cs="Arial"/>
          <w:b/>
          <w:sz w:val="22"/>
        </w:rPr>
        <w:t>Sur la régularité de la procédure</w:t>
      </w:r>
    </w:p>
    <w:p w:rsidR="0005100B" w:rsidRPr="0005100B" w:rsidRDefault="0005100B" w:rsidP="00AE583F">
      <w:pPr>
        <w:pStyle w:val="Corpsdetexte"/>
        <w:spacing w:before="120" w:after="240"/>
        <w:ind w:left="0" w:firstLine="0"/>
        <w:rPr>
          <w:rFonts w:ascii="Arial" w:hAnsi="Arial" w:cs="Arial"/>
          <w:sz w:val="22"/>
          <w:szCs w:val="22"/>
        </w:rPr>
      </w:pPr>
      <w:r w:rsidRPr="0005100B">
        <w:rPr>
          <w:rFonts w:ascii="Arial" w:hAnsi="Arial" w:cs="Arial"/>
          <w:sz w:val="22"/>
          <w:szCs w:val="22"/>
        </w:rPr>
        <w:t>Attendu que le comptable met en cause la régularité de la procédure suivie devant les premiers juges ; qu’il fait valoir que le courrier par lequel le magistrat chargé de l’instruction l’a invité à communiquer ses observations comportait une erreur de visa quant au texte applicable ;  qu’il soutient que cette erreur l’a privé de la possibilité d’organiser utilement sa défense, notamment sur la question de l’existence du préjudice financier ; que cette erreur aurait dès lors vicié la procédure ;</w:t>
      </w:r>
    </w:p>
    <w:p w:rsidR="0005100B" w:rsidRPr="0005100B" w:rsidRDefault="0005100B" w:rsidP="00AE583F">
      <w:pPr>
        <w:spacing w:before="120" w:after="240"/>
        <w:jc w:val="both"/>
        <w:rPr>
          <w:rFonts w:cs="Arial"/>
          <w:sz w:val="22"/>
        </w:rPr>
      </w:pPr>
      <w:r w:rsidRPr="0005100B">
        <w:rPr>
          <w:rFonts w:cs="Arial"/>
          <w:sz w:val="22"/>
        </w:rPr>
        <w:t>Attendu qu’il est constant que le courrier du 4 novembre 2013 par lequel le rapporteur de première instance invitait M.</w:t>
      </w:r>
      <w:r w:rsidR="00AE583F">
        <w:rPr>
          <w:rFonts w:cs="Arial"/>
          <w:sz w:val="22"/>
        </w:rPr>
        <w:t> </w:t>
      </w:r>
      <w:r w:rsidR="00B40F11">
        <w:rPr>
          <w:rFonts w:cs="Arial"/>
          <w:sz w:val="22"/>
        </w:rPr>
        <w:t>X</w:t>
      </w:r>
      <w:r w:rsidRPr="0005100B">
        <w:rPr>
          <w:rFonts w:cs="Arial"/>
          <w:sz w:val="22"/>
        </w:rPr>
        <w:t xml:space="preserve"> à lui communiquer ses observations comportait une référence erronée aux dispositions régissant les obligations des comptables et autres personnes mises en cause envers les demandes d’explication ou de production de pièces formulées par le magistrat chargé de l’instruction ; que, toutefois, les dispositions faisant l’objet de cette référence erronée étaient sans rapport avec le préjudice financier ; qu’en</w:t>
      </w:r>
      <w:r w:rsidR="00B5388A">
        <w:rPr>
          <w:rFonts w:cs="Arial"/>
          <w:sz w:val="22"/>
        </w:rPr>
        <w:t xml:space="preserve"> </w:t>
      </w:r>
      <w:r w:rsidRPr="0005100B">
        <w:rPr>
          <w:rFonts w:cs="Arial"/>
          <w:sz w:val="22"/>
        </w:rPr>
        <w:t>outre, il ressort des pièces du dossier que le magistrat instructeur a expressément demandé, dans ce même courrier, à M.</w:t>
      </w:r>
      <w:r w:rsidR="00AE583F">
        <w:rPr>
          <w:rFonts w:cs="Arial"/>
          <w:sz w:val="22"/>
        </w:rPr>
        <w:t> </w:t>
      </w:r>
      <w:r w:rsidR="00B40F11">
        <w:rPr>
          <w:rFonts w:cs="Arial"/>
          <w:sz w:val="22"/>
        </w:rPr>
        <w:t>X</w:t>
      </w:r>
      <w:r w:rsidRPr="0005100B">
        <w:rPr>
          <w:rFonts w:cs="Arial"/>
          <w:sz w:val="22"/>
        </w:rPr>
        <w:t xml:space="preserve"> de lui fournir ses observations à ce sujet ; qu’ainsi, dans les circonstances de l’espèce, l’erreur de visa invoquée par le comptable est restée sans incidence sur le bon déroulement de la procédure ; que, par suite, M.</w:t>
      </w:r>
      <w:r w:rsidR="00AE583F">
        <w:rPr>
          <w:rFonts w:cs="Arial"/>
          <w:sz w:val="22"/>
        </w:rPr>
        <w:t> </w:t>
      </w:r>
      <w:r w:rsidR="00B40F11">
        <w:rPr>
          <w:rFonts w:cs="Arial"/>
          <w:sz w:val="22"/>
        </w:rPr>
        <w:t>X</w:t>
      </w:r>
      <w:r w:rsidRPr="0005100B">
        <w:rPr>
          <w:rFonts w:cs="Arial"/>
          <w:sz w:val="22"/>
        </w:rPr>
        <w:t xml:space="preserve"> n’est pas fondé à soutenir que le jugement attaqué aurait été rendu au terme d’une procédure irrégulière ;</w:t>
      </w:r>
    </w:p>
    <w:p w:rsidR="0005100B" w:rsidRPr="0005100B" w:rsidRDefault="0005100B" w:rsidP="0005100B">
      <w:pPr>
        <w:spacing w:before="120" w:after="240"/>
        <w:jc w:val="both"/>
        <w:rPr>
          <w:rFonts w:cs="Arial"/>
          <w:b/>
          <w:sz w:val="22"/>
        </w:rPr>
      </w:pPr>
      <w:r w:rsidRPr="0005100B">
        <w:rPr>
          <w:rFonts w:cs="Arial"/>
          <w:b/>
          <w:sz w:val="22"/>
        </w:rPr>
        <w:t>Sur le fond</w:t>
      </w:r>
    </w:p>
    <w:p w:rsidR="0005100B" w:rsidRPr="0005100B" w:rsidRDefault="0005100B" w:rsidP="0005100B">
      <w:pPr>
        <w:spacing w:before="120" w:after="240"/>
        <w:jc w:val="both"/>
        <w:rPr>
          <w:rFonts w:cs="Arial"/>
          <w:sz w:val="22"/>
        </w:rPr>
      </w:pPr>
      <w:r w:rsidRPr="0005100B">
        <w:rPr>
          <w:rFonts w:cs="Arial"/>
          <w:sz w:val="22"/>
        </w:rPr>
        <w:t>Attendu que l’appelant ne conteste pas l’existence d’un manquement ;</w:t>
      </w:r>
    </w:p>
    <w:p w:rsidR="0005100B" w:rsidRPr="0005100B" w:rsidRDefault="0005100B" w:rsidP="00AE583F">
      <w:pPr>
        <w:spacing w:before="120" w:after="240"/>
        <w:jc w:val="both"/>
        <w:rPr>
          <w:rFonts w:cs="Arial"/>
          <w:sz w:val="22"/>
        </w:rPr>
      </w:pPr>
      <w:r w:rsidRPr="0005100B">
        <w:rPr>
          <w:rFonts w:cs="Arial"/>
          <w:sz w:val="22"/>
        </w:rPr>
        <w:t xml:space="preserve">Attendu en revanche que l’appelant soutient que ce manquement n’a pas causé de préjudice au centre hospitalier Paul </w:t>
      </w:r>
      <w:proofErr w:type="spellStart"/>
      <w:r w:rsidRPr="0005100B">
        <w:rPr>
          <w:rFonts w:cs="Arial"/>
          <w:sz w:val="22"/>
        </w:rPr>
        <w:t>Chapron</w:t>
      </w:r>
      <w:proofErr w:type="spellEnd"/>
      <w:r w:rsidRPr="0005100B">
        <w:rPr>
          <w:rFonts w:cs="Arial"/>
          <w:sz w:val="22"/>
        </w:rPr>
        <w:t> ; qu’il soutient que les premiers juges associent le manquement au préjudice financier « </w:t>
      </w:r>
      <w:r w:rsidRPr="0005100B">
        <w:rPr>
          <w:rFonts w:cs="Arial"/>
          <w:i/>
          <w:sz w:val="22"/>
        </w:rPr>
        <w:t>sans en mesurer l’impact financier</w:t>
      </w:r>
      <w:r w:rsidRPr="0005100B">
        <w:rPr>
          <w:rFonts w:cs="Arial"/>
          <w:sz w:val="22"/>
        </w:rPr>
        <w:t> » ; que le fait qu’un marché public soit signé par une autorité incompétente entraîne de plein droit sa nullité ; que</w:t>
      </w:r>
      <w:r w:rsidR="00B5388A">
        <w:rPr>
          <w:rFonts w:cs="Arial"/>
          <w:sz w:val="22"/>
        </w:rPr>
        <w:t xml:space="preserve"> </w:t>
      </w:r>
      <w:r w:rsidRPr="0005100B">
        <w:rPr>
          <w:rFonts w:cs="Arial"/>
          <w:sz w:val="22"/>
        </w:rPr>
        <w:t>si l’application de la règle de la répétition de l’indu peut fonder l’administration à</w:t>
      </w:r>
      <w:r w:rsidR="00B5388A">
        <w:rPr>
          <w:rFonts w:cs="Arial"/>
          <w:sz w:val="22"/>
        </w:rPr>
        <w:t xml:space="preserve"> </w:t>
      </w:r>
      <w:r w:rsidRPr="0005100B">
        <w:rPr>
          <w:rFonts w:cs="Arial"/>
          <w:sz w:val="22"/>
        </w:rPr>
        <w:t>réclamer le remboursement des sommes indument payées à l’entreprise titulaire du marché annulé, en application de la théorie de l’enrichissement sans cause, le cocontractant d’un marché rétroactivement annulé doit être indemnisé ; qu’en l’espèce, la prestation objet du marché ayant été exécutée, l’entreprise prestataire aurait eu droit à une indemnisation ; qu’ainsi, la dépense aurait en tout état de cause dû être payée ;</w:t>
      </w:r>
    </w:p>
    <w:p w:rsidR="0005100B" w:rsidRPr="0005100B" w:rsidRDefault="0005100B" w:rsidP="0005100B">
      <w:pPr>
        <w:spacing w:before="120" w:after="240"/>
        <w:jc w:val="both"/>
        <w:rPr>
          <w:rFonts w:cs="Arial"/>
          <w:i/>
          <w:sz w:val="22"/>
        </w:rPr>
      </w:pPr>
      <w:r w:rsidRPr="0005100B">
        <w:rPr>
          <w:rFonts w:cs="Arial"/>
          <w:sz w:val="22"/>
        </w:rPr>
        <w:t>Attendu qu’en vertu de l’article 60 de la loi de finances du 23 février 1963, la responsabilité personnelle et pécuniaire des comptables publics se trouve engagée dès lors notamment qu’une dépense a été irrégulièrement payée ; qu’en vertu du VI de l’article 60, lorsque le manquement du comptable public à ses obligations a causé un préjudice financier à l’organisme public concerné, il a l’obligation de verser immédiatement de ses deniers personnels une somme égale à la dépense payée à tort ; que s’il n’a pas versé cette somme, il peut être, selon le VII de l’article 60, constitué en débet par le juge des comptes ;</w:t>
      </w:r>
    </w:p>
    <w:p w:rsidR="00B5388A" w:rsidRDefault="00B5388A">
      <w:pPr>
        <w:spacing w:line="240" w:lineRule="auto"/>
        <w:rPr>
          <w:rFonts w:cs="Arial"/>
          <w:color w:val="000000"/>
          <w:sz w:val="22"/>
        </w:rPr>
      </w:pPr>
      <w:r>
        <w:rPr>
          <w:rFonts w:cs="Arial"/>
          <w:color w:val="000000"/>
          <w:sz w:val="22"/>
        </w:rPr>
        <w:br w:type="page"/>
      </w:r>
    </w:p>
    <w:p w:rsidR="00B5388A" w:rsidRDefault="00B5388A" w:rsidP="0005100B">
      <w:pPr>
        <w:spacing w:before="120" w:after="240"/>
        <w:jc w:val="both"/>
        <w:rPr>
          <w:rFonts w:cs="Arial"/>
          <w:color w:val="000000"/>
          <w:sz w:val="22"/>
        </w:rPr>
      </w:pPr>
    </w:p>
    <w:p w:rsidR="0005100B" w:rsidRPr="0005100B" w:rsidRDefault="0005100B" w:rsidP="0005100B">
      <w:pPr>
        <w:spacing w:before="120" w:after="240"/>
        <w:jc w:val="both"/>
        <w:rPr>
          <w:rFonts w:cs="Arial"/>
          <w:sz w:val="22"/>
        </w:rPr>
      </w:pPr>
      <w:r w:rsidRPr="0005100B">
        <w:rPr>
          <w:rFonts w:cs="Arial"/>
          <w:color w:val="000000"/>
          <w:sz w:val="22"/>
        </w:rPr>
        <w:t>Attendu, en premier lieu, qu’il n’appartient pas au juge des comptes d’évaluer le montant du préjudice financier causé à une collectivité, mais seulement d’en établir l’existence ; que, dès lors, le moyen tiré de ce que les premiers juges auraient associé le préjudice financier au manquement aux obligations de contrôle sans en mesurer l’impact financier est inopérant </w:t>
      </w:r>
      <w:r w:rsidRPr="0005100B">
        <w:rPr>
          <w:rFonts w:cs="Arial"/>
          <w:sz w:val="22"/>
        </w:rPr>
        <w:t>;</w:t>
      </w:r>
    </w:p>
    <w:p w:rsidR="0005100B" w:rsidRPr="0005100B" w:rsidRDefault="0005100B" w:rsidP="0005100B">
      <w:pPr>
        <w:spacing w:before="120" w:after="240"/>
        <w:jc w:val="both"/>
        <w:rPr>
          <w:rFonts w:cs="Arial"/>
          <w:sz w:val="22"/>
        </w:rPr>
      </w:pPr>
      <w:r w:rsidRPr="0005100B">
        <w:rPr>
          <w:rFonts w:cs="Arial"/>
          <w:sz w:val="22"/>
        </w:rPr>
        <w:t>Attendu, en deuxième lieu, que le juge des comptes n’est pas le juge du contrat ; que par suite, le moyen tiré de la nullité du marché et de ses conséquences supposées, comme d’</w:t>
      </w:r>
      <w:r w:rsidRPr="0005100B">
        <w:rPr>
          <w:rFonts w:cs="Arial"/>
          <w:color w:val="000000"/>
          <w:sz w:val="22"/>
        </w:rPr>
        <w:t>un éventuel enrichissement sans cause procuré au centre hospitalier,</w:t>
      </w:r>
      <w:r w:rsidRPr="0005100B">
        <w:rPr>
          <w:rFonts w:cs="Arial"/>
          <w:sz w:val="22"/>
        </w:rPr>
        <w:t xml:space="preserve"> est inopérant ;</w:t>
      </w:r>
    </w:p>
    <w:p w:rsidR="0005100B" w:rsidRPr="0005100B" w:rsidRDefault="0005100B" w:rsidP="0005100B">
      <w:pPr>
        <w:spacing w:before="120" w:after="240"/>
        <w:jc w:val="both"/>
        <w:rPr>
          <w:rFonts w:cs="Arial"/>
          <w:sz w:val="22"/>
        </w:rPr>
      </w:pPr>
      <w:r w:rsidRPr="0005100B">
        <w:rPr>
          <w:rFonts w:cs="Arial"/>
          <w:sz w:val="22"/>
        </w:rPr>
        <w:t>Attendu qu’il ressort des pièces du dossier que la dépense a été engagée par une autorité incompétente ; qu’il suit de là qu’alors même que la prestation avait été fournie, la dépense était dépourvue de fondement juridique ; que, par suite le paiement des trois mandats litigieux était non seulement irrégulier, mais aussi indu ; qu’ainsi le préjudice financier est établi ; que dès lors le moyen doit être écarté ;</w:t>
      </w:r>
    </w:p>
    <w:p w:rsidR="0005100B" w:rsidRPr="0005100B" w:rsidRDefault="0005100B" w:rsidP="0005100B">
      <w:pPr>
        <w:spacing w:before="120" w:after="240"/>
        <w:jc w:val="both"/>
        <w:rPr>
          <w:rFonts w:cs="Arial"/>
          <w:sz w:val="22"/>
        </w:rPr>
      </w:pPr>
      <w:r w:rsidRPr="0005100B">
        <w:rPr>
          <w:rFonts w:cs="Arial"/>
          <w:sz w:val="22"/>
        </w:rPr>
        <w:t xml:space="preserve">Attendu qu’il résulte de ce qui précède que c’est à bon droit que la chambre régionale des comptes des Pays-de-la-Loire a conclu à l’existence d’un préjudice financier ; </w:t>
      </w:r>
    </w:p>
    <w:p w:rsidR="0005100B" w:rsidRPr="0005100B" w:rsidRDefault="0005100B" w:rsidP="0005100B">
      <w:pPr>
        <w:spacing w:before="120" w:after="240"/>
        <w:jc w:val="both"/>
        <w:rPr>
          <w:rFonts w:cs="Arial"/>
          <w:sz w:val="22"/>
        </w:rPr>
      </w:pPr>
      <w:r w:rsidRPr="0005100B">
        <w:rPr>
          <w:rFonts w:cs="Arial"/>
          <w:sz w:val="22"/>
        </w:rPr>
        <w:t>Par ces motifs,</w:t>
      </w:r>
    </w:p>
    <w:p w:rsidR="0005100B" w:rsidRPr="00AE583F" w:rsidRDefault="0005100B" w:rsidP="00AE583F">
      <w:pPr>
        <w:spacing w:before="120" w:after="360"/>
        <w:jc w:val="center"/>
        <w:rPr>
          <w:rFonts w:cs="Arial"/>
          <w:b/>
          <w:sz w:val="22"/>
        </w:rPr>
      </w:pPr>
      <w:r w:rsidRPr="00AE583F">
        <w:rPr>
          <w:rFonts w:cs="Arial"/>
          <w:b/>
          <w:sz w:val="22"/>
        </w:rPr>
        <w:t>D</w:t>
      </w:r>
      <w:r w:rsidR="00AE583F">
        <w:rPr>
          <w:rFonts w:cs="Arial"/>
          <w:b/>
          <w:sz w:val="22"/>
        </w:rPr>
        <w:t>É</w:t>
      </w:r>
      <w:r w:rsidRPr="00AE583F">
        <w:rPr>
          <w:rFonts w:cs="Arial"/>
          <w:b/>
          <w:sz w:val="22"/>
        </w:rPr>
        <w:t>CIDE :</w:t>
      </w:r>
    </w:p>
    <w:p w:rsidR="0005100B" w:rsidRPr="0005100B" w:rsidRDefault="0005100B" w:rsidP="00FE14C7">
      <w:pPr>
        <w:spacing w:before="240" w:after="240"/>
        <w:jc w:val="both"/>
        <w:rPr>
          <w:rFonts w:cs="Arial"/>
          <w:sz w:val="22"/>
        </w:rPr>
      </w:pPr>
      <w:r w:rsidRPr="00AE583F">
        <w:rPr>
          <w:rFonts w:cs="Arial"/>
          <w:b/>
          <w:sz w:val="22"/>
        </w:rPr>
        <w:t>Article</w:t>
      </w:r>
      <w:r w:rsidR="00AE583F" w:rsidRPr="00AE583F">
        <w:rPr>
          <w:rFonts w:cs="Arial"/>
          <w:b/>
          <w:sz w:val="22"/>
        </w:rPr>
        <w:t xml:space="preserve"> unique</w:t>
      </w:r>
      <w:r w:rsidRPr="0005100B">
        <w:rPr>
          <w:rFonts w:cs="Arial"/>
          <w:sz w:val="22"/>
        </w:rPr>
        <w:t xml:space="preserve"> - La requête de M.</w:t>
      </w:r>
      <w:r w:rsidR="00FE14C7">
        <w:rPr>
          <w:rFonts w:cs="Arial"/>
          <w:sz w:val="22"/>
        </w:rPr>
        <w:t> </w:t>
      </w:r>
      <w:r w:rsidR="00B40F11">
        <w:rPr>
          <w:rFonts w:cs="Arial"/>
          <w:sz w:val="22"/>
        </w:rPr>
        <w:t>X</w:t>
      </w:r>
      <w:r w:rsidRPr="0005100B">
        <w:rPr>
          <w:rFonts w:cs="Arial"/>
          <w:sz w:val="22"/>
        </w:rPr>
        <w:t xml:space="preserve"> est rejetée.</w:t>
      </w:r>
    </w:p>
    <w:p w:rsidR="0005100B" w:rsidRPr="0005100B" w:rsidRDefault="0005100B" w:rsidP="00FE14C7">
      <w:pPr>
        <w:tabs>
          <w:tab w:val="center" w:pos="5245"/>
        </w:tabs>
        <w:spacing w:before="240" w:after="240"/>
        <w:jc w:val="center"/>
        <w:rPr>
          <w:rFonts w:cs="Arial"/>
          <w:sz w:val="22"/>
        </w:rPr>
      </w:pPr>
      <w:r w:rsidRPr="0005100B">
        <w:rPr>
          <w:rFonts w:cs="Arial"/>
          <w:sz w:val="22"/>
        </w:rPr>
        <w:t>------------</w:t>
      </w:r>
    </w:p>
    <w:p w:rsidR="0005100B" w:rsidRPr="0005100B" w:rsidRDefault="0005100B" w:rsidP="00FE14C7">
      <w:pPr>
        <w:spacing w:before="240" w:after="240"/>
        <w:jc w:val="both"/>
        <w:rPr>
          <w:rFonts w:cs="Arial"/>
          <w:sz w:val="22"/>
        </w:rPr>
      </w:pPr>
      <w:r w:rsidRPr="0005100B">
        <w:rPr>
          <w:rFonts w:cs="Arial"/>
          <w:sz w:val="22"/>
        </w:rPr>
        <w:t>Fait et jugé en la Cour des comptes, quatrième chambre, première section. Présents</w:t>
      </w:r>
      <w:r w:rsidR="00E40FF0">
        <w:rPr>
          <w:rFonts w:cs="Arial"/>
          <w:sz w:val="22"/>
        </w:rPr>
        <w:t> :</w:t>
      </w:r>
      <w:r w:rsidR="00AE583F">
        <w:rPr>
          <w:rFonts w:cs="Arial"/>
          <w:sz w:val="22"/>
        </w:rPr>
        <w:t> </w:t>
      </w:r>
      <w:r w:rsidRPr="0005100B">
        <w:rPr>
          <w:rFonts w:cs="Arial"/>
          <w:sz w:val="22"/>
        </w:rPr>
        <w:t>M</w:t>
      </w:r>
      <w:r w:rsidR="00AE583F">
        <w:rPr>
          <w:rFonts w:cs="Arial"/>
          <w:sz w:val="22"/>
        </w:rPr>
        <w:t>. </w:t>
      </w:r>
      <w:r w:rsidRPr="0005100B">
        <w:rPr>
          <w:rFonts w:cs="Arial"/>
          <w:sz w:val="22"/>
        </w:rPr>
        <w:t xml:space="preserve">Yves ROLLAND, président de section, président de </w:t>
      </w:r>
      <w:r w:rsidR="00E40FF0">
        <w:rPr>
          <w:rFonts w:cs="Arial"/>
          <w:sz w:val="22"/>
        </w:rPr>
        <w:t>séance</w:t>
      </w:r>
      <w:r w:rsidRPr="0005100B">
        <w:rPr>
          <w:rFonts w:cs="Arial"/>
          <w:sz w:val="22"/>
        </w:rPr>
        <w:t xml:space="preserve">, </w:t>
      </w:r>
      <w:r w:rsidR="00B5388A" w:rsidRPr="00B5388A">
        <w:rPr>
          <w:rFonts w:cs="Arial"/>
          <w:sz w:val="22"/>
        </w:rPr>
        <w:t>M</w:t>
      </w:r>
      <w:r w:rsidR="00B5388A" w:rsidRPr="00B5388A">
        <w:rPr>
          <w:rFonts w:cs="Arial"/>
          <w:sz w:val="22"/>
          <w:vertAlign w:val="superscript"/>
        </w:rPr>
        <w:t>me</w:t>
      </w:r>
      <w:r w:rsidR="00B5388A">
        <w:rPr>
          <w:rFonts w:cs="Arial"/>
          <w:sz w:val="22"/>
        </w:rPr>
        <w:t> </w:t>
      </w:r>
      <w:r w:rsidRPr="0005100B">
        <w:rPr>
          <w:rFonts w:cs="Arial"/>
          <w:sz w:val="22"/>
        </w:rPr>
        <w:t>Anne</w:t>
      </w:r>
      <w:r w:rsidR="00B5388A">
        <w:rPr>
          <w:rFonts w:cs="Arial"/>
          <w:sz w:val="22"/>
        </w:rPr>
        <w:t xml:space="preserve"> </w:t>
      </w:r>
      <w:r w:rsidRPr="0005100B">
        <w:rPr>
          <w:rFonts w:cs="Arial"/>
          <w:sz w:val="22"/>
        </w:rPr>
        <w:t>FROMENT-MEURICE, présidente de chambre maintenue en activité, MM.</w:t>
      </w:r>
      <w:r w:rsidR="00AE583F">
        <w:rPr>
          <w:rFonts w:cs="Arial"/>
          <w:sz w:val="22"/>
        </w:rPr>
        <w:t> </w:t>
      </w:r>
      <w:r w:rsidR="00AE583F" w:rsidRPr="0005100B">
        <w:rPr>
          <w:rFonts w:cs="Arial"/>
          <w:sz w:val="22"/>
        </w:rPr>
        <w:t>Jean-Pierre LAFAURE</w:t>
      </w:r>
      <w:r w:rsidR="00AE583F">
        <w:rPr>
          <w:rFonts w:cs="Arial"/>
          <w:sz w:val="22"/>
        </w:rPr>
        <w:t>,</w:t>
      </w:r>
      <w:r w:rsidR="00AE583F" w:rsidRPr="0005100B">
        <w:rPr>
          <w:rFonts w:cs="Arial"/>
          <w:sz w:val="22"/>
        </w:rPr>
        <w:t xml:space="preserve"> </w:t>
      </w:r>
      <w:r w:rsidRPr="0005100B">
        <w:rPr>
          <w:rFonts w:cs="Arial"/>
          <w:sz w:val="22"/>
        </w:rPr>
        <w:t>Jean-Yves BERTUCCI</w:t>
      </w:r>
      <w:r w:rsidR="00AE583F">
        <w:rPr>
          <w:rFonts w:cs="Arial"/>
          <w:sz w:val="22"/>
        </w:rPr>
        <w:t>,</w:t>
      </w:r>
      <w:r w:rsidRPr="0005100B">
        <w:rPr>
          <w:rFonts w:cs="Arial"/>
          <w:sz w:val="22"/>
        </w:rPr>
        <w:t xml:space="preserve"> conseillers maîtres, </w:t>
      </w:r>
      <w:r w:rsidR="00AE583F">
        <w:rPr>
          <w:rFonts w:cs="Arial"/>
          <w:sz w:val="22"/>
        </w:rPr>
        <w:t xml:space="preserve">et </w:t>
      </w:r>
      <w:r w:rsidRPr="0005100B">
        <w:rPr>
          <w:rFonts w:cs="Arial"/>
          <w:sz w:val="22"/>
        </w:rPr>
        <w:t>M</w:t>
      </w:r>
      <w:r w:rsidRPr="00B5388A">
        <w:rPr>
          <w:rFonts w:cs="Arial"/>
          <w:sz w:val="22"/>
          <w:vertAlign w:val="superscript"/>
        </w:rPr>
        <w:t>mes</w:t>
      </w:r>
      <w:r w:rsidR="00B5388A">
        <w:rPr>
          <w:rFonts w:cs="Arial"/>
          <w:sz w:val="22"/>
        </w:rPr>
        <w:t> </w:t>
      </w:r>
      <w:r w:rsidRPr="0005100B">
        <w:rPr>
          <w:rFonts w:cs="Arial"/>
          <w:sz w:val="22"/>
        </w:rPr>
        <w:t>Laurence ENGEL et Isabelle LATOURNARIE-WILLEMS, conseillère</w:t>
      </w:r>
      <w:r w:rsidR="00AE583F">
        <w:rPr>
          <w:rFonts w:cs="Arial"/>
          <w:sz w:val="22"/>
        </w:rPr>
        <w:t>s</w:t>
      </w:r>
      <w:r w:rsidRPr="0005100B">
        <w:rPr>
          <w:rFonts w:cs="Arial"/>
          <w:sz w:val="22"/>
        </w:rPr>
        <w:t xml:space="preserve"> maîtres.</w:t>
      </w:r>
    </w:p>
    <w:p w:rsidR="00C744AF" w:rsidRPr="0076667F" w:rsidRDefault="00BA4F93" w:rsidP="00C744AF">
      <w:pPr>
        <w:tabs>
          <w:tab w:val="center" w:pos="4536"/>
          <w:tab w:val="right" w:pos="9072"/>
        </w:tabs>
        <w:spacing w:before="120" w:after="360" w:line="240" w:lineRule="auto"/>
        <w:jc w:val="both"/>
        <w:rPr>
          <w:rFonts w:eastAsia="Times New Roman" w:cs="Arial"/>
          <w:sz w:val="22"/>
          <w:lang w:eastAsia="fr-FR"/>
        </w:rPr>
      </w:pPr>
      <w:r w:rsidRPr="0076667F">
        <w:rPr>
          <w:rFonts w:eastAsia="Times New Roman" w:cs="Arial"/>
          <w:sz w:val="22"/>
          <w:lang w:eastAsia="fr-FR"/>
        </w:rPr>
        <w:t xml:space="preserve">En présence de </w:t>
      </w:r>
      <w:r w:rsidR="00B5388A" w:rsidRPr="00B5388A">
        <w:rPr>
          <w:rFonts w:eastAsia="Times New Roman" w:cs="Arial"/>
          <w:sz w:val="22"/>
          <w:lang w:eastAsia="fr-FR"/>
        </w:rPr>
        <w:t>M</w:t>
      </w:r>
      <w:r w:rsidR="00B5388A" w:rsidRPr="00B5388A">
        <w:rPr>
          <w:rFonts w:eastAsia="Times New Roman" w:cs="Arial"/>
          <w:sz w:val="22"/>
          <w:vertAlign w:val="superscript"/>
          <w:lang w:eastAsia="fr-FR"/>
        </w:rPr>
        <w:t>me</w:t>
      </w:r>
      <w:r w:rsidR="00B5388A">
        <w:rPr>
          <w:rFonts w:eastAsia="Times New Roman" w:cs="Arial"/>
          <w:sz w:val="22"/>
          <w:lang w:eastAsia="fr-FR"/>
        </w:rPr>
        <w:t> </w:t>
      </w:r>
      <w:bookmarkStart w:id="0" w:name="_GoBack"/>
      <w:bookmarkEnd w:id="0"/>
      <w:r w:rsidR="00AE583F" w:rsidRPr="0076667F">
        <w:rPr>
          <w:rFonts w:eastAsia="Times New Roman" w:cs="Arial"/>
          <w:sz w:val="22"/>
          <w:lang w:eastAsia="fr-FR"/>
        </w:rPr>
        <w:t xml:space="preserve">Marie-Hélène PARIS-VARIN, </w:t>
      </w:r>
      <w:r w:rsidRPr="0076667F">
        <w:rPr>
          <w:rFonts w:eastAsia="Times New Roman" w:cs="Arial"/>
          <w:sz w:val="22"/>
          <w:lang w:eastAsia="fr-FR"/>
        </w:rPr>
        <w:t>greffière de séance.</w:t>
      </w:r>
    </w:p>
    <w:tbl>
      <w:tblPr>
        <w:tblW w:w="0" w:type="auto"/>
        <w:tblInd w:w="34" w:type="dxa"/>
        <w:tblLook w:val="00A0" w:firstRow="1" w:lastRow="0" w:firstColumn="1" w:lastColumn="0" w:noHBand="0" w:noVBand="0"/>
      </w:tblPr>
      <w:tblGrid>
        <w:gridCol w:w="4625"/>
        <w:gridCol w:w="4627"/>
      </w:tblGrid>
      <w:tr w:rsidR="006A6A2B" w:rsidRPr="0076667F" w:rsidTr="00FA066B">
        <w:tc>
          <w:tcPr>
            <w:tcW w:w="4625" w:type="dxa"/>
          </w:tcPr>
          <w:p w:rsidR="006A6A2B" w:rsidRPr="0076667F" w:rsidRDefault="000C1C6B" w:rsidP="00C03789">
            <w:pPr>
              <w:tabs>
                <w:tab w:val="center" w:pos="4536"/>
                <w:tab w:val="right" w:pos="9072"/>
              </w:tabs>
              <w:spacing w:line="240" w:lineRule="auto"/>
              <w:jc w:val="center"/>
              <w:rPr>
                <w:rFonts w:eastAsia="Times New Roman" w:cs="Arial"/>
                <w:b/>
                <w:sz w:val="22"/>
                <w:lang w:eastAsia="fr-FR"/>
              </w:rPr>
            </w:pPr>
          </w:p>
          <w:p w:rsidR="006A6A2B" w:rsidRPr="0076667F" w:rsidRDefault="000C1C6B" w:rsidP="00C03789">
            <w:pPr>
              <w:tabs>
                <w:tab w:val="center" w:pos="4536"/>
                <w:tab w:val="right" w:pos="9072"/>
              </w:tabs>
              <w:spacing w:line="240" w:lineRule="auto"/>
              <w:jc w:val="center"/>
              <w:rPr>
                <w:rFonts w:eastAsia="Times New Roman" w:cs="Arial"/>
                <w:b/>
                <w:sz w:val="22"/>
                <w:lang w:eastAsia="fr-FR"/>
              </w:rPr>
            </w:pPr>
          </w:p>
          <w:p w:rsidR="00AE583F" w:rsidRPr="0076667F" w:rsidRDefault="00AE583F" w:rsidP="00C03789">
            <w:pPr>
              <w:tabs>
                <w:tab w:val="center" w:pos="4536"/>
                <w:tab w:val="right" w:pos="9072"/>
              </w:tabs>
              <w:spacing w:line="240" w:lineRule="auto"/>
              <w:jc w:val="center"/>
              <w:rPr>
                <w:rFonts w:eastAsia="Times New Roman" w:cs="Arial"/>
                <w:b/>
                <w:sz w:val="22"/>
                <w:lang w:eastAsia="fr-FR"/>
              </w:rPr>
            </w:pPr>
          </w:p>
          <w:p w:rsidR="00AE583F" w:rsidRPr="0076667F" w:rsidRDefault="00AE583F" w:rsidP="00C03789">
            <w:pPr>
              <w:tabs>
                <w:tab w:val="center" w:pos="4536"/>
                <w:tab w:val="right" w:pos="9072"/>
              </w:tabs>
              <w:spacing w:line="240" w:lineRule="auto"/>
              <w:jc w:val="center"/>
              <w:rPr>
                <w:rFonts w:eastAsia="Times New Roman" w:cs="Arial"/>
                <w:b/>
                <w:sz w:val="22"/>
                <w:lang w:eastAsia="fr-FR"/>
              </w:rPr>
            </w:pPr>
          </w:p>
          <w:p w:rsidR="003A288B" w:rsidRPr="0076667F" w:rsidRDefault="003A288B" w:rsidP="00C03789">
            <w:pPr>
              <w:tabs>
                <w:tab w:val="center" w:pos="4536"/>
                <w:tab w:val="right" w:pos="9072"/>
              </w:tabs>
              <w:spacing w:line="240" w:lineRule="auto"/>
              <w:jc w:val="center"/>
              <w:rPr>
                <w:rFonts w:eastAsia="Times New Roman" w:cs="Arial"/>
                <w:b/>
                <w:sz w:val="22"/>
                <w:lang w:eastAsia="fr-FR"/>
              </w:rPr>
            </w:pPr>
          </w:p>
          <w:p w:rsidR="003A288B" w:rsidRPr="0076667F" w:rsidRDefault="003A288B" w:rsidP="00C03789">
            <w:pPr>
              <w:tabs>
                <w:tab w:val="center" w:pos="4536"/>
                <w:tab w:val="right" w:pos="9072"/>
              </w:tabs>
              <w:spacing w:line="240" w:lineRule="auto"/>
              <w:jc w:val="center"/>
              <w:rPr>
                <w:rFonts w:eastAsia="Times New Roman" w:cs="Arial"/>
                <w:b/>
                <w:sz w:val="22"/>
                <w:lang w:eastAsia="fr-FR"/>
              </w:rPr>
            </w:pPr>
          </w:p>
          <w:p w:rsidR="003A288B" w:rsidRPr="0076667F" w:rsidRDefault="003A288B" w:rsidP="00C03789">
            <w:pPr>
              <w:tabs>
                <w:tab w:val="center" w:pos="4536"/>
                <w:tab w:val="right" w:pos="9072"/>
              </w:tabs>
              <w:spacing w:line="240" w:lineRule="auto"/>
              <w:jc w:val="center"/>
              <w:rPr>
                <w:rFonts w:eastAsia="Times New Roman" w:cs="Arial"/>
                <w:b/>
                <w:sz w:val="22"/>
                <w:lang w:eastAsia="fr-FR"/>
              </w:rPr>
            </w:pPr>
          </w:p>
          <w:p w:rsidR="006A6A2B" w:rsidRPr="0076667F" w:rsidRDefault="00AE583F" w:rsidP="00AE583F">
            <w:pPr>
              <w:tabs>
                <w:tab w:val="center" w:pos="4536"/>
                <w:tab w:val="right" w:pos="9072"/>
              </w:tabs>
              <w:spacing w:line="240" w:lineRule="auto"/>
              <w:jc w:val="center"/>
              <w:rPr>
                <w:rFonts w:eastAsia="Times New Roman" w:cs="Arial"/>
                <w:b/>
                <w:sz w:val="22"/>
                <w:lang w:eastAsia="fr-FR"/>
              </w:rPr>
            </w:pPr>
            <w:r w:rsidRPr="0076667F">
              <w:rPr>
                <w:rFonts w:eastAsia="Times New Roman" w:cs="Arial"/>
                <w:b/>
                <w:sz w:val="22"/>
                <w:lang w:eastAsia="fr-FR"/>
              </w:rPr>
              <w:t>Marie-Hélène PARIS-VARIN</w:t>
            </w:r>
          </w:p>
        </w:tc>
        <w:tc>
          <w:tcPr>
            <w:tcW w:w="4627" w:type="dxa"/>
          </w:tcPr>
          <w:p w:rsidR="006A6A2B" w:rsidRPr="0076667F" w:rsidRDefault="000C1C6B" w:rsidP="00C03789">
            <w:pPr>
              <w:tabs>
                <w:tab w:val="center" w:pos="4536"/>
                <w:tab w:val="right" w:pos="9072"/>
              </w:tabs>
              <w:spacing w:line="240" w:lineRule="auto"/>
              <w:jc w:val="center"/>
              <w:rPr>
                <w:rFonts w:eastAsia="Times New Roman" w:cs="Arial"/>
                <w:b/>
                <w:sz w:val="22"/>
                <w:lang w:eastAsia="fr-FR"/>
              </w:rPr>
            </w:pPr>
          </w:p>
          <w:p w:rsidR="00AE583F" w:rsidRPr="0076667F" w:rsidRDefault="00AE583F" w:rsidP="00C03789">
            <w:pPr>
              <w:tabs>
                <w:tab w:val="center" w:pos="4536"/>
                <w:tab w:val="right" w:pos="9072"/>
              </w:tabs>
              <w:spacing w:line="240" w:lineRule="auto"/>
              <w:jc w:val="center"/>
              <w:rPr>
                <w:rFonts w:eastAsia="Times New Roman" w:cs="Arial"/>
                <w:b/>
                <w:sz w:val="22"/>
                <w:lang w:eastAsia="fr-FR"/>
              </w:rPr>
            </w:pPr>
          </w:p>
          <w:p w:rsidR="00AE583F" w:rsidRPr="0076667F" w:rsidRDefault="00AE583F" w:rsidP="00C03789">
            <w:pPr>
              <w:tabs>
                <w:tab w:val="center" w:pos="4536"/>
                <w:tab w:val="right" w:pos="9072"/>
              </w:tabs>
              <w:spacing w:line="240" w:lineRule="auto"/>
              <w:jc w:val="center"/>
              <w:rPr>
                <w:rFonts w:eastAsia="Times New Roman" w:cs="Arial"/>
                <w:b/>
                <w:sz w:val="22"/>
                <w:lang w:eastAsia="fr-FR"/>
              </w:rPr>
            </w:pPr>
          </w:p>
          <w:p w:rsidR="00AE583F" w:rsidRPr="0076667F" w:rsidRDefault="00AE583F" w:rsidP="00C03789">
            <w:pPr>
              <w:tabs>
                <w:tab w:val="center" w:pos="4536"/>
                <w:tab w:val="right" w:pos="9072"/>
              </w:tabs>
              <w:spacing w:line="240" w:lineRule="auto"/>
              <w:jc w:val="center"/>
              <w:rPr>
                <w:rFonts w:eastAsia="Times New Roman" w:cs="Arial"/>
                <w:b/>
                <w:sz w:val="22"/>
                <w:lang w:eastAsia="fr-FR"/>
              </w:rPr>
            </w:pPr>
          </w:p>
          <w:p w:rsidR="00AE583F" w:rsidRPr="0076667F" w:rsidRDefault="00AE583F" w:rsidP="00C03789">
            <w:pPr>
              <w:tabs>
                <w:tab w:val="center" w:pos="4536"/>
                <w:tab w:val="right" w:pos="9072"/>
              </w:tabs>
              <w:spacing w:line="240" w:lineRule="auto"/>
              <w:jc w:val="center"/>
              <w:rPr>
                <w:rFonts w:eastAsia="Times New Roman" w:cs="Arial"/>
                <w:b/>
                <w:sz w:val="22"/>
                <w:lang w:eastAsia="fr-FR"/>
              </w:rPr>
            </w:pPr>
          </w:p>
          <w:p w:rsidR="003A288B" w:rsidRPr="0076667F" w:rsidRDefault="003A288B" w:rsidP="00C03789">
            <w:pPr>
              <w:tabs>
                <w:tab w:val="center" w:pos="4536"/>
                <w:tab w:val="right" w:pos="9072"/>
              </w:tabs>
              <w:spacing w:line="240" w:lineRule="auto"/>
              <w:jc w:val="center"/>
              <w:rPr>
                <w:rFonts w:eastAsia="Times New Roman" w:cs="Arial"/>
                <w:b/>
                <w:sz w:val="22"/>
                <w:lang w:eastAsia="fr-FR"/>
              </w:rPr>
            </w:pPr>
          </w:p>
          <w:p w:rsidR="003A288B" w:rsidRPr="0076667F" w:rsidRDefault="003A288B" w:rsidP="00C03789">
            <w:pPr>
              <w:tabs>
                <w:tab w:val="center" w:pos="4536"/>
                <w:tab w:val="right" w:pos="9072"/>
              </w:tabs>
              <w:spacing w:line="240" w:lineRule="auto"/>
              <w:jc w:val="center"/>
              <w:rPr>
                <w:rFonts w:eastAsia="Times New Roman" w:cs="Arial"/>
                <w:b/>
                <w:sz w:val="22"/>
                <w:lang w:eastAsia="fr-FR"/>
              </w:rPr>
            </w:pPr>
          </w:p>
          <w:p w:rsidR="006A6A2B" w:rsidRPr="0076667F" w:rsidRDefault="00AE583F" w:rsidP="00C03789">
            <w:pPr>
              <w:tabs>
                <w:tab w:val="center" w:pos="4536"/>
                <w:tab w:val="right" w:pos="9072"/>
              </w:tabs>
              <w:jc w:val="center"/>
              <w:rPr>
                <w:rFonts w:eastAsia="Times New Roman" w:cs="Arial"/>
                <w:b/>
                <w:sz w:val="22"/>
                <w:lang w:eastAsia="fr-FR"/>
              </w:rPr>
            </w:pPr>
            <w:r w:rsidRPr="0076667F">
              <w:rPr>
                <w:rFonts w:eastAsia="Times New Roman" w:cs="Arial"/>
                <w:b/>
                <w:sz w:val="22"/>
                <w:lang w:eastAsia="fr-FR"/>
              </w:rPr>
              <w:t>Yves ROLLAND</w:t>
            </w:r>
          </w:p>
        </w:tc>
      </w:tr>
    </w:tbl>
    <w:p w:rsidR="00F942D7" w:rsidRPr="0076667F" w:rsidRDefault="000C1C6B" w:rsidP="00F942D7">
      <w:pPr>
        <w:tabs>
          <w:tab w:val="center" w:pos="4536"/>
        </w:tabs>
        <w:spacing w:line="240" w:lineRule="auto"/>
        <w:jc w:val="both"/>
        <w:rPr>
          <w:rFonts w:eastAsia="Times New Roman" w:cs="Arial"/>
          <w:sz w:val="22"/>
          <w:lang w:eastAsia="fr-FR"/>
        </w:rPr>
      </w:pPr>
    </w:p>
    <w:p w:rsidR="00F942D7" w:rsidRPr="003E76DE" w:rsidRDefault="000C1C6B" w:rsidP="00F942D7">
      <w:pPr>
        <w:tabs>
          <w:tab w:val="center" w:pos="4536"/>
        </w:tabs>
        <w:spacing w:line="240" w:lineRule="auto"/>
        <w:jc w:val="both"/>
        <w:rPr>
          <w:rFonts w:eastAsia="Times New Roman" w:cs="Arial"/>
          <w:lang w:eastAsia="fr-FR"/>
        </w:rPr>
      </w:pPr>
    </w:p>
    <w:p w:rsidR="008F197D" w:rsidRPr="0076667F" w:rsidRDefault="00BA4F93" w:rsidP="00F35882">
      <w:pPr>
        <w:tabs>
          <w:tab w:val="center" w:pos="4536"/>
        </w:tabs>
        <w:spacing w:line="240" w:lineRule="auto"/>
        <w:jc w:val="both"/>
        <w:rPr>
          <w:rFonts w:cs="Arial"/>
          <w:sz w:val="22"/>
        </w:rPr>
      </w:pPr>
      <w:r w:rsidRPr="0076667F">
        <w:rPr>
          <w:rFonts w:eastAsia="Times New Roman" w:cs="Arial"/>
          <w:sz w:val="22"/>
          <w:lang w:eastAsia="fr-FR"/>
        </w:rPr>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à l’article R. 142-15-I du même code.</w:t>
      </w:r>
    </w:p>
    <w:p w:rsidR="008F197D" w:rsidRPr="003E76DE" w:rsidRDefault="000C1C6B" w:rsidP="00F35882">
      <w:pPr>
        <w:spacing w:before="240" w:after="240" w:line="240" w:lineRule="auto"/>
        <w:jc w:val="both"/>
        <w:rPr>
          <w:rFonts w:cs="Arial"/>
        </w:rPr>
      </w:pPr>
    </w:p>
    <w:sectPr w:rsidR="008F197D" w:rsidRPr="003E76DE" w:rsidSect="007F2707">
      <w:headerReference w:type="default" r:id="rId10"/>
      <w:footerReference w:type="default" r:id="rId11"/>
      <w:headerReference w:type="first" r:id="rId12"/>
      <w:footerReference w:type="first" r:id="rId13"/>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C6B" w:rsidRDefault="000C1C6B" w:rsidP="00B41656">
      <w:pPr>
        <w:spacing w:line="240" w:lineRule="auto"/>
      </w:pPr>
      <w:r>
        <w:separator/>
      </w:r>
    </w:p>
  </w:endnote>
  <w:endnote w:type="continuationSeparator" w:id="0">
    <w:p w:rsidR="000C1C6B" w:rsidRDefault="000C1C6B"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AE774F" w:rsidTr="00070FB0">
      <w:trPr>
        <w:jc w:val="center"/>
      </w:trPr>
      <w:tc>
        <w:tcPr>
          <w:tcW w:w="9212" w:type="dxa"/>
        </w:tcPr>
        <w:p w:rsidR="00AE774F" w:rsidRPr="008F0DC7" w:rsidRDefault="00AE774F" w:rsidP="00070FB0">
          <w:pPr>
            <w:pStyle w:val="Pieddepage"/>
            <w:jc w:val="center"/>
            <w:rPr>
              <w:rFonts w:cs="Arial"/>
            </w:rPr>
          </w:pPr>
          <w:r w:rsidRPr="008F0DC7">
            <w:rPr>
              <w:rFonts w:cs="Arial"/>
            </w:rPr>
            <w:t>13 rue Cambon - 75100 PARIS CEDEX 01 - T +33 1 42 98 95 00 - www.ccomptes.fr</w:t>
          </w:r>
        </w:p>
      </w:tc>
    </w:tr>
    <w:tr w:rsidR="00AE774F" w:rsidTr="00070FB0">
      <w:trPr>
        <w:jc w:val="center"/>
      </w:trPr>
      <w:tc>
        <w:tcPr>
          <w:tcW w:w="9212" w:type="dxa"/>
        </w:tcPr>
        <w:p w:rsidR="00AE774F" w:rsidRPr="008F0DC7" w:rsidRDefault="00AE774F" w:rsidP="00070FB0">
          <w:pPr>
            <w:pStyle w:val="Pieddepage"/>
            <w:jc w:val="center"/>
            <w:rPr>
              <w:rFonts w:cs="Arial"/>
            </w:rPr>
          </w:pPr>
        </w:p>
      </w:tc>
    </w:tr>
  </w:tbl>
  <w:p w:rsidR="00EE4F42" w:rsidRDefault="00EE4F4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A1A11" w:rsidTr="00E65F90">
      <w:trPr>
        <w:jc w:val="center"/>
      </w:trPr>
      <w:tc>
        <w:tcPr>
          <w:tcW w:w="9212" w:type="dxa"/>
        </w:tcPr>
        <w:p w:rsidR="004A1A11" w:rsidRPr="008F0DC7" w:rsidRDefault="004A1A11" w:rsidP="00E65F90">
          <w:pPr>
            <w:pStyle w:val="Pieddepage"/>
            <w:jc w:val="center"/>
            <w:rPr>
              <w:rFonts w:cs="Arial"/>
            </w:rPr>
          </w:pPr>
          <w:r w:rsidRPr="008F0DC7">
            <w:rPr>
              <w:rFonts w:cs="Arial"/>
            </w:rPr>
            <w:t>13 rue Cambon - 75100 PARIS CEDEX 01 - T +33 1 42 98 95 00 - www.ccomptes.fr</w:t>
          </w:r>
        </w:p>
      </w:tc>
    </w:tr>
    <w:tr w:rsidR="004A1A11" w:rsidTr="00E65F90">
      <w:trPr>
        <w:jc w:val="center"/>
      </w:trPr>
      <w:tc>
        <w:tcPr>
          <w:tcW w:w="9212" w:type="dxa"/>
        </w:tcPr>
        <w:p w:rsidR="004A1A11" w:rsidRPr="008F0DC7" w:rsidRDefault="004A1A11" w:rsidP="00E65F90">
          <w:pPr>
            <w:pStyle w:val="Pieddepage"/>
            <w:jc w:val="center"/>
            <w:rPr>
              <w:rFonts w:cs="Arial"/>
            </w:rPr>
          </w:pPr>
        </w:p>
      </w:tc>
    </w:tr>
  </w:tbl>
  <w:p w:rsidR="004A1A11" w:rsidRDefault="004A1A11"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C6B" w:rsidRDefault="000C1C6B" w:rsidP="00B41656">
      <w:pPr>
        <w:spacing w:line="240" w:lineRule="auto"/>
      </w:pPr>
      <w:r>
        <w:separator/>
      </w:r>
    </w:p>
  </w:footnote>
  <w:footnote w:type="continuationSeparator" w:id="0">
    <w:p w:rsidR="000C1C6B" w:rsidRDefault="000C1C6B"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707" w:rsidRDefault="007F2707">
    <w:pPr>
      <w:pStyle w:val="En-tte"/>
      <w:jc w:val="right"/>
    </w:pPr>
  </w:p>
  <w:tbl>
    <w:tblPr>
      <w:tblStyle w:val="Grilledutableau"/>
      <w:tblW w:w="0" w:type="auto"/>
      <w:tblLook w:val="0680" w:firstRow="0" w:lastRow="0" w:firstColumn="1" w:lastColumn="0" w:noHBand="1" w:noVBand="1"/>
    </w:tblPr>
    <w:tblGrid>
      <w:gridCol w:w="8046"/>
      <w:gridCol w:w="1164"/>
    </w:tblGrid>
    <w:tr w:rsidR="003D7655" w:rsidTr="003D7655">
      <w:tc>
        <w:tcPr>
          <w:tcW w:w="8046" w:type="dxa"/>
          <w:tcBorders>
            <w:top w:val="nil"/>
            <w:left w:val="nil"/>
            <w:bottom w:val="nil"/>
            <w:right w:val="nil"/>
          </w:tcBorders>
          <w:vAlign w:val="center"/>
        </w:tcPr>
        <w:p w:rsidR="003D7655" w:rsidRDefault="003D7655" w:rsidP="003D7655">
          <w:pPr>
            <w:pStyle w:val="En-tte"/>
            <w:spacing w:line="320" w:lineRule="exact"/>
          </w:pPr>
        </w:p>
      </w:tc>
      <w:tc>
        <w:tcPr>
          <w:tcW w:w="1164" w:type="dxa"/>
          <w:tcBorders>
            <w:top w:val="nil"/>
            <w:left w:val="nil"/>
            <w:bottom w:val="nil"/>
            <w:right w:val="nil"/>
          </w:tcBorders>
          <w:vAlign w:val="center"/>
        </w:tcPr>
        <w:p w:rsidR="003D7655" w:rsidRDefault="000C1C6B" w:rsidP="003D7655">
          <w:pPr>
            <w:pStyle w:val="En-tte"/>
            <w:jc w:val="right"/>
          </w:pPr>
          <w:sdt>
            <w:sdtPr>
              <w:id w:val="123790272"/>
              <w:docPartObj>
                <w:docPartGallery w:val="Page Numbers (Top of Page)"/>
                <w:docPartUnique/>
              </w:docPartObj>
            </w:sdtPr>
            <w:sdtEndPr/>
            <w:sdtContent>
              <w:r w:rsidR="003D7655">
                <w:t xml:space="preserve"> </w:t>
              </w:r>
              <w:r w:rsidR="005369EE">
                <w:rPr>
                  <w:b/>
                  <w:sz w:val="24"/>
                  <w:szCs w:val="24"/>
                </w:rPr>
                <w:fldChar w:fldCharType="begin"/>
              </w:r>
              <w:r w:rsidR="003D7655">
                <w:rPr>
                  <w:b/>
                </w:rPr>
                <w:instrText>PAGE</w:instrText>
              </w:r>
              <w:r w:rsidR="005369EE">
                <w:rPr>
                  <w:b/>
                  <w:sz w:val="24"/>
                  <w:szCs w:val="24"/>
                </w:rPr>
                <w:fldChar w:fldCharType="separate"/>
              </w:r>
              <w:r w:rsidR="00B5388A">
                <w:rPr>
                  <w:b/>
                  <w:noProof/>
                </w:rPr>
                <w:t>3</w:t>
              </w:r>
              <w:r w:rsidR="005369EE">
                <w:rPr>
                  <w:b/>
                  <w:sz w:val="24"/>
                  <w:szCs w:val="24"/>
                </w:rPr>
                <w:fldChar w:fldCharType="end"/>
              </w:r>
              <w:r w:rsidR="003D7655">
                <w:t xml:space="preserve"> / </w:t>
              </w:r>
              <w:r w:rsidR="005369EE">
                <w:rPr>
                  <w:b/>
                  <w:sz w:val="24"/>
                  <w:szCs w:val="24"/>
                </w:rPr>
                <w:fldChar w:fldCharType="begin"/>
              </w:r>
              <w:r w:rsidR="003D7655">
                <w:rPr>
                  <w:b/>
                </w:rPr>
                <w:instrText>NUMPAGES</w:instrText>
              </w:r>
              <w:r w:rsidR="005369EE">
                <w:rPr>
                  <w:b/>
                  <w:sz w:val="24"/>
                  <w:szCs w:val="24"/>
                </w:rPr>
                <w:fldChar w:fldCharType="separate"/>
              </w:r>
              <w:r w:rsidR="00B5388A">
                <w:rPr>
                  <w:b/>
                  <w:noProof/>
                </w:rPr>
                <w:t>3</w:t>
              </w:r>
              <w:r w:rsidR="005369EE">
                <w:rPr>
                  <w:b/>
                  <w:sz w:val="24"/>
                  <w:szCs w:val="24"/>
                </w:rPr>
                <w:fldChar w:fldCharType="end"/>
              </w:r>
            </w:sdtContent>
          </w:sdt>
        </w:p>
      </w:tc>
    </w:tr>
  </w:tbl>
  <w:p w:rsidR="007F2707" w:rsidRDefault="007F2707"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A11" w:rsidRDefault="004A1A11">
    <w:pPr>
      <w:pStyle w:val="En-tte"/>
    </w:pPr>
    <w:r>
      <w:rPr>
        <w:noProof/>
        <w:lang w:eastAsia="fr-FR"/>
      </w:rPr>
      <w:drawing>
        <wp:anchor distT="0" distB="0" distL="114300" distR="114300" simplePos="0" relativeHeight="251658240" behindDoc="0" locked="0" layoutInCell="1" allowOverlap="1" wp14:anchorId="2D3D3E29" wp14:editId="218686D5">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55D7133"/>
    <w:multiLevelType w:val="hybridMultilevel"/>
    <w:tmpl w:val="1E2CE224"/>
    <w:lvl w:ilvl="0" w:tplc="2976165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49C50DE"/>
    <w:multiLevelType w:val="hybridMultilevel"/>
    <w:tmpl w:val="16806C4E"/>
    <w:lvl w:ilvl="0" w:tplc="21ECB0E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1"/>
  </w:num>
  <w:num w:numId="6">
    <w:abstractNumId w:val="0"/>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5100B"/>
    <w:rsid w:val="00057C1C"/>
    <w:rsid w:val="00060466"/>
    <w:rsid w:val="00067EA3"/>
    <w:rsid w:val="000C1C6B"/>
    <w:rsid w:val="000F5299"/>
    <w:rsid w:val="000F53CA"/>
    <w:rsid w:val="00110640"/>
    <w:rsid w:val="001248F5"/>
    <w:rsid w:val="0013115F"/>
    <w:rsid w:val="00131A38"/>
    <w:rsid w:val="001440E9"/>
    <w:rsid w:val="0016783F"/>
    <w:rsid w:val="001731F2"/>
    <w:rsid w:val="001733C8"/>
    <w:rsid w:val="00177B90"/>
    <w:rsid w:val="001D11BE"/>
    <w:rsid w:val="002040C2"/>
    <w:rsid w:val="002304DE"/>
    <w:rsid w:val="00231C67"/>
    <w:rsid w:val="00240C13"/>
    <w:rsid w:val="0024245B"/>
    <w:rsid w:val="00244453"/>
    <w:rsid w:val="00265091"/>
    <w:rsid w:val="00283473"/>
    <w:rsid w:val="002878B1"/>
    <w:rsid w:val="002B74C3"/>
    <w:rsid w:val="002C0B4C"/>
    <w:rsid w:val="002D0DA9"/>
    <w:rsid w:val="002E75B7"/>
    <w:rsid w:val="00301B71"/>
    <w:rsid w:val="003460D2"/>
    <w:rsid w:val="00376FD6"/>
    <w:rsid w:val="00387052"/>
    <w:rsid w:val="003955D7"/>
    <w:rsid w:val="003A09FE"/>
    <w:rsid w:val="003A288B"/>
    <w:rsid w:val="003B7BA2"/>
    <w:rsid w:val="003C582D"/>
    <w:rsid w:val="003C729C"/>
    <w:rsid w:val="003D7655"/>
    <w:rsid w:val="004022CB"/>
    <w:rsid w:val="004507C2"/>
    <w:rsid w:val="00466852"/>
    <w:rsid w:val="0047092C"/>
    <w:rsid w:val="00477C3D"/>
    <w:rsid w:val="004A1A11"/>
    <w:rsid w:val="004A49F1"/>
    <w:rsid w:val="004C372F"/>
    <w:rsid w:val="005369EE"/>
    <w:rsid w:val="0054781F"/>
    <w:rsid w:val="005B4CA5"/>
    <w:rsid w:val="005C5994"/>
    <w:rsid w:val="005F61B5"/>
    <w:rsid w:val="00604974"/>
    <w:rsid w:val="006344B0"/>
    <w:rsid w:val="00647807"/>
    <w:rsid w:val="00662166"/>
    <w:rsid w:val="00662E7F"/>
    <w:rsid w:val="00676091"/>
    <w:rsid w:val="006774B5"/>
    <w:rsid w:val="00687F6F"/>
    <w:rsid w:val="00697FB6"/>
    <w:rsid w:val="006A49D9"/>
    <w:rsid w:val="006A4EB5"/>
    <w:rsid w:val="006A568B"/>
    <w:rsid w:val="006A7750"/>
    <w:rsid w:val="006C72CB"/>
    <w:rsid w:val="006E170E"/>
    <w:rsid w:val="006E3A7F"/>
    <w:rsid w:val="00707BD1"/>
    <w:rsid w:val="00724014"/>
    <w:rsid w:val="007252C5"/>
    <w:rsid w:val="007410AA"/>
    <w:rsid w:val="00764F62"/>
    <w:rsid w:val="00765A21"/>
    <w:rsid w:val="0076667F"/>
    <w:rsid w:val="0077703E"/>
    <w:rsid w:val="007A448C"/>
    <w:rsid w:val="007B06F6"/>
    <w:rsid w:val="007E06F2"/>
    <w:rsid w:val="007F2707"/>
    <w:rsid w:val="0081551A"/>
    <w:rsid w:val="008256E2"/>
    <w:rsid w:val="0085194D"/>
    <w:rsid w:val="00863D04"/>
    <w:rsid w:val="0086760B"/>
    <w:rsid w:val="00875AE9"/>
    <w:rsid w:val="008844EF"/>
    <w:rsid w:val="008A34BF"/>
    <w:rsid w:val="008A6ACF"/>
    <w:rsid w:val="008C244D"/>
    <w:rsid w:val="008E360F"/>
    <w:rsid w:val="008E5EE8"/>
    <w:rsid w:val="008E6349"/>
    <w:rsid w:val="009405CE"/>
    <w:rsid w:val="00950441"/>
    <w:rsid w:val="00966697"/>
    <w:rsid w:val="009802E3"/>
    <w:rsid w:val="009B22BF"/>
    <w:rsid w:val="009D4374"/>
    <w:rsid w:val="00A02D30"/>
    <w:rsid w:val="00A32C49"/>
    <w:rsid w:val="00A4059D"/>
    <w:rsid w:val="00A56A52"/>
    <w:rsid w:val="00A755A3"/>
    <w:rsid w:val="00A83FC9"/>
    <w:rsid w:val="00A9735F"/>
    <w:rsid w:val="00AE583F"/>
    <w:rsid w:val="00AE774F"/>
    <w:rsid w:val="00B128E3"/>
    <w:rsid w:val="00B12A9C"/>
    <w:rsid w:val="00B40F11"/>
    <w:rsid w:val="00B41656"/>
    <w:rsid w:val="00B5388A"/>
    <w:rsid w:val="00B645D1"/>
    <w:rsid w:val="00B967C8"/>
    <w:rsid w:val="00BA4F93"/>
    <w:rsid w:val="00BA60D8"/>
    <w:rsid w:val="00BB2920"/>
    <w:rsid w:val="00BB7176"/>
    <w:rsid w:val="00BC40A5"/>
    <w:rsid w:val="00BD40C9"/>
    <w:rsid w:val="00BF4B60"/>
    <w:rsid w:val="00C04525"/>
    <w:rsid w:val="00C17123"/>
    <w:rsid w:val="00C22187"/>
    <w:rsid w:val="00C23B89"/>
    <w:rsid w:val="00C32D50"/>
    <w:rsid w:val="00C44D0B"/>
    <w:rsid w:val="00C470E9"/>
    <w:rsid w:val="00C77CA2"/>
    <w:rsid w:val="00C873FB"/>
    <w:rsid w:val="00CA1BD5"/>
    <w:rsid w:val="00CC39B0"/>
    <w:rsid w:val="00CE1BD7"/>
    <w:rsid w:val="00CE4F79"/>
    <w:rsid w:val="00CE5C6C"/>
    <w:rsid w:val="00CF6809"/>
    <w:rsid w:val="00D21CDB"/>
    <w:rsid w:val="00D465B4"/>
    <w:rsid w:val="00D500EF"/>
    <w:rsid w:val="00D51C43"/>
    <w:rsid w:val="00D62649"/>
    <w:rsid w:val="00D817B5"/>
    <w:rsid w:val="00DA6392"/>
    <w:rsid w:val="00DE48AF"/>
    <w:rsid w:val="00DE6999"/>
    <w:rsid w:val="00E03E5C"/>
    <w:rsid w:val="00E234E7"/>
    <w:rsid w:val="00E25406"/>
    <w:rsid w:val="00E35B8A"/>
    <w:rsid w:val="00E40FF0"/>
    <w:rsid w:val="00E430FB"/>
    <w:rsid w:val="00E55D24"/>
    <w:rsid w:val="00E86FB6"/>
    <w:rsid w:val="00E87137"/>
    <w:rsid w:val="00ED3235"/>
    <w:rsid w:val="00ED3BBB"/>
    <w:rsid w:val="00EE3AA4"/>
    <w:rsid w:val="00EE4F42"/>
    <w:rsid w:val="00F02D0A"/>
    <w:rsid w:val="00F34BAC"/>
    <w:rsid w:val="00F63CE2"/>
    <w:rsid w:val="00F6634C"/>
    <w:rsid w:val="00F73ABC"/>
    <w:rsid w:val="00F8606B"/>
    <w:rsid w:val="00FA066B"/>
    <w:rsid w:val="00FA2EC4"/>
    <w:rsid w:val="00FC3558"/>
    <w:rsid w:val="00FD31C9"/>
    <w:rsid w:val="00FE14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lsdException w:name="footer" w:semiHidden="0"/>
    <w:lsdException w:name="caption" w:uiPriority="35" w:qFormat="1"/>
    <w:lsdException w:name="page number" w:uiPriority="0"/>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rsid w:val="00D500EF"/>
    <w:pPr>
      <w:spacing w:line="240" w:lineRule="exact"/>
    </w:pPr>
    <w:rPr>
      <w:szCs w:val="22"/>
      <w:lang w:eastAsia="en-US"/>
    </w:rPr>
  </w:style>
  <w:style w:type="character" w:customStyle="1" w:styleId="En-tteCar">
    <w:name w:val="En-tête Car"/>
    <w:link w:val="En-tte"/>
    <w:rsid w:val="00D500EF"/>
    <w:rPr>
      <w:sz w:val="20"/>
    </w:rPr>
  </w:style>
  <w:style w:type="paragraph" w:styleId="Pieddepage">
    <w:name w:val="footer"/>
    <w:link w:val="PieddepageCar"/>
    <w:uiPriority w:val="99"/>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aragraphedeliste">
    <w:name w:val="List Paragraph"/>
    <w:basedOn w:val="Normal"/>
    <w:uiPriority w:val="34"/>
    <w:qFormat/>
    <w:rsid w:val="008F197D"/>
    <w:pPr>
      <w:ind w:left="720"/>
      <w:contextualSpacing/>
    </w:pPr>
  </w:style>
  <w:style w:type="character" w:styleId="Lienhypertexte">
    <w:name w:val="Hyperlink"/>
    <w:basedOn w:val="Policepardfaut"/>
    <w:uiPriority w:val="99"/>
    <w:semiHidden/>
    <w:unhideWhenUsed/>
    <w:rsid w:val="004637B8"/>
    <w:rPr>
      <w:color w:val="0000FF"/>
      <w:u w:val="single"/>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character" w:styleId="Numrodepage">
    <w:name w:val="page number"/>
    <w:basedOn w:val="Policepardfaut"/>
    <w:rsid w:val="0005100B"/>
  </w:style>
  <w:style w:type="paragraph" w:styleId="Corpsdetexte">
    <w:name w:val="Body Text"/>
    <w:basedOn w:val="Normal"/>
    <w:link w:val="CorpsdetexteCar"/>
    <w:rsid w:val="0005100B"/>
    <w:pPr>
      <w:keepLines/>
      <w:spacing w:before="360" w:line="240" w:lineRule="auto"/>
      <w:ind w:left="1134" w:firstLine="1497"/>
      <w:jc w:val="both"/>
    </w:pPr>
    <w:rPr>
      <w:rFonts w:ascii="Times New Roman" w:eastAsia="Times New Roman" w:hAnsi="Times New Roman"/>
      <w:sz w:val="24"/>
      <w:szCs w:val="24"/>
      <w:lang w:eastAsia="fr-FR"/>
    </w:rPr>
  </w:style>
  <w:style w:type="character" w:customStyle="1" w:styleId="CorpsdetexteCar">
    <w:name w:val="Corps de texte Car"/>
    <w:basedOn w:val="Policepardfaut"/>
    <w:link w:val="Corpsdetexte"/>
    <w:rsid w:val="0005100B"/>
    <w:rPr>
      <w:rFonts w:ascii="Times New Roman" w:eastAsia="Times New Roman" w:hAnsi="Times New Roman"/>
      <w:sz w:val="24"/>
      <w:szCs w:val="24"/>
    </w:rPr>
  </w:style>
  <w:style w:type="paragraph" w:customStyle="1" w:styleId="paragraphe">
    <w:name w:val="paragraphe"/>
    <w:rsid w:val="0005100B"/>
    <w:pPr>
      <w:spacing w:after="240" w:line="240" w:lineRule="exact"/>
      <w:ind w:left="2268" w:firstLine="1418"/>
      <w:jc w:val="both"/>
    </w:pPr>
    <w:rPr>
      <w:rFonts w:ascii="Tms Rmn" w:eastAsia="Times New Roman" w:hAnsi="Tms Rmn"/>
      <w:sz w:val="24"/>
    </w:rPr>
  </w:style>
  <w:style w:type="paragraph" w:styleId="Rvision">
    <w:name w:val="Revision"/>
    <w:hidden/>
    <w:uiPriority w:val="71"/>
    <w:rsid w:val="00C44D0B"/>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lsdException w:name="footer" w:semiHidden="0"/>
    <w:lsdException w:name="caption" w:uiPriority="35" w:qFormat="1"/>
    <w:lsdException w:name="page number" w:uiPriority="0"/>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rsid w:val="00D500EF"/>
    <w:pPr>
      <w:spacing w:line="240" w:lineRule="exact"/>
    </w:pPr>
    <w:rPr>
      <w:szCs w:val="22"/>
      <w:lang w:eastAsia="en-US"/>
    </w:rPr>
  </w:style>
  <w:style w:type="character" w:customStyle="1" w:styleId="En-tteCar">
    <w:name w:val="En-tête Car"/>
    <w:link w:val="En-tte"/>
    <w:rsid w:val="00D500EF"/>
    <w:rPr>
      <w:sz w:val="20"/>
    </w:rPr>
  </w:style>
  <w:style w:type="paragraph" w:styleId="Pieddepage">
    <w:name w:val="footer"/>
    <w:link w:val="PieddepageCar"/>
    <w:uiPriority w:val="99"/>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aragraphedeliste">
    <w:name w:val="List Paragraph"/>
    <w:basedOn w:val="Normal"/>
    <w:uiPriority w:val="34"/>
    <w:qFormat/>
    <w:rsid w:val="008F197D"/>
    <w:pPr>
      <w:ind w:left="720"/>
      <w:contextualSpacing/>
    </w:pPr>
  </w:style>
  <w:style w:type="character" w:styleId="Lienhypertexte">
    <w:name w:val="Hyperlink"/>
    <w:basedOn w:val="Policepardfaut"/>
    <w:uiPriority w:val="99"/>
    <w:semiHidden/>
    <w:unhideWhenUsed/>
    <w:rsid w:val="004637B8"/>
    <w:rPr>
      <w:color w:val="0000FF"/>
      <w:u w:val="single"/>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character" w:styleId="Numrodepage">
    <w:name w:val="page number"/>
    <w:basedOn w:val="Policepardfaut"/>
    <w:rsid w:val="0005100B"/>
  </w:style>
  <w:style w:type="paragraph" w:styleId="Corpsdetexte">
    <w:name w:val="Body Text"/>
    <w:basedOn w:val="Normal"/>
    <w:link w:val="CorpsdetexteCar"/>
    <w:rsid w:val="0005100B"/>
    <w:pPr>
      <w:keepLines/>
      <w:spacing w:before="360" w:line="240" w:lineRule="auto"/>
      <w:ind w:left="1134" w:firstLine="1497"/>
      <w:jc w:val="both"/>
    </w:pPr>
    <w:rPr>
      <w:rFonts w:ascii="Times New Roman" w:eastAsia="Times New Roman" w:hAnsi="Times New Roman"/>
      <w:sz w:val="24"/>
      <w:szCs w:val="24"/>
      <w:lang w:eastAsia="fr-FR"/>
    </w:rPr>
  </w:style>
  <w:style w:type="character" w:customStyle="1" w:styleId="CorpsdetexteCar">
    <w:name w:val="Corps de texte Car"/>
    <w:basedOn w:val="Policepardfaut"/>
    <w:link w:val="Corpsdetexte"/>
    <w:rsid w:val="0005100B"/>
    <w:rPr>
      <w:rFonts w:ascii="Times New Roman" w:eastAsia="Times New Roman" w:hAnsi="Times New Roman"/>
      <w:sz w:val="24"/>
      <w:szCs w:val="24"/>
    </w:rPr>
  </w:style>
  <w:style w:type="paragraph" w:customStyle="1" w:styleId="paragraphe">
    <w:name w:val="paragraphe"/>
    <w:rsid w:val="0005100B"/>
    <w:pPr>
      <w:spacing w:after="240" w:line="240" w:lineRule="exact"/>
      <w:ind w:left="2268" w:firstLine="1418"/>
      <w:jc w:val="both"/>
    </w:pPr>
    <w:rPr>
      <w:rFonts w:ascii="Tms Rmn" w:eastAsia="Times New Roman" w:hAnsi="Tms Rmn"/>
      <w:sz w:val="24"/>
    </w:rPr>
  </w:style>
  <w:style w:type="paragraph" w:styleId="Rvision">
    <w:name w:val="Revision"/>
    <w:hidden/>
    <w:uiPriority w:val="71"/>
    <w:rsid w:val="00C44D0B"/>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00731-EC69-4A59-ABD5-389C098AB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1222</Words>
  <Characters>6722</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7929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23</cp:revision>
  <cp:lastPrinted>2015-08-06T09:44:00Z</cp:lastPrinted>
  <dcterms:created xsi:type="dcterms:W3CDTF">2015-08-04T08:14:00Z</dcterms:created>
  <dcterms:modified xsi:type="dcterms:W3CDTF">2015-11-10T12:27:00Z</dcterms:modified>
</cp:coreProperties>
</file>