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tbl>
      <w:tblPr>
        <w:tblW w:w="9180" w:type="dxa"/>
        <w:tblLook w:val="00A0" w:firstRow="1" w:lastRow="0" w:firstColumn="1" w:lastColumn="0" w:noHBand="0" w:noVBand="0"/>
      </w:tblPr>
      <w:tblGrid>
        <w:gridCol w:w="4644"/>
        <w:gridCol w:w="4536"/>
      </w:tblGrid>
      <w:tr w:rsidR="00BE7662" w:rsidRPr="00BE7662" w:rsidTr="00F77BD6">
        <w:tc>
          <w:tcPr>
            <w:tcW w:w="4644" w:type="dxa"/>
          </w:tcPr>
          <w:p w:rsidR="00BE7662" w:rsidRPr="00BE7662" w:rsidRDefault="0025694F" w:rsidP="00B97231">
            <w:pPr>
              <w:ind w:right="1026"/>
              <w:jc w:val="center"/>
              <w:rPr>
                <w:rFonts w:cs="Arial"/>
                <w:sz w:val="22"/>
              </w:rPr>
            </w:pPr>
            <w:r>
              <w:rPr>
                <w:rFonts w:cs="Arial"/>
                <w:sz w:val="22"/>
              </w:rPr>
              <w:t>SEPTIE</w:t>
            </w:r>
            <w:r w:rsidR="00487B82">
              <w:rPr>
                <w:rFonts w:cs="Arial"/>
                <w:sz w:val="22"/>
              </w:rPr>
              <w:t>ME</w:t>
            </w:r>
            <w:r w:rsidR="00524CB5" w:rsidRPr="00BE7662">
              <w:rPr>
                <w:rFonts w:cs="Arial"/>
                <w:sz w:val="22"/>
              </w:rPr>
              <w:t xml:space="preserve"> CHAMBRE</w:t>
            </w:r>
          </w:p>
          <w:p w:rsidR="00BE7662" w:rsidRPr="00BE7662" w:rsidRDefault="00524CB5" w:rsidP="00B97231">
            <w:pPr>
              <w:ind w:right="1026"/>
              <w:jc w:val="center"/>
              <w:rPr>
                <w:rFonts w:cs="Arial"/>
                <w:b/>
                <w:sz w:val="22"/>
              </w:rPr>
            </w:pPr>
            <w:r w:rsidRPr="00BE7662">
              <w:rPr>
                <w:rFonts w:cs="Arial"/>
                <w:b/>
                <w:sz w:val="22"/>
              </w:rPr>
              <w:t>-------</w:t>
            </w:r>
          </w:p>
          <w:p w:rsidR="00BE7662" w:rsidRPr="00BE7662" w:rsidRDefault="00752DA5" w:rsidP="00B97231">
            <w:pPr>
              <w:ind w:right="1026"/>
              <w:jc w:val="center"/>
              <w:rPr>
                <w:rFonts w:cs="Arial"/>
                <w:sz w:val="22"/>
              </w:rPr>
            </w:pPr>
            <w:r>
              <w:rPr>
                <w:rFonts w:cs="Arial"/>
                <w:sz w:val="22"/>
              </w:rPr>
              <w:t xml:space="preserve">Formation </w:t>
            </w:r>
            <w:r w:rsidR="00A409BD">
              <w:rPr>
                <w:rFonts w:cs="Arial"/>
                <w:sz w:val="22"/>
              </w:rPr>
              <w:t>Plénière</w:t>
            </w:r>
          </w:p>
          <w:p w:rsidR="00BE7662" w:rsidRPr="00BE7662" w:rsidRDefault="00524CB5" w:rsidP="00B97231">
            <w:pPr>
              <w:ind w:right="1026"/>
              <w:jc w:val="center"/>
              <w:rPr>
                <w:rFonts w:cs="Arial"/>
                <w:b/>
                <w:sz w:val="22"/>
              </w:rPr>
            </w:pPr>
            <w:r w:rsidRPr="00BE7662">
              <w:rPr>
                <w:rFonts w:cs="Arial"/>
                <w:b/>
                <w:sz w:val="22"/>
              </w:rPr>
              <w:t>-------</w:t>
            </w:r>
          </w:p>
          <w:p w:rsidR="00BE7662" w:rsidRPr="00715647" w:rsidRDefault="00524CB5" w:rsidP="00B97231">
            <w:pPr>
              <w:ind w:right="1026"/>
              <w:jc w:val="center"/>
              <w:rPr>
                <w:rFonts w:cs="Arial"/>
                <w:b/>
                <w:sz w:val="22"/>
              </w:rPr>
            </w:pPr>
            <w:r w:rsidRPr="00715647">
              <w:rPr>
                <w:rFonts w:cs="Arial"/>
                <w:b/>
                <w:sz w:val="22"/>
              </w:rPr>
              <w:t>Arrêt n°</w:t>
            </w:r>
            <w:r w:rsidR="00752DA5" w:rsidRPr="00715647">
              <w:rPr>
                <w:rFonts w:cs="Arial"/>
                <w:b/>
                <w:sz w:val="22"/>
              </w:rPr>
              <w:t xml:space="preserve"> </w:t>
            </w:r>
            <w:r w:rsidR="00CF54B1" w:rsidRPr="00715647">
              <w:rPr>
                <w:rFonts w:cs="Arial"/>
                <w:b/>
                <w:sz w:val="22"/>
              </w:rPr>
              <w:t>72639</w:t>
            </w:r>
            <w:r w:rsidR="00715647" w:rsidRPr="00715647">
              <w:rPr>
                <w:rFonts w:cs="Arial"/>
                <w:b/>
                <w:sz w:val="22"/>
              </w:rPr>
              <w:t xml:space="preserve"> rectifié</w:t>
            </w:r>
          </w:p>
          <w:p w:rsidR="00BE7662" w:rsidRPr="00BE7662" w:rsidRDefault="006F63F7" w:rsidP="00B97231">
            <w:pPr>
              <w:tabs>
                <w:tab w:val="center" w:pos="4819"/>
                <w:tab w:val="right" w:pos="9071"/>
              </w:tabs>
              <w:ind w:right="1026"/>
              <w:jc w:val="center"/>
              <w:rPr>
                <w:rFonts w:cs="Arial"/>
                <w:sz w:val="22"/>
              </w:rPr>
            </w:pPr>
          </w:p>
          <w:p w:rsidR="00BE7662" w:rsidRPr="00BE7662" w:rsidRDefault="00524CB5" w:rsidP="00B97231">
            <w:pPr>
              <w:ind w:right="1026"/>
              <w:jc w:val="center"/>
              <w:rPr>
                <w:rFonts w:cs="Arial"/>
                <w:sz w:val="22"/>
              </w:rPr>
            </w:pPr>
            <w:r w:rsidRPr="00BE7662">
              <w:rPr>
                <w:rFonts w:cs="Arial"/>
                <w:sz w:val="22"/>
              </w:rPr>
              <w:t xml:space="preserve">Audience publique du </w:t>
            </w:r>
            <w:r w:rsidR="00A409BD">
              <w:rPr>
                <w:rFonts w:cs="Arial"/>
                <w:sz w:val="22"/>
              </w:rPr>
              <w:t>30 juin 2015</w:t>
            </w:r>
          </w:p>
          <w:p w:rsidR="00BE7662" w:rsidRPr="00BE7662" w:rsidRDefault="006F63F7" w:rsidP="00B97231">
            <w:pPr>
              <w:ind w:right="1026"/>
              <w:jc w:val="center"/>
              <w:rPr>
                <w:rFonts w:cs="Arial"/>
                <w:sz w:val="22"/>
              </w:rPr>
            </w:pPr>
          </w:p>
          <w:p w:rsidR="00BE7662" w:rsidRPr="00BE7662" w:rsidRDefault="00524CB5" w:rsidP="00B97231">
            <w:pPr>
              <w:ind w:right="1026"/>
              <w:jc w:val="center"/>
              <w:rPr>
                <w:rFonts w:cs="Arial"/>
                <w:i/>
                <w:sz w:val="22"/>
              </w:rPr>
            </w:pPr>
            <w:r>
              <w:rPr>
                <w:rFonts w:cs="Arial"/>
                <w:sz w:val="22"/>
              </w:rPr>
              <w:t>Prononcé</w:t>
            </w:r>
            <w:r w:rsidR="003C7C55">
              <w:rPr>
                <w:rFonts w:cs="Arial"/>
                <w:sz w:val="22"/>
              </w:rPr>
              <w:t xml:space="preserve"> du 14 septembre 2015</w:t>
            </w:r>
          </w:p>
          <w:p w:rsidR="00BE7662" w:rsidRPr="00BE7662" w:rsidRDefault="006F63F7" w:rsidP="00B97231">
            <w:pPr>
              <w:ind w:right="1026"/>
              <w:jc w:val="center"/>
              <w:rPr>
                <w:rFonts w:cs="Arial"/>
                <w:sz w:val="22"/>
              </w:rPr>
            </w:pPr>
          </w:p>
        </w:tc>
        <w:tc>
          <w:tcPr>
            <w:tcW w:w="4536" w:type="dxa"/>
          </w:tcPr>
          <w:p w:rsidR="00B639C0" w:rsidRPr="00B639C0" w:rsidRDefault="00B639C0" w:rsidP="00B639C0">
            <w:pPr>
              <w:rPr>
                <w:rFonts w:cs="Arial"/>
                <w:sz w:val="22"/>
              </w:rPr>
            </w:pPr>
            <w:r w:rsidRPr="00B639C0">
              <w:rPr>
                <w:rFonts w:cs="Arial"/>
                <w:sz w:val="22"/>
              </w:rPr>
              <w:t>CHAMBRE REGIONALE D’AGRICULTURE D’AQUITAINE</w:t>
            </w:r>
          </w:p>
          <w:p w:rsidR="00BE7662" w:rsidRPr="00BE7662" w:rsidRDefault="006F63F7" w:rsidP="00BE7662">
            <w:pPr>
              <w:rPr>
                <w:rFonts w:cs="Arial"/>
                <w:sz w:val="22"/>
              </w:rPr>
            </w:pPr>
          </w:p>
          <w:p w:rsidR="009F6EE2" w:rsidRDefault="009F6EE2" w:rsidP="00B639C0">
            <w:pPr>
              <w:rPr>
                <w:rFonts w:cs="Arial"/>
                <w:sz w:val="22"/>
              </w:rPr>
            </w:pPr>
          </w:p>
          <w:p w:rsidR="00B639C0" w:rsidRPr="00B639C0" w:rsidRDefault="00B639C0" w:rsidP="00B639C0">
            <w:pPr>
              <w:rPr>
                <w:rFonts w:cs="Arial"/>
                <w:sz w:val="22"/>
              </w:rPr>
            </w:pPr>
            <w:r w:rsidRPr="00B639C0">
              <w:rPr>
                <w:rFonts w:cs="Arial"/>
                <w:sz w:val="22"/>
              </w:rPr>
              <w:t>Exercices 2008 à 2013</w:t>
            </w:r>
          </w:p>
          <w:p w:rsidR="00BE7662" w:rsidRPr="00BE7662" w:rsidRDefault="006F63F7" w:rsidP="00BE7662">
            <w:pPr>
              <w:rPr>
                <w:rFonts w:cs="Arial"/>
                <w:i/>
                <w:noProof/>
                <w:color w:val="000000"/>
                <w:sz w:val="22"/>
              </w:rPr>
            </w:pPr>
          </w:p>
          <w:p w:rsidR="00B639C0" w:rsidRPr="00B639C0" w:rsidRDefault="00B639C0" w:rsidP="00B639C0">
            <w:pPr>
              <w:rPr>
                <w:rFonts w:cs="Arial"/>
                <w:noProof/>
                <w:color w:val="000000"/>
                <w:sz w:val="22"/>
              </w:rPr>
            </w:pPr>
            <w:r w:rsidRPr="00B639C0">
              <w:rPr>
                <w:rFonts w:cs="Arial"/>
                <w:noProof/>
                <w:color w:val="000000"/>
                <w:sz w:val="22"/>
              </w:rPr>
              <w:t>Rapport n° 2015-197-0</w:t>
            </w:r>
          </w:p>
          <w:p w:rsidR="00BE7662" w:rsidRPr="00BE7662" w:rsidRDefault="006F63F7" w:rsidP="00BE7662">
            <w:pPr>
              <w:ind w:left="5670" w:hanging="4245"/>
              <w:rPr>
                <w:rFonts w:cs="Arial"/>
                <w:sz w:val="22"/>
              </w:rPr>
            </w:pPr>
          </w:p>
          <w:p w:rsidR="00BE7662" w:rsidRPr="00BE7662" w:rsidRDefault="006F63F7" w:rsidP="00BE7662">
            <w:pPr>
              <w:ind w:left="5670" w:hanging="4245"/>
              <w:jc w:val="both"/>
              <w:rPr>
                <w:rFonts w:cs="Arial"/>
                <w:sz w:val="22"/>
              </w:rPr>
            </w:pPr>
          </w:p>
          <w:p w:rsidR="00BE7662" w:rsidRPr="00BE7662" w:rsidRDefault="006F63F7" w:rsidP="00BE7662">
            <w:pPr>
              <w:rPr>
                <w:rFonts w:cs="Arial"/>
                <w:sz w:val="22"/>
              </w:rPr>
            </w:pPr>
          </w:p>
        </w:tc>
      </w:tr>
    </w:tbl>
    <w:p w:rsidR="00CE25A0" w:rsidRDefault="00CE25A0" w:rsidP="00BE7662">
      <w:pPr>
        <w:tabs>
          <w:tab w:val="center" w:pos="9072"/>
        </w:tabs>
        <w:jc w:val="center"/>
        <w:rPr>
          <w:rFonts w:cs="Arial"/>
          <w:sz w:val="22"/>
        </w:rPr>
      </w:pPr>
    </w:p>
    <w:p w:rsidR="00CE25A0" w:rsidRDefault="00CE25A0" w:rsidP="00BE7662">
      <w:pPr>
        <w:tabs>
          <w:tab w:val="center" w:pos="9072"/>
        </w:tabs>
        <w:jc w:val="center"/>
        <w:rPr>
          <w:rFonts w:cs="Arial"/>
          <w:sz w:val="22"/>
        </w:rPr>
      </w:pPr>
    </w:p>
    <w:p w:rsidR="00BE7662" w:rsidRPr="00BE7662" w:rsidRDefault="00524CB5" w:rsidP="00BE7662">
      <w:pPr>
        <w:tabs>
          <w:tab w:val="center" w:pos="9072"/>
        </w:tabs>
        <w:jc w:val="center"/>
        <w:rPr>
          <w:rFonts w:cs="Arial"/>
          <w:sz w:val="22"/>
        </w:rPr>
      </w:pPr>
      <w:r w:rsidRPr="00BE7662">
        <w:rPr>
          <w:rFonts w:cs="Arial"/>
          <w:sz w:val="22"/>
        </w:rPr>
        <w:t>République Française,</w:t>
      </w:r>
    </w:p>
    <w:p w:rsidR="00BE7662" w:rsidRPr="00BE7662" w:rsidRDefault="00524CB5" w:rsidP="00BE7662">
      <w:pPr>
        <w:tabs>
          <w:tab w:val="center" w:pos="9072"/>
        </w:tabs>
        <w:jc w:val="center"/>
        <w:rPr>
          <w:rFonts w:cs="Arial"/>
          <w:sz w:val="22"/>
        </w:rPr>
      </w:pPr>
      <w:r w:rsidRPr="00BE7662">
        <w:rPr>
          <w:rFonts w:cs="Arial"/>
          <w:sz w:val="22"/>
        </w:rPr>
        <w:t>Au nom du peuple français,</w:t>
      </w:r>
    </w:p>
    <w:p w:rsidR="00BE7662" w:rsidRPr="00BE7662" w:rsidRDefault="006F63F7" w:rsidP="00BE7662">
      <w:pPr>
        <w:tabs>
          <w:tab w:val="center" w:pos="9072"/>
        </w:tabs>
        <w:jc w:val="center"/>
        <w:rPr>
          <w:rFonts w:cs="Arial"/>
          <w:sz w:val="22"/>
        </w:rPr>
      </w:pPr>
    </w:p>
    <w:p w:rsidR="00BE7662" w:rsidRPr="00BE7662" w:rsidRDefault="00524CB5" w:rsidP="00BE7662">
      <w:pPr>
        <w:tabs>
          <w:tab w:val="center" w:pos="9072"/>
        </w:tabs>
        <w:jc w:val="center"/>
        <w:rPr>
          <w:rFonts w:cs="Arial"/>
          <w:sz w:val="22"/>
        </w:rPr>
      </w:pPr>
      <w:r w:rsidRPr="00BE7662">
        <w:rPr>
          <w:rFonts w:cs="Arial"/>
          <w:sz w:val="22"/>
        </w:rPr>
        <w:t>La Cour,</w:t>
      </w:r>
    </w:p>
    <w:p w:rsidR="00BE7662" w:rsidRDefault="006F63F7" w:rsidP="00BE7662">
      <w:pPr>
        <w:tabs>
          <w:tab w:val="center" w:pos="4536"/>
          <w:tab w:val="right" w:pos="9072"/>
        </w:tabs>
        <w:spacing w:line="240" w:lineRule="auto"/>
        <w:ind w:left="-567"/>
        <w:jc w:val="both"/>
        <w:rPr>
          <w:rFonts w:eastAsia="Times New Roman" w:cs="Arial"/>
          <w:sz w:val="22"/>
          <w:lang w:eastAsia="fr-FR"/>
        </w:rPr>
      </w:pPr>
    </w:p>
    <w:p w:rsidR="00F5063C" w:rsidRDefault="00F5063C" w:rsidP="00BE7662">
      <w:pPr>
        <w:tabs>
          <w:tab w:val="center" w:pos="4536"/>
          <w:tab w:val="right" w:pos="9072"/>
        </w:tabs>
        <w:spacing w:line="240" w:lineRule="auto"/>
        <w:ind w:left="-567"/>
        <w:jc w:val="both"/>
        <w:rPr>
          <w:rFonts w:eastAsia="Times New Roman" w:cs="Arial"/>
          <w:sz w:val="22"/>
          <w:lang w:eastAsia="fr-FR"/>
        </w:rPr>
      </w:pPr>
    </w:p>
    <w:p w:rsidR="009F6EE2" w:rsidRPr="00BE7662" w:rsidRDefault="009F6EE2" w:rsidP="00BE7662">
      <w:pPr>
        <w:tabs>
          <w:tab w:val="center" w:pos="4536"/>
          <w:tab w:val="right" w:pos="9072"/>
        </w:tabs>
        <w:spacing w:line="240" w:lineRule="auto"/>
        <w:ind w:left="-567"/>
        <w:jc w:val="both"/>
        <w:rPr>
          <w:rFonts w:eastAsia="Times New Roman" w:cs="Arial"/>
          <w:sz w:val="22"/>
          <w:lang w:eastAsia="fr-FR"/>
        </w:rPr>
      </w:pPr>
    </w:p>
    <w:p w:rsidR="00B639C0" w:rsidRPr="00B639C0" w:rsidRDefault="00B639C0" w:rsidP="00CE25A0">
      <w:pPr>
        <w:spacing w:after="200" w:line="240" w:lineRule="auto"/>
        <w:jc w:val="both"/>
        <w:rPr>
          <w:rFonts w:eastAsia="Calibri" w:cs="Arial"/>
          <w:sz w:val="22"/>
        </w:rPr>
      </w:pPr>
      <w:r w:rsidRPr="00B639C0">
        <w:rPr>
          <w:rFonts w:eastAsia="Calibri" w:cs="Arial"/>
          <w:sz w:val="22"/>
        </w:rPr>
        <w:t>Vu le réquisitoire à fin d’instruction de charges n° 2015-6 du 27 janvier 2015</w:t>
      </w:r>
      <w:r w:rsidR="00CE25A0">
        <w:rPr>
          <w:rFonts w:eastAsia="Calibri" w:cs="Arial"/>
          <w:sz w:val="22"/>
        </w:rPr>
        <w:t>, par lequel le</w:t>
      </w:r>
      <w:r w:rsidRPr="00B639C0">
        <w:rPr>
          <w:rFonts w:eastAsia="Calibri" w:cs="Arial"/>
          <w:sz w:val="22"/>
        </w:rPr>
        <w:t xml:space="preserve"> Procureur général près la Cour des comptes </w:t>
      </w:r>
      <w:r w:rsidR="00CE25A0">
        <w:rPr>
          <w:rFonts w:eastAsia="Calibri" w:cs="Arial"/>
          <w:sz w:val="22"/>
        </w:rPr>
        <w:t>a saisi</w:t>
      </w:r>
      <w:r w:rsidRPr="00B639C0">
        <w:rPr>
          <w:rFonts w:eastAsia="Calibri" w:cs="Arial"/>
          <w:sz w:val="22"/>
        </w:rPr>
        <w:t xml:space="preserve"> la </w:t>
      </w:r>
      <w:r w:rsidR="00CE25A0">
        <w:rPr>
          <w:rFonts w:eastAsia="Calibri" w:cs="Arial"/>
          <w:sz w:val="22"/>
        </w:rPr>
        <w:t>s</w:t>
      </w:r>
      <w:r w:rsidRPr="00B639C0">
        <w:rPr>
          <w:rFonts w:eastAsia="Calibri" w:cs="Arial"/>
          <w:sz w:val="22"/>
        </w:rPr>
        <w:t xml:space="preserve">eptième </w:t>
      </w:r>
      <w:r w:rsidR="00357403">
        <w:rPr>
          <w:rFonts w:eastAsia="Calibri" w:cs="Arial"/>
          <w:sz w:val="22"/>
        </w:rPr>
        <w:t>c</w:t>
      </w:r>
      <w:r w:rsidRPr="00B639C0">
        <w:rPr>
          <w:rFonts w:eastAsia="Calibri" w:cs="Arial"/>
          <w:sz w:val="22"/>
        </w:rPr>
        <w:t>hambre de la Cour de six présomptions de charges</w:t>
      </w:r>
      <w:r w:rsidR="00CE25A0">
        <w:rPr>
          <w:rFonts w:eastAsia="Calibri" w:cs="Arial"/>
          <w:sz w:val="22"/>
        </w:rPr>
        <w:t xml:space="preserve">, en vue de la mise en jeu de la responsabilité personnelle et pécuniaire de </w:t>
      </w:r>
      <w:r w:rsidR="0025694F">
        <w:rPr>
          <w:rFonts w:eastAsia="Calibri" w:cs="Arial"/>
          <w:sz w:val="22"/>
        </w:rPr>
        <w:t>M. X</w:t>
      </w:r>
      <w:r w:rsidRPr="00B639C0">
        <w:rPr>
          <w:rFonts w:eastAsia="Calibri" w:cs="Arial"/>
          <w:sz w:val="22"/>
        </w:rPr>
        <w:t>, agent comptable de la Chambre régionale d’agriculture d’Aquitaine</w:t>
      </w:r>
      <w:r w:rsidR="00357403">
        <w:rPr>
          <w:rFonts w:eastAsia="Calibri" w:cs="Arial"/>
          <w:sz w:val="22"/>
        </w:rPr>
        <w:t>,</w:t>
      </w:r>
      <w:r w:rsidR="00CE25A0">
        <w:rPr>
          <w:rFonts w:eastAsia="Calibri" w:cs="Arial"/>
          <w:sz w:val="22"/>
        </w:rPr>
        <w:t xml:space="preserve"> au titre d’opérations relatives aux exercices 200</w:t>
      </w:r>
      <w:r w:rsidR="007519D0">
        <w:rPr>
          <w:rFonts w:eastAsia="Calibri" w:cs="Arial"/>
          <w:sz w:val="22"/>
        </w:rPr>
        <w:t>9</w:t>
      </w:r>
      <w:r w:rsidR="00CE25A0">
        <w:rPr>
          <w:rFonts w:eastAsia="Calibri" w:cs="Arial"/>
          <w:sz w:val="22"/>
        </w:rPr>
        <w:t xml:space="preserve"> à 2013</w:t>
      </w:r>
      <w:r w:rsidR="00357403">
        <w:rPr>
          <w:rFonts w:eastAsia="Calibri" w:cs="Arial"/>
          <w:sz w:val="22"/>
        </w:rPr>
        <w:t>, notifié le 11 février 2015</w:t>
      </w:r>
      <w:r w:rsidR="00CE25A0">
        <w:rPr>
          <w:rFonts w:eastAsia="Calibri" w:cs="Arial"/>
          <w:sz w:val="22"/>
        </w:rPr>
        <w:t xml:space="preserve"> </w:t>
      </w:r>
      <w:r w:rsidR="00357403">
        <w:rPr>
          <w:rFonts w:eastAsia="Calibri" w:cs="Arial"/>
          <w:sz w:val="22"/>
        </w:rPr>
        <w:t>au comptable concerné et au président de la chambre régionale d’agriculture</w:t>
      </w:r>
      <w:r w:rsidR="00B97231">
        <w:rPr>
          <w:rFonts w:eastAsia="Calibri" w:cs="Arial"/>
          <w:sz w:val="22"/>
        </w:rPr>
        <w:t> ;</w:t>
      </w:r>
    </w:p>
    <w:p w:rsidR="00357403" w:rsidRDefault="00357403" w:rsidP="00357403">
      <w:pPr>
        <w:spacing w:after="200" w:line="240" w:lineRule="auto"/>
        <w:jc w:val="both"/>
        <w:rPr>
          <w:rFonts w:eastAsia="Calibri" w:cs="Arial"/>
          <w:sz w:val="22"/>
        </w:rPr>
      </w:pPr>
      <w:r w:rsidRPr="00357403">
        <w:rPr>
          <w:rFonts w:eastAsia="Calibri" w:cs="Arial"/>
          <w:sz w:val="22"/>
        </w:rPr>
        <w:t>Vu les comptes rendus en qualité de comptable de</w:t>
      </w:r>
      <w:r>
        <w:rPr>
          <w:rFonts w:eastAsia="Calibri" w:cs="Arial"/>
          <w:sz w:val="22"/>
        </w:rPr>
        <w:t xml:space="preserve"> </w:t>
      </w:r>
      <w:r w:rsidRPr="00357403">
        <w:rPr>
          <w:rFonts w:eastAsia="Calibri" w:cs="Arial"/>
          <w:sz w:val="22"/>
        </w:rPr>
        <w:t>la chambre régionale d’agriculture</w:t>
      </w:r>
      <w:r>
        <w:rPr>
          <w:rFonts w:eastAsia="Calibri" w:cs="Arial"/>
          <w:sz w:val="22"/>
        </w:rPr>
        <w:t xml:space="preserve"> d’Aquitaine</w:t>
      </w:r>
      <w:r w:rsidRPr="00357403">
        <w:rPr>
          <w:rFonts w:eastAsia="Calibri" w:cs="Arial"/>
          <w:sz w:val="22"/>
        </w:rPr>
        <w:t xml:space="preserve">, par </w:t>
      </w:r>
      <w:r w:rsidR="0025694F">
        <w:rPr>
          <w:rFonts w:eastAsia="Calibri" w:cs="Arial"/>
          <w:sz w:val="22"/>
        </w:rPr>
        <w:t>M. X</w:t>
      </w:r>
      <w:r>
        <w:rPr>
          <w:rFonts w:eastAsia="Calibri" w:cs="Arial"/>
          <w:sz w:val="22"/>
        </w:rPr>
        <w:t>, en fonctions pour la totalité de la période visée par le réquisitoire ;</w:t>
      </w:r>
    </w:p>
    <w:p w:rsidR="00357403" w:rsidRPr="00357403" w:rsidRDefault="00357403" w:rsidP="00357403">
      <w:pPr>
        <w:spacing w:after="200" w:line="240" w:lineRule="auto"/>
        <w:jc w:val="both"/>
        <w:rPr>
          <w:rFonts w:eastAsia="Calibri" w:cs="Arial"/>
          <w:sz w:val="22"/>
        </w:rPr>
      </w:pPr>
      <w:r w:rsidRPr="00357403">
        <w:rPr>
          <w:rFonts w:eastAsia="Calibri" w:cs="Arial"/>
          <w:sz w:val="22"/>
        </w:rPr>
        <w:t>Vu les justifications produites au soutien des comptes en jugement</w:t>
      </w:r>
      <w:r w:rsidR="00B97231">
        <w:rPr>
          <w:rFonts w:eastAsia="Calibri" w:cs="Arial"/>
          <w:sz w:val="22"/>
        </w:rPr>
        <w:t> ;</w:t>
      </w:r>
    </w:p>
    <w:p w:rsidR="00357403" w:rsidRPr="00357403" w:rsidRDefault="00357403" w:rsidP="00357403">
      <w:pPr>
        <w:spacing w:after="200" w:line="240" w:lineRule="auto"/>
        <w:jc w:val="both"/>
        <w:rPr>
          <w:rFonts w:eastAsia="Calibri" w:cs="Arial"/>
          <w:sz w:val="22"/>
        </w:rPr>
      </w:pPr>
      <w:r w:rsidRPr="00357403">
        <w:rPr>
          <w:rFonts w:eastAsia="Calibri" w:cs="Arial"/>
          <w:sz w:val="22"/>
        </w:rPr>
        <w:t>Vu l’article 60 de la loi de finances n° 63-156 du 23 février 1963 ;</w:t>
      </w:r>
    </w:p>
    <w:p w:rsidR="00B639C0" w:rsidRPr="00B639C0" w:rsidRDefault="00B639C0" w:rsidP="00CE25A0">
      <w:pPr>
        <w:spacing w:after="200" w:line="240" w:lineRule="auto"/>
        <w:jc w:val="both"/>
        <w:rPr>
          <w:rFonts w:eastAsia="Calibri" w:cs="Arial"/>
          <w:sz w:val="22"/>
        </w:rPr>
      </w:pPr>
      <w:r w:rsidRPr="00B639C0">
        <w:rPr>
          <w:rFonts w:eastAsia="Calibri" w:cs="Arial"/>
          <w:sz w:val="22"/>
        </w:rPr>
        <w:t>Vu le code des juridictions financières ;</w:t>
      </w:r>
    </w:p>
    <w:p w:rsidR="00B639C0" w:rsidRDefault="00B639C0" w:rsidP="00CE25A0">
      <w:pPr>
        <w:spacing w:after="200" w:line="240" w:lineRule="auto"/>
        <w:jc w:val="both"/>
        <w:rPr>
          <w:rFonts w:eastAsia="Calibri" w:cs="Arial"/>
          <w:sz w:val="22"/>
        </w:rPr>
      </w:pPr>
      <w:r w:rsidRPr="00B639C0">
        <w:rPr>
          <w:rFonts w:eastAsia="Calibri" w:cs="Arial"/>
          <w:sz w:val="22"/>
        </w:rPr>
        <w:t>Vu le code rural et de la pêche maritime, ainsi que les lois, décrets et règlements sur la comptabilité des établissements publics nationaux à caractère administratif et les textes spécifiques applicables aux chambres d’agriculture ;</w:t>
      </w:r>
    </w:p>
    <w:p w:rsidR="00357403" w:rsidRPr="00357403" w:rsidRDefault="00357403" w:rsidP="00357403">
      <w:pPr>
        <w:spacing w:after="200" w:line="240" w:lineRule="auto"/>
        <w:jc w:val="both"/>
        <w:rPr>
          <w:rFonts w:eastAsia="Calibri" w:cs="Arial"/>
          <w:sz w:val="22"/>
        </w:rPr>
      </w:pPr>
      <w:r w:rsidRPr="00357403">
        <w:rPr>
          <w:rFonts w:eastAsia="Calibri" w:cs="Arial"/>
          <w:sz w:val="22"/>
        </w:rPr>
        <w:t>Vu le décret n° 62-1587 du 29 décembre 1962 portant règlement général sur la comptabilité publique, alors en vigueur ;</w:t>
      </w:r>
    </w:p>
    <w:p w:rsidR="009F6EE2" w:rsidRPr="009F6EE2" w:rsidRDefault="009F6EE2" w:rsidP="009F6EE2">
      <w:pPr>
        <w:spacing w:after="200" w:line="240" w:lineRule="auto"/>
        <w:jc w:val="both"/>
        <w:rPr>
          <w:rFonts w:eastAsia="Calibri" w:cs="Arial"/>
          <w:sz w:val="22"/>
        </w:rPr>
      </w:pPr>
      <w:r w:rsidRPr="009F6EE2">
        <w:rPr>
          <w:rFonts w:eastAsia="Calibri" w:cs="Arial"/>
          <w:sz w:val="22"/>
        </w:rPr>
        <w:t>Vu le décret n° 2012-1386 du 10 décembre 2012 portant application du deuxième alinéa du VI de l’article 60 de la loi de finances de 1963 modifiée dans sa rédaction issue de l’article 90 de la loi n° 2011-1978 du 28 décembre 2011 de finances rectificatives pour 2011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Vu l’ordonnance n° 71730 du 19 janvier 2015 de la </w:t>
      </w:r>
      <w:r w:rsidR="00B97231">
        <w:rPr>
          <w:rFonts w:eastAsia="Calibri" w:cs="Arial"/>
          <w:sz w:val="22"/>
        </w:rPr>
        <w:t>p</w:t>
      </w:r>
      <w:r w:rsidRPr="00B639C0">
        <w:rPr>
          <w:rFonts w:eastAsia="Calibri" w:cs="Arial"/>
          <w:sz w:val="22"/>
        </w:rPr>
        <w:t xml:space="preserve">résidente de la </w:t>
      </w:r>
      <w:r w:rsidR="007409F9">
        <w:rPr>
          <w:rFonts w:eastAsia="Calibri" w:cs="Arial"/>
          <w:sz w:val="22"/>
        </w:rPr>
        <w:t>s</w:t>
      </w:r>
      <w:r w:rsidRPr="00B639C0">
        <w:rPr>
          <w:rFonts w:eastAsia="Calibri" w:cs="Arial"/>
          <w:sz w:val="22"/>
        </w:rPr>
        <w:t xml:space="preserve">eptième Chambre constatant la décharge de </w:t>
      </w:r>
      <w:r w:rsidR="0025694F">
        <w:rPr>
          <w:rFonts w:eastAsia="Calibri" w:cs="Arial"/>
          <w:sz w:val="22"/>
        </w:rPr>
        <w:t>M. X</w:t>
      </w:r>
      <w:r w:rsidRPr="00B639C0">
        <w:rPr>
          <w:rFonts w:eastAsia="Calibri" w:cs="Arial"/>
          <w:sz w:val="22"/>
        </w:rPr>
        <w:t xml:space="preserve"> du 3 septembre 2005 au 31 décembre 2007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Vu les autres pièces du dossier et notamment les lettres de </w:t>
      </w:r>
      <w:r w:rsidR="0025694F">
        <w:rPr>
          <w:rFonts w:eastAsia="Calibri" w:cs="Arial"/>
          <w:sz w:val="22"/>
        </w:rPr>
        <w:t>M. X</w:t>
      </w:r>
      <w:r w:rsidRPr="00B639C0">
        <w:rPr>
          <w:rFonts w:eastAsia="Calibri" w:cs="Arial"/>
          <w:sz w:val="22"/>
        </w:rPr>
        <w:t xml:space="preserve"> des 5 mars et 20 juin 2015, ainsi que ses courriels des 3 et 27 avril 2015 ;</w:t>
      </w:r>
    </w:p>
    <w:p w:rsidR="009F6EE2" w:rsidRDefault="009F6EE2" w:rsidP="009F6EE2">
      <w:pPr>
        <w:spacing w:after="200" w:line="240" w:lineRule="auto"/>
        <w:jc w:val="both"/>
        <w:rPr>
          <w:rFonts w:eastAsia="Calibri" w:cs="Arial"/>
          <w:sz w:val="22"/>
        </w:rPr>
      </w:pPr>
    </w:p>
    <w:p w:rsidR="00B97231" w:rsidRDefault="00B97231" w:rsidP="009F6EE2">
      <w:pPr>
        <w:spacing w:after="200" w:line="240" w:lineRule="auto"/>
        <w:jc w:val="both"/>
        <w:rPr>
          <w:rFonts w:eastAsia="Calibri" w:cs="Arial"/>
          <w:sz w:val="22"/>
        </w:rPr>
      </w:pPr>
    </w:p>
    <w:p w:rsidR="00B97231" w:rsidRDefault="00B97231" w:rsidP="009F6EE2">
      <w:pPr>
        <w:spacing w:after="200" w:line="240" w:lineRule="auto"/>
        <w:jc w:val="both"/>
        <w:rPr>
          <w:rFonts w:eastAsia="Calibri" w:cs="Arial"/>
          <w:sz w:val="22"/>
        </w:rPr>
      </w:pPr>
    </w:p>
    <w:p w:rsidR="009F6EE2" w:rsidRPr="009F6EE2" w:rsidRDefault="009F6EE2" w:rsidP="009F6EE2">
      <w:pPr>
        <w:spacing w:after="200" w:line="240" w:lineRule="auto"/>
        <w:jc w:val="both"/>
        <w:rPr>
          <w:rFonts w:eastAsia="Calibri" w:cs="Arial"/>
          <w:sz w:val="22"/>
        </w:rPr>
      </w:pPr>
      <w:r w:rsidRPr="009F6EE2">
        <w:rPr>
          <w:rFonts w:eastAsia="Calibri" w:cs="Arial"/>
          <w:sz w:val="22"/>
        </w:rPr>
        <w:t xml:space="preserve">Vu le rapport </w:t>
      </w:r>
      <w:r w:rsidR="007409F9">
        <w:rPr>
          <w:rFonts w:eastAsia="Calibri" w:cs="Arial"/>
          <w:sz w:val="22"/>
        </w:rPr>
        <w:t xml:space="preserve">n° 2015-197-0 </w:t>
      </w:r>
      <w:r w:rsidRPr="009F6EE2">
        <w:rPr>
          <w:rFonts w:eastAsia="Calibri" w:cs="Arial"/>
          <w:sz w:val="22"/>
        </w:rPr>
        <w:t xml:space="preserve">de </w:t>
      </w:r>
      <w:r>
        <w:rPr>
          <w:rFonts w:eastAsia="Calibri" w:cs="Arial"/>
          <w:sz w:val="22"/>
        </w:rPr>
        <w:t>M. Eric Thévenon,</w:t>
      </w:r>
      <w:r w:rsidRPr="009F6EE2">
        <w:rPr>
          <w:rFonts w:eastAsia="Calibri" w:cs="Arial"/>
          <w:sz w:val="22"/>
        </w:rPr>
        <w:t xml:space="preserve"> </w:t>
      </w:r>
      <w:r>
        <w:rPr>
          <w:rFonts w:eastAsia="Calibri" w:cs="Arial"/>
          <w:sz w:val="22"/>
        </w:rPr>
        <w:t>conseiller maître</w:t>
      </w:r>
      <w:r w:rsidRPr="009F6EE2">
        <w:rPr>
          <w:rFonts w:eastAsia="Calibri" w:cs="Arial"/>
          <w:sz w:val="22"/>
        </w:rPr>
        <w:t>, magistrat chargé de l’instruction ;</w:t>
      </w:r>
    </w:p>
    <w:p w:rsidR="00B639C0" w:rsidRPr="00B639C0" w:rsidRDefault="00B639C0" w:rsidP="00CE25A0">
      <w:pPr>
        <w:spacing w:after="200" w:line="240" w:lineRule="auto"/>
        <w:jc w:val="both"/>
        <w:rPr>
          <w:rFonts w:eastAsia="Calibri" w:cs="Arial"/>
          <w:sz w:val="22"/>
        </w:rPr>
      </w:pPr>
      <w:r w:rsidRPr="00B639C0">
        <w:rPr>
          <w:rFonts w:eastAsia="Calibri" w:cs="Arial"/>
          <w:sz w:val="22"/>
        </w:rPr>
        <w:t>Vu les conclusions n° 408 du 26 juin 2015 du Procureur général près la Cour des comptes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Entendu, lors de l’audience publique du 30 juin 2015, M. Thévenon, </w:t>
      </w:r>
      <w:r w:rsidR="009F6EE2" w:rsidRPr="009F6EE2">
        <w:rPr>
          <w:rFonts w:eastAsia="Calibri" w:cs="Arial"/>
          <w:sz w:val="22"/>
        </w:rPr>
        <w:t xml:space="preserve">conseiller maître, </w:t>
      </w:r>
      <w:r w:rsidRPr="00B639C0">
        <w:rPr>
          <w:rFonts w:eastAsia="Calibri" w:cs="Arial"/>
          <w:sz w:val="22"/>
        </w:rPr>
        <w:t xml:space="preserve">en son rapport, </w:t>
      </w:r>
      <w:r w:rsidR="00B97231" w:rsidRPr="00B97231">
        <w:rPr>
          <w:rFonts w:eastAsia="Calibri" w:cs="Arial"/>
          <w:sz w:val="22"/>
        </w:rPr>
        <w:t>M</w:t>
      </w:r>
      <w:r w:rsidR="00B97231" w:rsidRPr="00B97231">
        <w:rPr>
          <w:rFonts w:eastAsia="Calibri" w:cs="Arial"/>
          <w:sz w:val="22"/>
          <w:vertAlign w:val="superscript"/>
        </w:rPr>
        <w:t>me</w:t>
      </w:r>
      <w:r w:rsidR="00B97231">
        <w:rPr>
          <w:rFonts w:eastAsia="Calibri" w:cs="Arial"/>
          <w:sz w:val="22"/>
        </w:rPr>
        <w:t> </w:t>
      </w:r>
      <w:proofErr w:type="spellStart"/>
      <w:r w:rsidRPr="00B639C0">
        <w:rPr>
          <w:rFonts w:eastAsia="Calibri" w:cs="Arial"/>
          <w:sz w:val="22"/>
        </w:rPr>
        <w:t>Loguivy</w:t>
      </w:r>
      <w:proofErr w:type="spellEnd"/>
      <w:r w:rsidRPr="00B639C0">
        <w:rPr>
          <w:rFonts w:eastAsia="Calibri" w:cs="Arial"/>
          <w:sz w:val="22"/>
        </w:rPr>
        <w:t xml:space="preserve"> Roche, avocat général, en ses conclusions, le comptable et le président de l’établissement n’étant ni présents</w:t>
      </w:r>
      <w:r w:rsidR="0039020D">
        <w:rPr>
          <w:rFonts w:eastAsia="Calibri" w:cs="Arial"/>
          <w:sz w:val="22"/>
        </w:rPr>
        <w:t>,</w:t>
      </w:r>
      <w:r w:rsidRPr="00B639C0">
        <w:rPr>
          <w:rFonts w:eastAsia="Calibri" w:cs="Arial"/>
          <w:sz w:val="22"/>
        </w:rPr>
        <w:t xml:space="preserve"> ni représentés ;</w:t>
      </w:r>
    </w:p>
    <w:p w:rsidR="00B639C0" w:rsidRDefault="00B639C0" w:rsidP="00CE25A0">
      <w:pPr>
        <w:spacing w:after="200" w:line="240" w:lineRule="auto"/>
        <w:jc w:val="both"/>
        <w:rPr>
          <w:rFonts w:eastAsia="Calibri" w:cs="Arial"/>
          <w:sz w:val="22"/>
        </w:rPr>
      </w:pPr>
      <w:r w:rsidRPr="00B639C0">
        <w:rPr>
          <w:rFonts w:eastAsia="Calibri" w:cs="Arial"/>
          <w:sz w:val="22"/>
        </w:rPr>
        <w:t>Ayant délibéré hors la présence du rapporteur et du ministère public et après avoir entendu M. Antoine Guéroult, conseiller maître, réviseur, en ses observations ;</w:t>
      </w:r>
    </w:p>
    <w:p w:rsidR="00B639C0" w:rsidRPr="00B639C0" w:rsidRDefault="00B639C0" w:rsidP="009F6EE2">
      <w:pPr>
        <w:spacing w:before="480" w:after="200" w:line="240" w:lineRule="auto"/>
        <w:jc w:val="both"/>
        <w:rPr>
          <w:rFonts w:eastAsia="Calibri" w:cs="Arial"/>
          <w:sz w:val="22"/>
        </w:rPr>
      </w:pPr>
      <w:r w:rsidRPr="00B639C0">
        <w:rPr>
          <w:rFonts w:eastAsia="Calibri" w:cs="Arial"/>
          <w:sz w:val="22"/>
        </w:rPr>
        <w:t>Attendu qu’aucune circonstance de force majeure n’a été établie ni même alléguée ;</w:t>
      </w:r>
    </w:p>
    <w:p w:rsidR="00B639C0" w:rsidRP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b/>
          <w:i/>
          <w:sz w:val="22"/>
          <w:u w:val="single"/>
        </w:rPr>
      </w:pPr>
      <w:r w:rsidRPr="00B639C0">
        <w:rPr>
          <w:rFonts w:eastAsia="Calibri" w:cs="Arial"/>
          <w:b/>
          <w:i/>
          <w:sz w:val="22"/>
          <w:u w:val="single"/>
        </w:rPr>
        <w:t>Sur la charge n° 1</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qu’aux termes du réquisitoire susvisé, le compte 26 (participations et créances rattachées à des participations) présente un solde débiteur non justifié de 4 390,54 € au 31 décembre 2013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w:t>
      </w:r>
      <w:r w:rsidR="0025694F">
        <w:rPr>
          <w:rFonts w:eastAsia="Calibri" w:cs="Arial"/>
          <w:sz w:val="22"/>
        </w:rPr>
        <w:t>M. X</w:t>
      </w:r>
      <w:r w:rsidRPr="00B639C0">
        <w:rPr>
          <w:rFonts w:eastAsia="Calibri" w:cs="Arial"/>
          <w:sz w:val="22"/>
        </w:rPr>
        <w:t xml:space="preserve"> fait valoir que l’origine de ce solde n’a jamais été identifiée et que l’anomalie remonterait aux exercices 1993 et 1994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par deux fois, le 25 mars 1994 et le 27 septembre 2002, la Trésorerie générale a relevé le défaut de justification du compte 26 sans que, pour autant, il ait été mis fin à cette anomalie comptable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lorsqu’il a pris ses fonctions, le 3 septembre 2005, </w:t>
      </w:r>
      <w:r w:rsidR="0025694F">
        <w:rPr>
          <w:rFonts w:eastAsia="Calibri" w:cs="Arial"/>
          <w:sz w:val="22"/>
        </w:rPr>
        <w:t>M. X</w:t>
      </w:r>
      <w:r w:rsidRPr="00B639C0">
        <w:rPr>
          <w:rFonts w:eastAsia="Calibri" w:cs="Arial"/>
          <w:sz w:val="22"/>
        </w:rPr>
        <w:t xml:space="preserve"> n’a pas émis de réserves sur la gestion de son prédécesseur, </w:t>
      </w:r>
      <w:r w:rsidR="00B97231" w:rsidRPr="00B97231">
        <w:rPr>
          <w:rFonts w:eastAsia="Calibri" w:cs="Arial"/>
          <w:sz w:val="22"/>
        </w:rPr>
        <w:t>M</w:t>
      </w:r>
      <w:r w:rsidR="00B97231" w:rsidRPr="00B97231">
        <w:rPr>
          <w:rFonts w:eastAsia="Calibri" w:cs="Arial"/>
          <w:sz w:val="22"/>
          <w:vertAlign w:val="superscript"/>
        </w:rPr>
        <w:t>me</w:t>
      </w:r>
      <w:r w:rsidR="00B97231">
        <w:rPr>
          <w:rFonts w:eastAsia="Calibri" w:cs="Arial"/>
          <w:sz w:val="22"/>
        </w:rPr>
        <w:t> </w:t>
      </w:r>
      <w:r w:rsidR="0025694F">
        <w:rPr>
          <w:rFonts w:eastAsia="Calibri" w:cs="Arial"/>
          <w:sz w:val="22"/>
        </w:rPr>
        <w:t>Y</w:t>
      </w:r>
      <w:r w:rsidRPr="00B639C0">
        <w:rPr>
          <w:rFonts w:eastAsia="Calibri" w:cs="Arial"/>
          <w:sz w:val="22"/>
        </w:rPr>
        <w:t>;</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l’absence de justification du solde de 4 390,54 € porté au compte 26 constitue un préjudice financier pour l’établissement, qu’il y a donc lieu de le mettre à la charge de</w:t>
      </w:r>
      <w:r w:rsidR="0054704D">
        <w:rPr>
          <w:rFonts w:eastAsia="Calibri" w:cs="Arial"/>
          <w:sz w:val="22"/>
        </w:rPr>
        <w:br/>
      </w:r>
      <w:r w:rsidR="0025694F">
        <w:rPr>
          <w:rFonts w:eastAsia="Calibri" w:cs="Arial"/>
          <w:sz w:val="22"/>
        </w:rPr>
        <w:t>M. X</w:t>
      </w:r>
      <w:r w:rsidRPr="00B639C0">
        <w:rPr>
          <w:rFonts w:eastAsia="Calibri" w:cs="Arial"/>
          <w:sz w:val="22"/>
        </w:rPr>
        <w:t>, avec intérêts au 11 février 2015, date de notification du réquisitoire susvisé ;</w:t>
      </w:r>
    </w:p>
    <w:p w:rsidR="00B639C0" w:rsidRP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b/>
          <w:i/>
          <w:sz w:val="22"/>
          <w:u w:val="single"/>
        </w:rPr>
      </w:pPr>
      <w:r w:rsidRPr="00B639C0">
        <w:rPr>
          <w:rFonts w:eastAsia="Calibri" w:cs="Arial"/>
          <w:b/>
          <w:i/>
          <w:sz w:val="22"/>
          <w:u w:val="single"/>
        </w:rPr>
        <w:t>Sur la charge n° 2</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qu’aux termes du réquisitoire susvisé une réduction de titre d’un montant de 2 741,63 € a été effectuée le 15 décembre 2009, portant sur l’annulation totale du titre n° 22 du 24 février 2009, sans que </w:t>
      </w:r>
      <w:r w:rsidR="0025694F">
        <w:rPr>
          <w:rFonts w:eastAsia="Calibri" w:cs="Arial"/>
          <w:sz w:val="22"/>
        </w:rPr>
        <w:t>M. X</w:t>
      </w:r>
      <w:r w:rsidRPr="00B639C0">
        <w:rPr>
          <w:rFonts w:eastAsia="Calibri" w:cs="Arial"/>
          <w:sz w:val="22"/>
        </w:rPr>
        <w:t xml:space="preserve"> y ait été habilité par l’ordonnateur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qu’il résulte de l’examen des pièces du dossier que le titre n° 22 du 24 février 2009 constituait une créance sur le Conseil des équidés d’Aquitaine, portant sur un bail à location d’un bureau par la Chambre régionale d’agriculture d’Aquitaine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par un courrier du 26 juin 2009, le président du Conseil des équidés d’Aquitaine a contesté la validité dudit bail car signé</w:t>
      </w:r>
      <w:r w:rsidR="0039020D">
        <w:rPr>
          <w:rFonts w:eastAsia="Calibri" w:cs="Arial"/>
          <w:sz w:val="22"/>
        </w:rPr>
        <w:t>, selon ce dernier,</w:t>
      </w:r>
      <w:r w:rsidRPr="00B639C0">
        <w:rPr>
          <w:rFonts w:eastAsia="Calibri" w:cs="Arial"/>
          <w:sz w:val="22"/>
        </w:rPr>
        <w:t xml:space="preserve"> par une personne non habilitée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face à une créance sérieusement contestée par le président du Conseil des équidés d’Aquitaine, </w:t>
      </w:r>
      <w:r w:rsidR="0025694F">
        <w:rPr>
          <w:rFonts w:eastAsia="Calibri" w:cs="Arial"/>
          <w:sz w:val="22"/>
        </w:rPr>
        <w:t>M. X</w:t>
      </w:r>
      <w:r w:rsidRPr="00B639C0">
        <w:rPr>
          <w:rFonts w:eastAsia="Calibri" w:cs="Arial"/>
          <w:sz w:val="22"/>
        </w:rPr>
        <w:t xml:space="preserve"> a, par trois fois, le</w:t>
      </w:r>
      <w:r w:rsidR="007409F9">
        <w:rPr>
          <w:rFonts w:eastAsia="Calibri" w:cs="Arial"/>
          <w:sz w:val="22"/>
        </w:rPr>
        <w:t>s</w:t>
      </w:r>
      <w:r w:rsidRPr="00B639C0">
        <w:rPr>
          <w:rFonts w:eastAsia="Calibri" w:cs="Arial"/>
          <w:sz w:val="22"/>
        </w:rPr>
        <w:t xml:space="preserve"> 1</w:t>
      </w:r>
      <w:r w:rsidRPr="00B639C0">
        <w:rPr>
          <w:rFonts w:eastAsia="Calibri" w:cs="Arial"/>
          <w:sz w:val="22"/>
          <w:vertAlign w:val="superscript"/>
        </w:rPr>
        <w:t>er</w:t>
      </w:r>
      <w:r w:rsidRPr="00B639C0">
        <w:rPr>
          <w:rFonts w:eastAsia="Calibri" w:cs="Arial"/>
          <w:sz w:val="22"/>
        </w:rPr>
        <w:t xml:space="preserve"> juillet, 16 septembre et 30 décembre 2009, sollicité une autorisation de poursuite de la part du président de la Chambre régionale d’agriculture d’Aquitaine, mais que ladite autorisation ne lui a jamais été accordée ;</w:t>
      </w:r>
    </w:p>
    <w:p w:rsidR="00B97231" w:rsidRDefault="00B97231">
      <w:pPr>
        <w:spacing w:line="240" w:lineRule="auto"/>
        <w:rPr>
          <w:rFonts w:eastAsia="Calibri" w:cs="Arial"/>
          <w:sz w:val="22"/>
        </w:rPr>
      </w:pPr>
      <w:r>
        <w:rPr>
          <w:rFonts w:eastAsia="Calibri" w:cs="Arial"/>
          <w:sz w:val="22"/>
        </w:rPr>
        <w:br w:type="page"/>
      </w:r>
    </w:p>
    <w:p w:rsidR="00B97231" w:rsidRDefault="00B97231"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qu’il résulte de ce qui précède que </w:t>
      </w:r>
      <w:r w:rsidR="0025694F">
        <w:rPr>
          <w:rFonts w:eastAsia="Calibri" w:cs="Arial"/>
          <w:sz w:val="22"/>
        </w:rPr>
        <w:t>M. X</w:t>
      </w:r>
      <w:r w:rsidRPr="00B639C0">
        <w:rPr>
          <w:rFonts w:eastAsia="Calibri" w:cs="Arial"/>
          <w:sz w:val="22"/>
        </w:rPr>
        <w:t xml:space="preserve"> ne s’est pas désintéressé de la créance de 2 741,63 € et qu’il n’y a donc pas lieu d’engager sa responsabilité personnelle et pécuniaire ;</w:t>
      </w:r>
    </w:p>
    <w:p w:rsidR="00B639C0" w:rsidRP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b/>
          <w:i/>
          <w:sz w:val="22"/>
          <w:u w:val="single"/>
        </w:rPr>
      </w:pPr>
      <w:r w:rsidRPr="00B639C0">
        <w:rPr>
          <w:rFonts w:eastAsia="Calibri" w:cs="Arial"/>
          <w:b/>
          <w:i/>
          <w:sz w:val="22"/>
          <w:u w:val="single"/>
        </w:rPr>
        <w:t>Sur la charge n° 3</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qu’aux termes du réquisitoire susvisé le titre de réduction du 3 décembre 2013 émis sur la Chambre départementale d’agriculture des Pyrénées-Atlantiques, d’un montant de 3 508,75</w:t>
      </w:r>
      <w:r w:rsidR="00B97231">
        <w:rPr>
          <w:rFonts w:eastAsia="Calibri" w:cs="Arial"/>
          <w:sz w:val="22"/>
        </w:rPr>
        <w:t> </w:t>
      </w:r>
      <w:r w:rsidRPr="00B639C0">
        <w:rPr>
          <w:rFonts w:eastAsia="Calibri" w:cs="Arial"/>
          <w:sz w:val="22"/>
        </w:rPr>
        <w:t>€, portant annulation partielle du titre n° 24 d</w:t>
      </w:r>
      <w:r w:rsidR="007409F9">
        <w:rPr>
          <w:rFonts w:eastAsia="Calibri" w:cs="Arial"/>
          <w:sz w:val="22"/>
        </w:rPr>
        <w:t>u</w:t>
      </w:r>
      <w:r w:rsidRPr="00B639C0">
        <w:rPr>
          <w:rFonts w:eastAsia="Calibri" w:cs="Arial"/>
          <w:sz w:val="22"/>
        </w:rPr>
        <w:t xml:space="preserve"> 25 mars 2013, n’est pas justifié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qu’il résulte de l’examen des pièces du dossier que, le 19 mars 2013, le comité exécutif de la Chambre régionale d’agriculture d’Aquitaine a proposé la mutualisation, entre les </w:t>
      </w:r>
      <w:r w:rsidR="00413FBE">
        <w:rPr>
          <w:rFonts w:eastAsia="Calibri" w:cs="Arial"/>
          <w:sz w:val="22"/>
        </w:rPr>
        <w:t>c</w:t>
      </w:r>
      <w:r w:rsidRPr="00B639C0">
        <w:rPr>
          <w:rFonts w:eastAsia="Calibri" w:cs="Arial"/>
          <w:sz w:val="22"/>
        </w:rPr>
        <w:t>hambres départementales d’agriculture, du déficit d’une opération déployée en 2012, et qu’un titre de recette de 28 000 € a été émis le 25 mars 2013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lors de la réunion de son directoire du 10 juin 2013, la Chambre départementale d’agriculture des Pyrénées-Atlantiques a décidé de ne pas participer au financement de cette mutualisation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face à ce refus, le président de la Chambre régionale d’agriculture d’A</w:t>
      </w:r>
      <w:r w:rsidR="007409F9">
        <w:rPr>
          <w:rFonts w:eastAsia="Calibri" w:cs="Arial"/>
          <w:sz w:val="22"/>
        </w:rPr>
        <w:t>q</w:t>
      </w:r>
      <w:r w:rsidRPr="00B639C0">
        <w:rPr>
          <w:rFonts w:eastAsia="Calibri" w:cs="Arial"/>
          <w:sz w:val="22"/>
        </w:rPr>
        <w:t>uitaine a, le 1</w:t>
      </w:r>
      <w:r w:rsidRPr="00B639C0">
        <w:rPr>
          <w:rFonts w:eastAsia="Calibri" w:cs="Arial"/>
          <w:sz w:val="22"/>
          <w:vertAlign w:val="superscript"/>
        </w:rPr>
        <w:t>er</w:t>
      </w:r>
      <w:r w:rsidRPr="00B639C0">
        <w:rPr>
          <w:rFonts w:eastAsia="Calibri" w:cs="Arial"/>
          <w:sz w:val="22"/>
        </w:rPr>
        <w:t xml:space="preserve"> juillet 2013, décidé d’émettre la réduction du titre émis sur la Chambre départementale d’agriculture des Pyrénées-Atlantiques pour un montant de 3 508,75 €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qu’en prenant en charge le titre de réduction de 3 508,75 €, le 3 décembre 2013, </w:t>
      </w:r>
      <w:r w:rsidR="0025694F">
        <w:rPr>
          <w:rFonts w:eastAsia="Calibri" w:cs="Arial"/>
          <w:sz w:val="22"/>
        </w:rPr>
        <w:t>M.</w:t>
      </w:r>
      <w:r w:rsidR="00B97231">
        <w:rPr>
          <w:rFonts w:eastAsia="Calibri" w:cs="Arial"/>
          <w:sz w:val="22"/>
        </w:rPr>
        <w:t> </w:t>
      </w:r>
      <w:r w:rsidR="0025694F">
        <w:rPr>
          <w:rFonts w:eastAsia="Calibri" w:cs="Arial"/>
          <w:sz w:val="22"/>
        </w:rPr>
        <w:t>X</w:t>
      </w:r>
      <w:r w:rsidRPr="00B639C0">
        <w:rPr>
          <w:rFonts w:eastAsia="Calibri" w:cs="Arial"/>
          <w:sz w:val="22"/>
        </w:rPr>
        <w:t xml:space="preserve"> disposait bien de l’autorisation de réduction de titre accordée, le 1</w:t>
      </w:r>
      <w:r w:rsidRPr="00B639C0">
        <w:rPr>
          <w:rFonts w:eastAsia="Calibri" w:cs="Arial"/>
          <w:sz w:val="22"/>
          <w:vertAlign w:val="superscript"/>
        </w:rPr>
        <w:t>er</w:t>
      </w:r>
      <w:r w:rsidRPr="00B639C0">
        <w:rPr>
          <w:rFonts w:eastAsia="Calibri" w:cs="Arial"/>
          <w:sz w:val="22"/>
        </w:rPr>
        <w:t xml:space="preserve"> juillet 2013, par le président de la Chambre régionale d’agriculture d’Aquitaine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qu’il n’y a ainsi pas lieu d’engager sa responsabilité personnelle et pécuniaire ;</w:t>
      </w:r>
    </w:p>
    <w:p w:rsidR="00B639C0" w:rsidRP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b/>
          <w:i/>
          <w:sz w:val="22"/>
          <w:u w:val="single"/>
        </w:rPr>
      </w:pPr>
      <w:r w:rsidRPr="00B639C0">
        <w:rPr>
          <w:rFonts w:eastAsia="Calibri" w:cs="Arial"/>
          <w:b/>
          <w:i/>
          <w:sz w:val="22"/>
          <w:u w:val="single"/>
        </w:rPr>
        <w:t>Sur la charge n° 4</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qu’aux termes du réquisitoire susvisé </w:t>
      </w:r>
      <w:r w:rsidR="0025694F">
        <w:rPr>
          <w:rFonts w:eastAsia="Calibri" w:cs="Arial"/>
          <w:sz w:val="22"/>
        </w:rPr>
        <w:t>M. X</w:t>
      </w:r>
      <w:r w:rsidRPr="00B639C0">
        <w:rPr>
          <w:rFonts w:eastAsia="Calibri" w:cs="Arial"/>
          <w:sz w:val="22"/>
        </w:rPr>
        <w:t xml:space="preserve"> a pris en charge et payé deux dépenses, respectivement de 476,75</w:t>
      </w:r>
      <w:r w:rsidR="00B97231">
        <w:rPr>
          <w:rFonts w:eastAsia="Calibri" w:cs="Arial"/>
          <w:sz w:val="22"/>
        </w:rPr>
        <w:t> </w:t>
      </w:r>
      <w:r w:rsidRPr="00B639C0">
        <w:rPr>
          <w:rFonts w:eastAsia="Calibri" w:cs="Arial"/>
          <w:sz w:val="22"/>
        </w:rPr>
        <w:t>€ et 80,19</w:t>
      </w:r>
      <w:r w:rsidR="00B97231">
        <w:rPr>
          <w:rFonts w:eastAsia="Calibri" w:cs="Arial"/>
          <w:sz w:val="22"/>
        </w:rPr>
        <w:t> </w:t>
      </w:r>
      <w:r w:rsidRPr="00B639C0">
        <w:rPr>
          <w:rFonts w:eastAsia="Calibri" w:cs="Arial"/>
          <w:sz w:val="22"/>
        </w:rPr>
        <w:t>€, imputées à tort au compte 625 (déplacements, missions et réceptions) au lieu de l’être au compte 615 (travaux d’entretien et de réparation)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w:t>
      </w:r>
      <w:r w:rsidR="0025694F">
        <w:rPr>
          <w:rFonts w:eastAsia="Calibri" w:cs="Arial"/>
          <w:sz w:val="22"/>
        </w:rPr>
        <w:t>M. X</w:t>
      </w:r>
      <w:r w:rsidRPr="00B639C0">
        <w:rPr>
          <w:rFonts w:eastAsia="Calibri" w:cs="Arial"/>
          <w:sz w:val="22"/>
        </w:rPr>
        <w:t xml:space="preserve"> fait valoir que le pointage, dans les derniers instants de la gestion 2013, des nombreuses pièces justificatives jointes à l’état des frais a été effectué mais que cette différence entre des dépenses qui ne sont pas sans lien entre elles, n’a pas été identifiée lors de son visa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cette explication peut être valablement admise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qu’il n’y a ainsi pas lieu d’engager sa responsabilité personnelle et pécuniaire ;</w:t>
      </w:r>
    </w:p>
    <w:p w:rsidR="0054704D" w:rsidRPr="00B639C0" w:rsidRDefault="0054704D"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b/>
          <w:i/>
          <w:sz w:val="22"/>
          <w:u w:val="single"/>
        </w:rPr>
      </w:pPr>
      <w:r w:rsidRPr="00B639C0">
        <w:rPr>
          <w:rFonts w:eastAsia="Calibri" w:cs="Arial"/>
          <w:b/>
          <w:i/>
          <w:sz w:val="22"/>
          <w:u w:val="single"/>
        </w:rPr>
        <w:t>Sur la charge n° 5</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qu’aux termes du réquisitoire susvisé </w:t>
      </w:r>
      <w:r w:rsidR="0025694F">
        <w:rPr>
          <w:rFonts w:eastAsia="Calibri" w:cs="Arial"/>
          <w:sz w:val="22"/>
        </w:rPr>
        <w:t>M. X</w:t>
      </w:r>
      <w:r w:rsidRPr="00B639C0">
        <w:rPr>
          <w:rFonts w:eastAsia="Calibri" w:cs="Arial"/>
          <w:sz w:val="22"/>
        </w:rPr>
        <w:t xml:space="preserve"> a bénéficié d’une indemnité pour rémunération de service non justifiée, au moment des décaissements, par une décision expresse de l’assemblée délibérante de la Chambre régionale d’agriculture d’Aquitaine, à la fois sur son principe et sur son montant ;</w:t>
      </w:r>
    </w:p>
    <w:p w:rsidR="00B97231" w:rsidRDefault="00B97231">
      <w:pPr>
        <w:spacing w:line="240" w:lineRule="auto"/>
        <w:rPr>
          <w:rFonts w:eastAsia="Calibri" w:cs="Arial"/>
          <w:sz w:val="22"/>
        </w:rPr>
      </w:pPr>
      <w:r>
        <w:rPr>
          <w:rFonts w:eastAsia="Calibri" w:cs="Arial"/>
          <w:sz w:val="22"/>
        </w:rPr>
        <w:br w:type="page"/>
      </w:r>
    </w:p>
    <w:p w:rsidR="00B97231" w:rsidRDefault="00B97231"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qu’une décision de cet ordre de l’assemblée délibérante de la Chambre régionale d’agriculture d’Aquitaine est intervenue</w:t>
      </w:r>
      <w:r w:rsidR="00396525">
        <w:rPr>
          <w:rFonts w:eastAsia="Calibri" w:cs="Arial"/>
          <w:sz w:val="22"/>
        </w:rPr>
        <w:t>,</w:t>
      </w:r>
      <w:r w:rsidRPr="00B639C0">
        <w:rPr>
          <w:rFonts w:eastAsia="Calibri" w:cs="Arial"/>
          <w:sz w:val="22"/>
        </w:rPr>
        <w:t xml:space="preserve"> mais seulement le 18 novembre 2014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l’examen des bulletins de salaire de </w:t>
      </w:r>
      <w:r w:rsidR="0025694F">
        <w:rPr>
          <w:rFonts w:eastAsia="Calibri" w:cs="Arial"/>
          <w:sz w:val="22"/>
        </w:rPr>
        <w:t>M. X</w:t>
      </w:r>
      <w:r w:rsidRPr="00B639C0">
        <w:rPr>
          <w:rFonts w:eastAsia="Calibri" w:cs="Arial"/>
          <w:sz w:val="22"/>
        </w:rPr>
        <w:t xml:space="preserve"> permet de constater que l’intéressé a bénéficié du versement de l’indemnité pour rémunération de service d’un montant, respectivement, 1</w:t>
      </w:r>
      <w:r w:rsidR="00B97231">
        <w:rPr>
          <w:rFonts w:eastAsia="Calibri" w:cs="Arial"/>
          <w:sz w:val="22"/>
        </w:rPr>
        <w:t> </w:t>
      </w:r>
      <w:r w:rsidRPr="00B639C0">
        <w:rPr>
          <w:rFonts w:eastAsia="Calibri" w:cs="Arial"/>
          <w:sz w:val="22"/>
        </w:rPr>
        <w:t>290</w:t>
      </w:r>
      <w:r w:rsidR="00B97231">
        <w:rPr>
          <w:rFonts w:eastAsia="Calibri" w:cs="Arial"/>
          <w:sz w:val="22"/>
        </w:rPr>
        <w:t> </w:t>
      </w:r>
      <w:r w:rsidRPr="00B639C0">
        <w:rPr>
          <w:rFonts w:eastAsia="Calibri" w:cs="Arial"/>
          <w:sz w:val="22"/>
        </w:rPr>
        <w:t>€ en 2009, 860</w:t>
      </w:r>
      <w:r w:rsidR="00B97231">
        <w:rPr>
          <w:rFonts w:eastAsia="Calibri" w:cs="Arial"/>
          <w:sz w:val="22"/>
        </w:rPr>
        <w:t> </w:t>
      </w:r>
      <w:r w:rsidRPr="00B639C0">
        <w:rPr>
          <w:rFonts w:eastAsia="Calibri" w:cs="Arial"/>
          <w:sz w:val="22"/>
        </w:rPr>
        <w:t>€ en 2010, 1</w:t>
      </w:r>
      <w:r w:rsidR="00B97231">
        <w:rPr>
          <w:rFonts w:eastAsia="Calibri" w:cs="Arial"/>
          <w:sz w:val="22"/>
        </w:rPr>
        <w:t> </w:t>
      </w:r>
      <w:r w:rsidRPr="00B639C0">
        <w:rPr>
          <w:rFonts w:eastAsia="Calibri" w:cs="Arial"/>
          <w:sz w:val="22"/>
        </w:rPr>
        <w:t>720</w:t>
      </w:r>
      <w:r w:rsidR="00B97231">
        <w:rPr>
          <w:rFonts w:eastAsia="Calibri" w:cs="Arial"/>
          <w:sz w:val="22"/>
        </w:rPr>
        <w:t> </w:t>
      </w:r>
      <w:r w:rsidRPr="00B639C0">
        <w:rPr>
          <w:rFonts w:eastAsia="Calibri" w:cs="Arial"/>
          <w:sz w:val="22"/>
        </w:rPr>
        <w:t>€ en 2011, 1</w:t>
      </w:r>
      <w:r w:rsidR="00B97231">
        <w:rPr>
          <w:rFonts w:eastAsia="Calibri" w:cs="Arial"/>
          <w:sz w:val="22"/>
        </w:rPr>
        <w:t> </w:t>
      </w:r>
      <w:r w:rsidRPr="00B639C0">
        <w:rPr>
          <w:rFonts w:eastAsia="Calibri" w:cs="Arial"/>
          <w:sz w:val="22"/>
        </w:rPr>
        <w:t>290</w:t>
      </w:r>
      <w:r w:rsidR="00B97231">
        <w:rPr>
          <w:rFonts w:eastAsia="Calibri" w:cs="Arial"/>
          <w:sz w:val="22"/>
        </w:rPr>
        <w:t> </w:t>
      </w:r>
      <w:r w:rsidRPr="00B639C0">
        <w:rPr>
          <w:rFonts w:eastAsia="Calibri" w:cs="Arial"/>
          <w:sz w:val="22"/>
        </w:rPr>
        <w:t>€ en 2012 et 1</w:t>
      </w:r>
      <w:r w:rsidR="00B97231">
        <w:rPr>
          <w:rFonts w:eastAsia="Calibri" w:cs="Arial"/>
          <w:sz w:val="22"/>
        </w:rPr>
        <w:t> </w:t>
      </w:r>
      <w:r w:rsidRPr="00B639C0">
        <w:rPr>
          <w:rFonts w:eastAsia="Calibri" w:cs="Arial"/>
          <w:sz w:val="22"/>
        </w:rPr>
        <w:t>720</w:t>
      </w:r>
      <w:r w:rsidR="00B97231">
        <w:rPr>
          <w:rFonts w:eastAsia="Calibri" w:cs="Arial"/>
          <w:sz w:val="22"/>
        </w:rPr>
        <w:t> </w:t>
      </w:r>
      <w:r w:rsidRPr="00B639C0">
        <w:rPr>
          <w:rFonts w:eastAsia="Calibri" w:cs="Arial"/>
          <w:sz w:val="22"/>
        </w:rPr>
        <w:t>€ en 2013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qu’en ne procédant pas au contrôle de la validité de la dépense tel que prévu par les articles 12 et 13 du décret n° 62-1587 du 29 décembre 1962 portant règlement général sur la comptabilité publique, notamment la production de justifications, </w:t>
      </w:r>
      <w:r w:rsidR="0025694F">
        <w:rPr>
          <w:rFonts w:eastAsia="Calibri" w:cs="Arial"/>
          <w:sz w:val="22"/>
        </w:rPr>
        <w:t>M. X</w:t>
      </w:r>
      <w:r w:rsidRPr="00B639C0">
        <w:rPr>
          <w:rFonts w:eastAsia="Calibri" w:cs="Arial"/>
          <w:sz w:val="22"/>
        </w:rPr>
        <w:t xml:space="preserve"> a engagé sa responsabil</w:t>
      </w:r>
      <w:r w:rsidR="00B97231">
        <w:rPr>
          <w:rFonts w:eastAsia="Calibri" w:cs="Arial"/>
          <w:sz w:val="22"/>
        </w:rPr>
        <w:t>ité personnelle et pécuniaire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la responsabilité personnelle et pécuniaire du comptable s’apprécie à la date du paiement et que celui-ci ne saurait être justifié par une délibération postérieure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ces paiements successifs constituent un préjudice financier pour l’établissement et qu’il y a ainsi lieu de les mettre à la charge de </w:t>
      </w:r>
      <w:r w:rsidR="0025694F">
        <w:rPr>
          <w:rFonts w:eastAsia="Calibri" w:cs="Arial"/>
          <w:sz w:val="22"/>
        </w:rPr>
        <w:t>M. X</w:t>
      </w:r>
      <w:r w:rsidRPr="00B639C0">
        <w:rPr>
          <w:rFonts w:eastAsia="Calibri" w:cs="Arial"/>
          <w:sz w:val="22"/>
        </w:rPr>
        <w:t>, avec intérêts au 11 février 2015, date de notification du réquisitoire susvisé ;</w:t>
      </w:r>
    </w:p>
    <w:p w:rsidR="00B639C0" w:rsidRP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b/>
          <w:i/>
          <w:sz w:val="22"/>
          <w:u w:val="single"/>
        </w:rPr>
      </w:pPr>
      <w:r w:rsidRPr="00B639C0">
        <w:rPr>
          <w:rFonts w:eastAsia="Calibri" w:cs="Arial"/>
          <w:b/>
          <w:i/>
          <w:sz w:val="22"/>
          <w:u w:val="single"/>
        </w:rPr>
        <w:t>Sur la charge n° 6</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qu’aux termes du réquisitoire susvisé </w:t>
      </w:r>
      <w:r w:rsidR="0025694F">
        <w:rPr>
          <w:rFonts w:eastAsia="Calibri" w:cs="Arial"/>
          <w:sz w:val="22"/>
        </w:rPr>
        <w:t>M. X</w:t>
      </w:r>
      <w:r w:rsidRPr="00B639C0">
        <w:rPr>
          <w:rFonts w:eastAsia="Calibri" w:cs="Arial"/>
          <w:sz w:val="22"/>
        </w:rPr>
        <w:t xml:space="preserve"> a bénéficié du versement d’un treizième mois non justifié, au moment des décaissements, par une décision expresse de l’assemblée délibérante de la Chambre régionale d’agriculture d’Aquitaine, à la fois sur son principe et sur son montant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qu’une décision de cet ordre de l’assemblée délibérante de la Chambre régionale d’agriculture d’Aquitaine est intervenue mais seulement le 13 mai 2014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 l’examen des bulletins de salaire de </w:t>
      </w:r>
      <w:r w:rsidR="0025694F">
        <w:rPr>
          <w:rFonts w:eastAsia="Calibri" w:cs="Arial"/>
          <w:sz w:val="22"/>
        </w:rPr>
        <w:t>M. X</w:t>
      </w:r>
      <w:r w:rsidRPr="00B639C0">
        <w:rPr>
          <w:rFonts w:eastAsia="Calibri" w:cs="Arial"/>
          <w:sz w:val="22"/>
        </w:rPr>
        <w:t xml:space="preserve"> permet de constater que l’intéressé a bénéficié du versement du treizième mois d’un montant, respectivement, de 851,27</w:t>
      </w:r>
      <w:r w:rsidR="007A47EE">
        <w:rPr>
          <w:rFonts w:eastAsia="Calibri" w:cs="Arial"/>
          <w:sz w:val="22"/>
        </w:rPr>
        <w:t> </w:t>
      </w:r>
      <w:r w:rsidRPr="00B639C0">
        <w:rPr>
          <w:rFonts w:eastAsia="Calibri" w:cs="Arial"/>
          <w:sz w:val="22"/>
        </w:rPr>
        <w:t>€ en 2009, 857,71</w:t>
      </w:r>
      <w:r w:rsidR="007A47EE">
        <w:rPr>
          <w:rFonts w:eastAsia="Calibri" w:cs="Arial"/>
          <w:sz w:val="22"/>
        </w:rPr>
        <w:t> </w:t>
      </w:r>
      <w:r w:rsidRPr="00B639C0">
        <w:rPr>
          <w:rFonts w:eastAsia="Calibri" w:cs="Arial"/>
          <w:sz w:val="22"/>
        </w:rPr>
        <w:t>€ en 2010, 863,31</w:t>
      </w:r>
      <w:r w:rsidR="007A47EE">
        <w:rPr>
          <w:rFonts w:eastAsia="Calibri" w:cs="Arial"/>
          <w:sz w:val="22"/>
        </w:rPr>
        <w:t> </w:t>
      </w:r>
      <w:r w:rsidRPr="00B639C0">
        <w:rPr>
          <w:rFonts w:eastAsia="Calibri" w:cs="Arial"/>
          <w:sz w:val="22"/>
        </w:rPr>
        <w:t>€ en 2011, 869,75</w:t>
      </w:r>
      <w:r w:rsidR="007A47EE">
        <w:rPr>
          <w:rFonts w:eastAsia="Calibri" w:cs="Arial"/>
          <w:sz w:val="22"/>
        </w:rPr>
        <w:t> </w:t>
      </w:r>
      <w:r w:rsidRPr="00B639C0">
        <w:rPr>
          <w:rFonts w:eastAsia="Calibri" w:cs="Arial"/>
          <w:sz w:val="22"/>
        </w:rPr>
        <w:t>€ en 2012 et 872,76</w:t>
      </w:r>
      <w:r w:rsidR="007A47EE">
        <w:rPr>
          <w:rFonts w:eastAsia="Calibri" w:cs="Arial"/>
          <w:sz w:val="22"/>
        </w:rPr>
        <w:t> </w:t>
      </w:r>
      <w:r w:rsidRPr="00B639C0">
        <w:rPr>
          <w:rFonts w:eastAsia="Calibri" w:cs="Arial"/>
          <w:sz w:val="22"/>
        </w:rPr>
        <w:t xml:space="preserve">€ en 2013 ;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qu’en ne procédant pas au contrôle de la validité de la dépense tel que prévu par les articles 12 et 13 du décret n° 62-1587 du 29 décembre 1962 portant règlement général sur la comptabilité publique, notamment la production de justifications, </w:t>
      </w:r>
      <w:r w:rsidR="0025694F">
        <w:rPr>
          <w:rFonts w:eastAsia="Calibri" w:cs="Arial"/>
          <w:sz w:val="22"/>
        </w:rPr>
        <w:t>M. X</w:t>
      </w:r>
      <w:r w:rsidRPr="00B639C0">
        <w:rPr>
          <w:rFonts w:eastAsia="Calibri" w:cs="Arial"/>
          <w:sz w:val="22"/>
        </w:rPr>
        <w:t xml:space="preserve"> a engagé sa responsabilité personnelle et pécuniaire ; </w:t>
      </w:r>
    </w:p>
    <w:p w:rsidR="00B639C0" w:rsidRPr="00B639C0" w:rsidRDefault="00B639C0" w:rsidP="00CE25A0">
      <w:pPr>
        <w:spacing w:after="200" w:line="240" w:lineRule="auto"/>
        <w:jc w:val="both"/>
        <w:rPr>
          <w:rFonts w:eastAsia="Calibri" w:cs="Arial"/>
          <w:sz w:val="22"/>
        </w:rPr>
      </w:pPr>
      <w:r w:rsidRPr="00B639C0">
        <w:rPr>
          <w:rFonts w:eastAsia="Calibri" w:cs="Arial"/>
          <w:sz w:val="22"/>
        </w:rPr>
        <w:t>Attendu que la responsabilité personnelle et pécuniaire du comptable s’apprécie à la date du paiement et que celui-ci ne saurait être justifié par une délibération postérieure ;</w:t>
      </w:r>
    </w:p>
    <w:p w:rsidR="00B639C0" w:rsidRPr="00B639C0" w:rsidRDefault="00B639C0" w:rsidP="00CE25A0">
      <w:pPr>
        <w:spacing w:after="200" w:line="240" w:lineRule="auto"/>
        <w:jc w:val="both"/>
        <w:rPr>
          <w:rFonts w:eastAsia="Calibri" w:cs="Arial"/>
          <w:sz w:val="22"/>
        </w:rPr>
      </w:pPr>
      <w:r w:rsidRPr="00B639C0">
        <w:rPr>
          <w:rFonts w:eastAsia="Calibri" w:cs="Arial"/>
          <w:sz w:val="22"/>
        </w:rPr>
        <w:t xml:space="preserve">Attendu, au surplus, que les agents comptables en adjonction de service dans les chambres d’agriculture, comme </w:t>
      </w:r>
      <w:r w:rsidR="0025694F">
        <w:rPr>
          <w:rFonts w:eastAsia="Calibri" w:cs="Arial"/>
          <w:sz w:val="22"/>
        </w:rPr>
        <w:t>M. X</w:t>
      </w:r>
      <w:r w:rsidRPr="00B639C0">
        <w:rPr>
          <w:rFonts w:eastAsia="Calibri" w:cs="Arial"/>
          <w:sz w:val="22"/>
        </w:rPr>
        <w:t>, sont des fonctionnaires de l’Etat qui ne sont pas éligibles à une telle indemnité, laquelle ne concerne que les agents des chambres d’agriculture ;</w:t>
      </w:r>
    </w:p>
    <w:p w:rsidR="00B639C0" w:rsidRDefault="00B639C0" w:rsidP="00CE25A0">
      <w:pPr>
        <w:spacing w:after="200" w:line="240" w:lineRule="auto"/>
        <w:jc w:val="both"/>
        <w:rPr>
          <w:rFonts w:eastAsia="Calibri" w:cs="Arial"/>
          <w:sz w:val="22"/>
        </w:rPr>
      </w:pPr>
      <w:r w:rsidRPr="00B639C0">
        <w:rPr>
          <w:rFonts w:eastAsia="Calibri" w:cs="Arial"/>
          <w:sz w:val="22"/>
        </w:rPr>
        <w:t xml:space="preserve">Attendu que ces paiements successifs constituent un préjudice financier pour l’établissement et qu’il y a ainsi lieu de les mettre à la charge de </w:t>
      </w:r>
      <w:r w:rsidR="0025694F">
        <w:rPr>
          <w:rFonts w:eastAsia="Calibri" w:cs="Arial"/>
          <w:sz w:val="22"/>
        </w:rPr>
        <w:t>M. X</w:t>
      </w:r>
      <w:r w:rsidRPr="00B639C0">
        <w:rPr>
          <w:rFonts w:eastAsia="Calibri" w:cs="Arial"/>
          <w:sz w:val="22"/>
        </w:rPr>
        <w:t>, avec intérêts au 11 février 2015, date de notification du réquisitoire susvisé ;</w:t>
      </w:r>
    </w:p>
    <w:p w:rsidR="00B639C0" w:rsidRDefault="00B639C0" w:rsidP="00CE25A0">
      <w:pPr>
        <w:spacing w:after="200" w:line="240" w:lineRule="auto"/>
        <w:jc w:val="both"/>
        <w:rPr>
          <w:rFonts w:eastAsia="Calibri" w:cs="Arial"/>
          <w:sz w:val="22"/>
        </w:rPr>
      </w:pPr>
      <w:r w:rsidRPr="00B639C0">
        <w:rPr>
          <w:rFonts w:eastAsia="Calibri" w:cs="Arial"/>
          <w:sz w:val="22"/>
        </w:rPr>
        <w:t>Attendu que n’existait pas à la Chambre régionale d’agriculture d’Aquitaine, pour les exercices concernés, de plan de contrôle sélectif de la dépense ; que cette dernière circonstance fait obstacle à une remise intégrale des débets prononcés ;</w:t>
      </w:r>
    </w:p>
    <w:p w:rsidR="00B07C00" w:rsidRDefault="00B07C00" w:rsidP="00CE25A0">
      <w:pPr>
        <w:spacing w:after="200" w:line="240" w:lineRule="auto"/>
        <w:jc w:val="both"/>
        <w:rPr>
          <w:rFonts w:eastAsia="Calibri" w:cs="Arial"/>
          <w:sz w:val="22"/>
        </w:rPr>
      </w:pPr>
    </w:p>
    <w:p w:rsidR="00B07C00" w:rsidRPr="00B639C0" w:rsidRDefault="00B07C00" w:rsidP="00CE25A0">
      <w:pPr>
        <w:spacing w:after="200" w:line="240" w:lineRule="auto"/>
        <w:jc w:val="both"/>
        <w:rPr>
          <w:rFonts w:eastAsia="Calibri" w:cs="Arial"/>
          <w:sz w:val="22"/>
        </w:rPr>
      </w:pPr>
      <w:r>
        <w:rPr>
          <w:rFonts w:eastAsia="Calibri" w:cs="Arial"/>
          <w:sz w:val="22"/>
        </w:rPr>
        <w:lastRenderedPageBreak/>
        <w:t xml:space="preserve">Attendu qu’aucune charge n’a été soulevée au titre de </w:t>
      </w:r>
      <w:r w:rsidR="000018B3">
        <w:rPr>
          <w:rFonts w:eastAsia="Calibri" w:cs="Arial"/>
          <w:sz w:val="22"/>
        </w:rPr>
        <w:t>l’exercice</w:t>
      </w:r>
      <w:r>
        <w:rPr>
          <w:rFonts w:eastAsia="Calibri" w:cs="Arial"/>
          <w:sz w:val="22"/>
        </w:rPr>
        <w:t xml:space="preserve"> 2008, </w:t>
      </w:r>
      <w:r w:rsidR="000018B3">
        <w:rPr>
          <w:rFonts w:eastAsia="Calibri" w:cs="Arial"/>
          <w:sz w:val="22"/>
        </w:rPr>
        <w:t xml:space="preserve">décharge peut être donnée à </w:t>
      </w:r>
      <w:r w:rsidR="0025694F">
        <w:rPr>
          <w:rFonts w:eastAsia="Calibri" w:cs="Arial"/>
          <w:sz w:val="22"/>
        </w:rPr>
        <w:t>M. X</w:t>
      </w:r>
      <w:r>
        <w:rPr>
          <w:rFonts w:eastAsia="Calibri" w:cs="Arial"/>
          <w:sz w:val="22"/>
        </w:rPr>
        <w:t xml:space="preserve"> ;</w:t>
      </w:r>
    </w:p>
    <w:p w:rsid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sz w:val="22"/>
        </w:rPr>
      </w:pPr>
      <w:r w:rsidRPr="00B639C0">
        <w:rPr>
          <w:rFonts w:eastAsia="Calibri" w:cs="Arial"/>
          <w:sz w:val="22"/>
        </w:rPr>
        <w:t>Par ces motifs,</w:t>
      </w:r>
    </w:p>
    <w:p w:rsidR="00B639C0" w:rsidRPr="00B639C0" w:rsidRDefault="00B639C0" w:rsidP="00CE25A0">
      <w:pPr>
        <w:spacing w:after="200" w:line="240" w:lineRule="auto"/>
        <w:jc w:val="center"/>
        <w:rPr>
          <w:rFonts w:eastAsia="Calibri" w:cs="Arial"/>
          <w:b/>
          <w:sz w:val="22"/>
        </w:rPr>
      </w:pPr>
      <w:r w:rsidRPr="00B639C0">
        <w:rPr>
          <w:rFonts w:eastAsia="Calibri" w:cs="Arial"/>
          <w:b/>
          <w:sz w:val="22"/>
        </w:rPr>
        <w:t>DECIDE :</w:t>
      </w:r>
    </w:p>
    <w:p w:rsidR="00B639C0" w:rsidRPr="00B639C0" w:rsidRDefault="00B639C0" w:rsidP="00CE25A0">
      <w:pPr>
        <w:spacing w:after="200" w:line="240" w:lineRule="auto"/>
        <w:jc w:val="both"/>
        <w:rPr>
          <w:rFonts w:eastAsia="Calibri" w:cs="Arial"/>
          <w:sz w:val="22"/>
        </w:rPr>
      </w:pPr>
    </w:p>
    <w:p w:rsidR="00B639C0" w:rsidRPr="00B639C0" w:rsidRDefault="00B639C0" w:rsidP="00CE25A0">
      <w:pPr>
        <w:spacing w:after="200" w:line="240" w:lineRule="auto"/>
        <w:jc w:val="both"/>
        <w:rPr>
          <w:rFonts w:eastAsia="Calibri" w:cs="Arial"/>
          <w:sz w:val="22"/>
        </w:rPr>
      </w:pPr>
      <w:r w:rsidRPr="00B639C0">
        <w:rPr>
          <w:rFonts w:eastAsia="Calibri" w:cs="Arial"/>
          <w:b/>
          <w:sz w:val="22"/>
          <w:u w:val="single"/>
        </w:rPr>
        <w:t>Article 1</w:t>
      </w:r>
      <w:r w:rsidRPr="00B639C0">
        <w:rPr>
          <w:rFonts w:eastAsia="Calibri" w:cs="Arial"/>
          <w:b/>
          <w:sz w:val="22"/>
          <w:u w:val="single"/>
          <w:vertAlign w:val="superscript"/>
        </w:rPr>
        <w:t>er</w:t>
      </w:r>
      <w:r w:rsidRPr="0054704D">
        <w:rPr>
          <w:rFonts w:eastAsia="Calibri" w:cs="Arial"/>
          <w:b/>
          <w:sz w:val="22"/>
          <w:vertAlign w:val="superscript"/>
        </w:rPr>
        <w:t> </w:t>
      </w:r>
      <w:r w:rsidRPr="0054704D">
        <w:rPr>
          <w:rFonts w:eastAsia="Calibri" w:cs="Arial"/>
          <w:b/>
          <w:sz w:val="22"/>
        </w:rPr>
        <w:t xml:space="preserve">: </w:t>
      </w:r>
      <w:r w:rsidRPr="00B639C0">
        <w:rPr>
          <w:rFonts w:eastAsia="Calibri" w:cs="Arial"/>
          <w:sz w:val="22"/>
        </w:rPr>
        <w:t xml:space="preserve">Il n’y a pas lieu de mettre en jeu la responsabilité de </w:t>
      </w:r>
      <w:r w:rsidR="0025694F">
        <w:rPr>
          <w:rFonts w:eastAsia="Calibri" w:cs="Arial"/>
          <w:sz w:val="22"/>
        </w:rPr>
        <w:t>M. X</w:t>
      </w:r>
      <w:r w:rsidRPr="00B639C0">
        <w:rPr>
          <w:rFonts w:eastAsia="Calibri" w:cs="Arial"/>
          <w:sz w:val="22"/>
        </w:rPr>
        <w:t xml:space="preserve"> au titre des présomptions de charges n° 2, 3 et 4</w:t>
      </w:r>
      <w:r w:rsidR="007A47EE">
        <w:rPr>
          <w:rFonts w:eastAsia="Calibri" w:cs="Arial"/>
          <w:sz w:val="22"/>
        </w:rPr>
        <w:t>.</w:t>
      </w:r>
    </w:p>
    <w:p w:rsidR="00B639C0" w:rsidRPr="00B639C0" w:rsidRDefault="00B639C0" w:rsidP="00CE25A0">
      <w:pPr>
        <w:spacing w:after="200" w:line="240" w:lineRule="auto"/>
        <w:jc w:val="both"/>
        <w:rPr>
          <w:rFonts w:eastAsia="Calibri" w:cs="Arial"/>
          <w:sz w:val="22"/>
        </w:rPr>
      </w:pPr>
      <w:r w:rsidRPr="00B639C0">
        <w:rPr>
          <w:rFonts w:eastAsia="Calibri" w:cs="Arial"/>
          <w:b/>
          <w:sz w:val="22"/>
          <w:u w:val="single"/>
        </w:rPr>
        <w:t>Article 2 </w:t>
      </w:r>
      <w:r w:rsidRPr="0054704D">
        <w:rPr>
          <w:rFonts w:eastAsia="Calibri" w:cs="Arial"/>
          <w:b/>
          <w:sz w:val="22"/>
        </w:rPr>
        <w:t>:</w:t>
      </w:r>
      <w:r w:rsidRPr="00B639C0">
        <w:rPr>
          <w:rFonts w:eastAsia="Calibri" w:cs="Arial"/>
          <w:sz w:val="22"/>
        </w:rPr>
        <w:t xml:space="preserve"> Au titre de la présomption de charge n°</w:t>
      </w:r>
      <w:r w:rsidR="00B07C00">
        <w:rPr>
          <w:rFonts w:eastAsia="Calibri" w:cs="Arial"/>
          <w:sz w:val="22"/>
        </w:rPr>
        <w:t xml:space="preserve"> </w:t>
      </w:r>
      <w:r w:rsidRPr="00B639C0">
        <w:rPr>
          <w:rFonts w:eastAsia="Calibri" w:cs="Arial"/>
          <w:sz w:val="22"/>
        </w:rPr>
        <w:t xml:space="preserve">1, </w:t>
      </w:r>
      <w:r w:rsidR="0025694F">
        <w:rPr>
          <w:rFonts w:eastAsia="Calibri" w:cs="Arial"/>
          <w:sz w:val="22"/>
        </w:rPr>
        <w:t>M. X</w:t>
      </w:r>
      <w:r w:rsidRPr="00B639C0">
        <w:rPr>
          <w:rFonts w:eastAsia="Calibri" w:cs="Arial"/>
          <w:sz w:val="22"/>
        </w:rPr>
        <w:t xml:space="preserve"> est constitué débiteur de la Chambre régionale d’agriculture d’Aquitaine de la somme de 4 390,54</w:t>
      </w:r>
      <w:r w:rsidR="007A47EE">
        <w:rPr>
          <w:rFonts w:eastAsia="Calibri" w:cs="Arial"/>
          <w:sz w:val="22"/>
        </w:rPr>
        <w:t> </w:t>
      </w:r>
      <w:r w:rsidRPr="00B639C0">
        <w:rPr>
          <w:rFonts w:eastAsia="Calibri" w:cs="Arial"/>
          <w:sz w:val="22"/>
        </w:rPr>
        <w:t>€ au titre de l’année 2013, somme augmentée des intérêts de droit à compter du 11 février 2015</w:t>
      </w:r>
      <w:r w:rsidR="007A47EE">
        <w:rPr>
          <w:rFonts w:eastAsia="Calibri" w:cs="Arial"/>
          <w:sz w:val="22"/>
        </w:rPr>
        <w:t>.</w:t>
      </w:r>
    </w:p>
    <w:p w:rsidR="00B639C0" w:rsidRPr="00B639C0" w:rsidRDefault="00B639C0" w:rsidP="00CE25A0">
      <w:pPr>
        <w:spacing w:after="200" w:line="240" w:lineRule="auto"/>
        <w:jc w:val="both"/>
        <w:rPr>
          <w:rFonts w:eastAsia="Calibri" w:cs="Arial"/>
          <w:sz w:val="22"/>
        </w:rPr>
      </w:pPr>
      <w:r w:rsidRPr="00B639C0">
        <w:rPr>
          <w:rFonts w:eastAsia="Calibri" w:cs="Arial"/>
          <w:b/>
          <w:sz w:val="22"/>
          <w:u w:val="single"/>
        </w:rPr>
        <w:t>Article 3</w:t>
      </w:r>
      <w:r w:rsidRPr="0054704D">
        <w:rPr>
          <w:rFonts w:eastAsia="Calibri" w:cs="Arial"/>
          <w:b/>
          <w:sz w:val="22"/>
        </w:rPr>
        <w:t> :</w:t>
      </w:r>
      <w:r w:rsidRPr="00B639C0">
        <w:rPr>
          <w:rFonts w:eastAsia="Calibri" w:cs="Arial"/>
          <w:sz w:val="22"/>
        </w:rPr>
        <w:t xml:space="preserve"> Au titre de la présomption de charge n° 5, </w:t>
      </w:r>
      <w:r w:rsidR="0025694F">
        <w:rPr>
          <w:rFonts w:eastAsia="Calibri" w:cs="Arial"/>
          <w:sz w:val="22"/>
        </w:rPr>
        <w:t>M. X</w:t>
      </w:r>
      <w:r w:rsidRPr="00B639C0">
        <w:rPr>
          <w:rFonts w:eastAsia="Calibri" w:cs="Arial"/>
          <w:sz w:val="22"/>
        </w:rPr>
        <w:t xml:space="preserve"> est constitué débiteur de la Chambre régionale d’agriculture d’Aquitaine de la somme de 1</w:t>
      </w:r>
      <w:r w:rsidR="007A47EE">
        <w:rPr>
          <w:rFonts w:eastAsia="Calibri" w:cs="Arial"/>
          <w:sz w:val="22"/>
        </w:rPr>
        <w:t> </w:t>
      </w:r>
      <w:r w:rsidRPr="00B639C0">
        <w:rPr>
          <w:rFonts w:eastAsia="Calibri" w:cs="Arial"/>
          <w:sz w:val="22"/>
        </w:rPr>
        <w:t>290</w:t>
      </w:r>
      <w:r w:rsidR="007A47EE">
        <w:rPr>
          <w:rFonts w:eastAsia="Calibri" w:cs="Arial"/>
          <w:sz w:val="22"/>
        </w:rPr>
        <w:t> </w:t>
      </w:r>
      <w:r w:rsidRPr="00B639C0">
        <w:rPr>
          <w:rFonts w:eastAsia="Calibri" w:cs="Arial"/>
          <w:sz w:val="22"/>
        </w:rPr>
        <w:t>€ au titre de l’année 2009, 860</w:t>
      </w:r>
      <w:r w:rsidR="007A47EE">
        <w:rPr>
          <w:rFonts w:eastAsia="Calibri" w:cs="Arial"/>
          <w:sz w:val="22"/>
        </w:rPr>
        <w:t> </w:t>
      </w:r>
      <w:r w:rsidRPr="00B639C0">
        <w:rPr>
          <w:rFonts w:eastAsia="Calibri" w:cs="Arial"/>
          <w:sz w:val="22"/>
        </w:rPr>
        <w:t>€ au titre de l’année 2010, 1</w:t>
      </w:r>
      <w:r w:rsidR="007A47EE">
        <w:rPr>
          <w:rFonts w:eastAsia="Calibri" w:cs="Arial"/>
          <w:sz w:val="22"/>
        </w:rPr>
        <w:t> </w:t>
      </w:r>
      <w:r w:rsidRPr="00B639C0">
        <w:rPr>
          <w:rFonts w:eastAsia="Calibri" w:cs="Arial"/>
          <w:sz w:val="22"/>
        </w:rPr>
        <w:t>720</w:t>
      </w:r>
      <w:r w:rsidR="007A47EE">
        <w:rPr>
          <w:rFonts w:eastAsia="Calibri" w:cs="Arial"/>
          <w:sz w:val="22"/>
        </w:rPr>
        <w:t> </w:t>
      </w:r>
      <w:r w:rsidRPr="00B639C0">
        <w:rPr>
          <w:rFonts w:eastAsia="Calibri" w:cs="Arial"/>
          <w:sz w:val="22"/>
        </w:rPr>
        <w:t>€ au titre de l’année 2011, 1</w:t>
      </w:r>
      <w:r w:rsidR="007A47EE">
        <w:rPr>
          <w:rFonts w:eastAsia="Calibri" w:cs="Arial"/>
          <w:sz w:val="22"/>
        </w:rPr>
        <w:t> </w:t>
      </w:r>
      <w:r w:rsidRPr="00B639C0">
        <w:rPr>
          <w:rFonts w:eastAsia="Calibri" w:cs="Arial"/>
          <w:sz w:val="22"/>
        </w:rPr>
        <w:t>290</w:t>
      </w:r>
      <w:r w:rsidR="007A47EE">
        <w:rPr>
          <w:rFonts w:eastAsia="Calibri" w:cs="Arial"/>
          <w:sz w:val="22"/>
        </w:rPr>
        <w:t> </w:t>
      </w:r>
      <w:r w:rsidRPr="00B639C0">
        <w:rPr>
          <w:rFonts w:eastAsia="Calibri" w:cs="Arial"/>
          <w:sz w:val="22"/>
        </w:rPr>
        <w:t>€ au titre de l’année 2012, 1</w:t>
      </w:r>
      <w:r w:rsidR="007A47EE">
        <w:rPr>
          <w:rFonts w:eastAsia="Calibri" w:cs="Arial"/>
          <w:sz w:val="22"/>
        </w:rPr>
        <w:t> </w:t>
      </w:r>
      <w:r w:rsidRPr="00B639C0">
        <w:rPr>
          <w:rFonts w:eastAsia="Calibri" w:cs="Arial"/>
          <w:sz w:val="22"/>
        </w:rPr>
        <w:t>720</w:t>
      </w:r>
      <w:r w:rsidR="007A47EE">
        <w:rPr>
          <w:rFonts w:eastAsia="Calibri" w:cs="Arial"/>
          <w:sz w:val="22"/>
        </w:rPr>
        <w:t> </w:t>
      </w:r>
      <w:r w:rsidRPr="00B639C0">
        <w:rPr>
          <w:rFonts w:eastAsia="Calibri" w:cs="Arial"/>
          <w:sz w:val="22"/>
        </w:rPr>
        <w:t>€ au titre de l’année 2013, sommes augmentées des intérêts de droit à compter du 11 février 2015</w:t>
      </w:r>
      <w:r w:rsidR="007A47EE">
        <w:rPr>
          <w:rFonts w:eastAsia="Calibri" w:cs="Arial"/>
          <w:sz w:val="22"/>
        </w:rPr>
        <w:t>.</w:t>
      </w:r>
    </w:p>
    <w:p w:rsidR="00B639C0" w:rsidRPr="00B639C0" w:rsidRDefault="00B639C0" w:rsidP="00CE25A0">
      <w:pPr>
        <w:spacing w:after="200" w:line="240" w:lineRule="auto"/>
        <w:jc w:val="both"/>
        <w:rPr>
          <w:rFonts w:eastAsia="Calibri" w:cs="Arial"/>
          <w:sz w:val="22"/>
        </w:rPr>
      </w:pPr>
      <w:r w:rsidRPr="00B639C0">
        <w:rPr>
          <w:rFonts w:eastAsia="Calibri" w:cs="Arial"/>
          <w:b/>
          <w:sz w:val="22"/>
          <w:u w:val="single"/>
        </w:rPr>
        <w:t>Article 4</w:t>
      </w:r>
      <w:r w:rsidRPr="0054704D">
        <w:rPr>
          <w:rFonts w:eastAsia="Calibri" w:cs="Arial"/>
          <w:b/>
          <w:sz w:val="22"/>
        </w:rPr>
        <w:t> :</w:t>
      </w:r>
      <w:r w:rsidRPr="00B639C0">
        <w:rPr>
          <w:rFonts w:eastAsia="Calibri" w:cs="Arial"/>
          <w:sz w:val="22"/>
        </w:rPr>
        <w:t xml:space="preserve"> Au titre de la présomption de charge n° 6, </w:t>
      </w:r>
      <w:r w:rsidR="0025694F">
        <w:rPr>
          <w:rFonts w:eastAsia="Calibri" w:cs="Arial"/>
          <w:sz w:val="22"/>
        </w:rPr>
        <w:t>M. X</w:t>
      </w:r>
      <w:r w:rsidRPr="00B639C0">
        <w:rPr>
          <w:rFonts w:eastAsia="Calibri" w:cs="Arial"/>
          <w:sz w:val="22"/>
        </w:rPr>
        <w:t xml:space="preserve"> est constitué débiteur de la Chambre régionale d’agriculture d’Aquitaine de la somme de 851,27</w:t>
      </w:r>
      <w:r w:rsidR="007A47EE">
        <w:rPr>
          <w:rFonts w:eastAsia="Calibri" w:cs="Arial"/>
          <w:sz w:val="22"/>
        </w:rPr>
        <w:t> </w:t>
      </w:r>
      <w:r w:rsidRPr="00B639C0">
        <w:rPr>
          <w:rFonts w:eastAsia="Calibri" w:cs="Arial"/>
          <w:sz w:val="22"/>
        </w:rPr>
        <w:t>€ au titre de l’année 2009, 857,71</w:t>
      </w:r>
      <w:r w:rsidR="007A47EE">
        <w:rPr>
          <w:rFonts w:eastAsia="Calibri" w:cs="Arial"/>
          <w:sz w:val="22"/>
        </w:rPr>
        <w:t> </w:t>
      </w:r>
      <w:r w:rsidRPr="00B639C0">
        <w:rPr>
          <w:rFonts w:eastAsia="Calibri" w:cs="Arial"/>
          <w:sz w:val="22"/>
        </w:rPr>
        <w:t>€ au titre de l’année 2010, 863,31</w:t>
      </w:r>
      <w:r w:rsidR="007A47EE">
        <w:rPr>
          <w:rFonts w:eastAsia="Calibri" w:cs="Arial"/>
          <w:sz w:val="22"/>
        </w:rPr>
        <w:t> </w:t>
      </w:r>
      <w:r w:rsidRPr="00B639C0">
        <w:rPr>
          <w:rFonts w:eastAsia="Calibri" w:cs="Arial"/>
          <w:sz w:val="22"/>
        </w:rPr>
        <w:t>€ au titre de l’année 2011, 869,75</w:t>
      </w:r>
      <w:r w:rsidR="007A47EE">
        <w:rPr>
          <w:rFonts w:eastAsia="Calibri" w:cs="Arial"/>
          <w:sz w:val="22"/>
        </w:rPr>
        <w:t> </w:t>
      </w:r>
      <w:r w:rsidRPr="00B639C0">
        <w:rPr>
          <w:rFonts w:eastAsia="Calibri" w:cs="Arial"/>
          <w:sz w:val="22"/>
        </w:rPr>
        <w:t>€ au titre de l’année 2012, 872,76</w:t>
      </w:r>
      <w:r w:rsidR="007A47EE">
        <w:rPr>
          <w:rFonts w:eastAsia="Calibri" w:cs="Arial"/>
          <w:sz w:val="22"/>
        </w:rPr>
        <w:t> </w:t>
      </w:r>
      <w:r w:rsidRPr="00B639C0">
        <w:rPr>
          <w:rFonts w:eastAsia="Calibri" w:cs="Arial"/>
          <w:sz w:val="22"/>
        </w:rPr>
        <w:t>€ au titre de l’année 2013, sommes augmentées des intérêts de droit à compter du 11 février 2015</w:t>
      </w:r>
      <w:r w:rsidR="007A47EE">
        <w:rPr>
          <w:rFonts w:eastAsia="Calibri" w:cs="Arial"/>
          <w:sz w:val="22"/>
        </w:rPr>
        <w:t>.</w:t>
      </w:r>
    </w:p>
    <w:p w:rsidR="00B639C0" w:rsidRDefault="00B639C0" w:rsidP="00CE25A0">
      <w:pPr>
        <w:spacing w:after="200" w:line="240" w:lineRule="auto"/>
        <w:jc w:val="both"/>
        <w:rPr>
          <w:rFonts w:eastAsia="Calibri" w:cs="Arial"/>
          <w:sz w:val="22"/>
        </w:rPr>
      </w:pPr>
      <w:r w:rsidRPr="00B639C0">
        <w:rPr>
          <w:rFonts w:eastAsia="Calibri" w:cs="Arial"/>
          <w:b/>
          <w:sz w:val="22"/>
          <w:u w:val="single"/>
        </w:rPr>
        <w:t>Article 5</w:t>
      </w:r>
      <w:r w:rsidRPr="0054704D">
        <w:rPr>
          <w:rFonts w:eastAsia="Calibri" w:cs="Arial"/>
          <w:b/>
          <w:sz w:val="22"/>
        </w:rPr>
        <w:t> :</w:t>
      </w:r>
      <w:r w:rsidRPr="00B639C0">
        <w:rPr>
          <w:rFonts w:eastAsia="Calibri" w:cs="Arial"/>
          <w:sz w:val="22"/>
        </w:rPr>
        <w:t xml:space="preserve"> Il est sursis à la décharge de </w:t>
      </w:r>
      <w:r w:rsidR="0025694F">
        <w:rPr>
          <w:rFonts w:eastAsia="Calibri" w:cs="Arial"/>
          <w:sz w:val="22"/>
        </w:rPr>
        <w:t>M. X</w:t>
      </w:r>
      <w:r w:rsidRPr="00B639C0">
        <w:rPr>
          <w:rFonts w:eastAsia="Calibri" w:cs="Arial"/>
          <w:sz w:val="22"/>
        </w:rPr>
        <w:t xml:space="preserve"> pour les exercices 2009 à 2013</w:t>
      </w:r>
      <w:r w:rsidR="007A47EE">
        <w:rPr>
          <w:rFonts w:eastAsia="Calibri" w:cs="Arial"/>
          <w:sz w:val="22"/>
        </w:rPr>
        <w:t>.</w:t>
      </w:r>
    </w:p>
    <w:p w:rsidR="00B07C00" w:rsidRDefault="00B07C00" w:rsidP="00CE25A0">
      <w:pPr>
        <w:spacing w:after="200" w:line="240" w:lineRule="auto"/>
        <w:jc w:val="both"/>
        <w:rPr>
          <w:rFonts w:eastAsia="Calibri" w:cs="Arial"/>
          <w:sz w:val="22"/>
        </w:rPr>
      </w:pPr>
      <w:r w:rsidRPr="00B07C00">
        <w:rPr>
          <w:rFonts w:eastAsia="Calibri" w:cs="Arial"/>
          <w:b/>
          <w:sz w:val="22"/>
          <w:u w:val="single"/>
        </w:rPr>
        <w:t xml:space="preserve">Article </w:t>
      </w:r>
      <w:r>
        <w:rPr>
          <w:rFonts w:eastAsia="Calibri" w:cs="Arial"/>
          <w:b/>
          <w:sz w:val="22"/>
          <w:u w:val="single"/>
        </w:rPr>
        <w:t>6</w:t>
      </w:r>
      <w:r w:rsidRPr="00B07C00">
        <w:rPr>
          <w:rFonts w:eastAsia="Calibri" w:cs="Arial"/>
          <w:b/>
          <w:sz w:val="22"/>
        </w:rPr>
        <w:t> :</w:t>
      </w:r>
      <w:r w:rsidRPr="00B07C00">
        <w:rPr>
          <w:rFonts w:eastAsia="Calibri" w:cs="Arial"/>
          <w:sz w:val="22"/>
        </w:rPr>
        <w:t xml:space="preserve"> </w:t>
      </w:r>
      <w:r w:rsidR="0025694F">
        <w:rPr>
          <w:rFonts w:eastAsia="Calibri" w:cs="Arial"/>
          <w:sz w:val="22"/>
        </w:rPr>
        <w:t>M. X</w:t>
      </w:r>
      <w:r>
        <w:rPr>
          <w:rFonts w:eastAsia="Calibri" w:cs="Arial"/>
          <w:sz w:val="22"/>
        </w:rPr>
        <w:t xml:space="preserve"> est déchargé de sa gestion pour l’exercice 2008.</w:t>
      </w:r>
    </w:p>
    <w:p w:rsidR="00B07C00" w:rsidRPr="00B639C0" w:rsidRDefault="00B07C00" w:rsidP="00CE25A0">
      <w:pPr>
        <w:spacing w:after="200" w:line="240" w:lineRule="auto"/>
        <w:jc w:val="both"/>
        <w:rPr>
          <w:rFonts w:eastAsia="Calibri" w:cs="Arial"/>
          <w:sz w:val="22"/>
        </w:rPr>
      </w:pPr>
    </w:p>
    <w:p w:rsidR="0021670A" w:rsidRPr="00542B27" w:rsidRDefault="0021670A" w:rsidP="0021670A">
      <w:pPr>
        <w:tabs>
          <w:tab w:val="center" w:pos="4536"/>
          <w:tab w:val="right" w:pos="9072"/>
        </w:tabs>
        <w:jc w:val="center"/>
        <w:rPr>
          <w:rFonts w:cs="Arial"/>
          <w:sz w:val="22"/>
        </w:rPr>
      </w:pPr>
      <w:r>
        <w:rPr>
          <w:rFonts w:cs="Arial"/>
          <w:sz w:val="22"/>
        </w:rPr>
        <w:t>----</w:t>
      </w:r>
      <w:r w:rsidR="00C02188">
        <w:rPr>
          <w:rFonts w:cs="Arial"/>
          <w:sz w:val="22"/>
        </w:rPr>
        <w:t>--</w:t>
      </w:r>
      <w:r>
        <w:rPr>
          <w:rFonts w:cs="Arial"/>
          <w:sz w:val="22"/>
        </w:rPr>
        <w:t>---</w:t>
      </w:r>
    </w:p>
    <w:p w:rsidR="0054704D" w:rsidRDefault="0054704D" w:rsidP="00542B27">
      <w:pPr>
        <w:tabs>
          <w:tab w:val="center" w:pos="4536"/>
          <w:tab w:val="right" w:pos="9072"/>
        </w:tabs>
        <w:jc w:val="both"/>
        <w:rPr>
          <w:rFonts w:cs="Arial"/>
          <w:sz w:val="22"/>
        </w:rPr>
      </w:pPr>
    </w:p>
    <w:p w:rsidR="00B07C00" w:rsidRDefault="00B07C00" w:rsidP="00542B27">
      <w:pPr>
        <w:tabs>
          <w:tab w:val="center" w:pos="4536"/>
          <w:tab w:val="right" w:pos="9072"/>
        </w:tabs>
        <w:jc w:val="both"/>
        <w:rPr>
          <w:rFonts w:cs="Arial"/>
          <w:sz w:val="22"/>
        </w:rPr>
      </w:pPr>
    </w:p>
    <w:p w:rsidR="00542B27" w:rsidRPr="007A47EE" w:rsidRDefault="0021670A" w:rsidP="00542B27">
      <w:pPr>
        <w:tabs>
          <w:tab w:val="center" w:pos="4536"/>
          <w:tab w:val="right" w:pos="9072"/>
        </w:tabs>
        <w:jc w:val="both"/>
        <w:rPr>
          <w:rFonts w:cs="Arial"/>
          <w:sz w:val="22"/>
        </w:rPr>
      </w:pPr>
      <w:r>
        <w:rPr>
          <w:rFonts w:cs="Arial"/>
          <w:sz w:val="22"/>
        </w:rPr>
        <w:t>Fait et jugé p</w:t>
      </w:r>
      <w:r w:rsidR="00542B27" w:rsidRPr="00542B27">
        <w:rPr>
          <w:rFonts w:cs="Arial"/>
          <w:sz w:val="22"/>
        </w:rPr>
        <w:t xml:space="preserve">ar </w:t>
      </w:r>
      <w:r w:rsidR="007A47EE" w:rsidRPr="007A47EE">
        <w:rPr>
          <w:rFonts w:cs="Arial"/>
          <w:sz w:val="22"/>
        </w:rPr>
        <w:t>M</w:t>
      </w:r>
      <w:r w:rsidR="007A47EE" w:rsidRPr="007A47EE">
        <w:rPr>
          <w:rFonts w:cs="Arial"/>
          <w:sz w:val="22"/>
          <w:vertAlign w:val="superscript"/>
        </w:rPr>
        <w:t>me</w:t>
      </w:r>
      <w:r w:rsidR="007A47EE">
        <w:rPr>
          <w:rFonts w:cs="Arial"/>
          <w:sz w:val="22"/>
        </w:rPr>
        <w:t> </w:t>
      </w:r>
      <w:r w:rsidR="00542B27">
        <w:rPr>
          <w:rFonts w:cs="Arial"/>
          <w:sz w:val="22"/>
        </w:rPr>
        <w:t>Evelyne R</w:t>
      </w:r>
      <w:r w:rsidR="00B07C00">
        <w:rPr>
          <w:rFonts w:cs="Arial"/>
          <w:sz w:val="22"/>
        </w:rPr>
        <w:t>atte</w:t>
      </w:r>
      <w:r w:rsidR="00542B27" w:rsidRPr="00542B27">
        <w:rPr>
          <w:rFonts w:cs="Arial"/>
          <w:sz w:val="22"/>
        </w:rPr>
        <w:t xml:space="preserve">, </w:t>
      </w:r>
      <w:r w:rsidR="007A47EE">
        <w:rPr>
          <w:rFonts w:cs="Arial"/>
          <w:sz w:val="22"/>
        </w:rPr>
        <w:t>p</w:t>
      </w:r>
      <w:r w:rsidR="00542B27" w:rsidRPr="00542B27">
        <w:rPr>
          <w:rFonts w:cs="Arial"/>
          <w:sz w:val="22"/>
        </w:rPr>
        <w:t>résident</w:t>
      </w:r>
      <w:r w:rsidR="00542B27">
        <w:rPr>
          <w:rFonts w:cs="Arial"/>
          <w:sz w:val="22"/>
        </w:rPr>
        <w:t>e</w:t>
      </w:r>
      <w:r w:rsidR="00542B27" w:rsidRPr="00542B27">
        <w:rPr>
          <w:rFonts w:cs="Arial"/>
          <w:sz w:val="22"/>
        </w:rPr>
        <w:t xml:space="preserve"> de chambre, MM.</w:t>
      </w:r>
      <w:r>
        <w:rPr>
          <w:rFonts w:cs="Arial"/>
          <w:sz w:val="22"/>
        </w:rPr>
        <w:t> </w:t>
      </w:r>
      <w:r w:rsidR="00542B27">
        <w:rPr>
          <w:rFonts w:cs="Arial"/>
          <w:sz w:val="22"/>
        </w:rPr>
        <w:t>Jean G</w:t>
      </w:r>
      <w:r w:rsidR="00B07C00">
        <w:rPr>
          <w:rFonts w:cs="Arial"/>
          <w:sz w:val="22"/>
        </w:rPr>
        <w:t>autier</w:t>
      </w:r>
      <w:r w:rsidR="00542B27">
        <w:rPr>
          <w:rFonts w:cs="Arial"/>
          <w:sz w:val="22"/>
        </w:rPr>
        <w:t xml:space="preserve">, </w:t>
      </w:r>
      <w:r w:rsidR="00FA31AE">
        <w:rPr>
          <w:rFonts w:cs="Arial"/>
          <w:sz w:val="22"/>
        </w:rPr>
        <w:t>Paul-Henri R</w:t>
      </w:r>
      <w:r w:rsidR="00B07C00">
        <w:rPr>
          <w:rFonts w:cs="Arial"/>
          <w:sz w:val="22"/>
        </w:rPr>
        <w:t>avier</w:t>
      </w:r>
      <w:r w:rsidR="00FA31AE">
        <w:rPr>
          <w:rFonts w:cs="Arial"/>
          <w:sz w:val="22"/>
        </w:rPr>
        <w:t>, Didier G</w:t>
      </w:r>
      <w:r w:rsidR="00B07C00">
        <w:rPr>
          <w:rFonts w:cs="Arial"/>
          <w:sz w:val="22"/>
        </w:rPr>
        <w:t>uédon</w:t>
      </w:r>
      <w:r w:rsidR="00FA31AE">
        <w:rPr>
          <w:rFonts w:cs="Arial"/>
          <w:sz w:val="22"/>
        </w:rPr>
        <w:t>, Gilbert-Henri A</w:t>
      </w:r>
      <w:r w:rsidR="00B07C00">
        <w:rPr>
          <w:rFonts w:cs="Arial"/>
          <w:sz w:val="22"/>
        </w:rPr>
        <w:t>rnauld</w:t>
      </w:r>
      <w:r w:rsidR="00FA31AE">
        <w:rPr>
          <w:rFonts w:cs="Arial"/>
          <w:sz w:val="22"/>
        </w:rPr>
        <w:t xml:space="preserve"> </w:t>
      </w:r>
      <w:r w:rsidR="00B07C00">
        <w:rPr>
          <w:rFonts w:cs="Arial"/>
          <w:sz w:val="22"/>
        </w:rPr>
        <w:t>d</w:t>
      </w:r>
      <w:r w:rsidR="00FA31AE">
        <w:rPr>
          <w:rFonts w:cs="Arial"/>
          <w:sz w:val="22"/>
        </w:rPr>
        <w:t>’</w:t>
      </w:r>
      <w:proofErr w:type="spellStart"/>
      <w:r w:rsidR="00FA31AE">
        <w:rPr>
          <w:rFonts w:cs="Arial"/>
          <w:sz w:val="22"/>
        </w:rPr>
        <w:t>A</w:t>
      </w:r>
      <w:r w:rsidR="00B07C00">
        <w:rPr>
          <w:rFonts w:cs="Arial"/>
          <w:sz w:val="22"/>
        </w:rPr>
        <w:t>ndilly</w:t>
      </w:r>
      <w:proofErr w:type="spellEnd"/>
      <w:r w:rsidR="00FA31AE">
        <w:rPr>
          <w:rFonts w:cs="Arial"/>
          <w:sz w:val="22"/>
        </w:rPr>
        <w:t>, Antoine</w:t>
      </w:r>
      <w:r w:rsidR="007A47EE">
        <w:rPr>
          <w:rFonts w:cs="Arial"/>
          <w:sz w:val="22"/>
        </w:rPr>
        <w:t xml:space="preserve"> </w:t>
      </w:r>
      <w:r w:rsidR="00FA31AE">
        <w:rPr>
          <w:rFonts w:cs="Arial"/>
          <w:sz w:val="22"/>
        </w:rPr>
        <w:t>G</w:t>
      </w:r>
      <w:r w:rsidR="00B07C00">
        <w:rPr>
          <w:rFonts w:cs="Arial"/>
          <w:sz w:val="22"/>
        </w:rPr>
        <w:t>uéroult</w:t>
      </w:r>
      <w:r w:rsidR="00FA31AE">
        <w:rPr>
          <w:rFonts w:cs="Arial"/>
          <w:sz w:val="22"/>
        </w:rPr>
        <w:t xml:space="preserve">, </w:t>
      </w:r>
      <w:r w:rsidR="00A44EE8" w:rsidRPr="00A44EE8">
        <w:rPr>
          <w:rFonts w:cs="Arial"/>
          <w:sz w:val="22"/>
        </w:rPr>
        <w:t>M</w:t>
      </w:r>
      <w:r w:rsidR="00A44EE8" w:rsidRPr="00A44EE8">
        <w:rPr>
          <w:rFonts w:cs="Arial"/>
          <w:sz w:val="22"/>
          <w:vertAlign w:val="superscript"/>
        </w:rPr>
        <w:t>me</w:t>
      </w:r>
      <w:r w:rsidR="00A44EE8">
        <w:rPr>
          <w:rFonts w:cs="Arial"/>
          <w:sz w:val="22"/>
        </w:rPr>
        <w:t> Sy</w:t>
      </w:r>
      <w:bookmarkStart w:id="0" w:name="_GoBack"/>
      <w:bookmarkEnd w:id="0"/>
      <w:r w:rsidR="00FA31AE" w:rsidRPr="007A47EE">
        <w:rPr>
          <w:rFonts w:cs="Arial"/>
          <w:sz w:val="22"/>
        </w:rPr>
        <w:t xml:space="preserve">lvie </w:t>
      </w:r>
      <w:proofErr w:type="spellStart"/>
      <w:r w:rsidR="00FA31AE" w:rsidRPr="007A47EE">
        <w:rPr>
          <w:rFonts w:cs="Arial"/>
          <w:sz w:val="22"/>
        </w:rPr>
        <w:t>V</w:t>
      </w:r>
      <w:r w:rsidR="00B07C00" w:rsidRPr="007A47EE">
        <w:rPr>
          <w:rFonts w:cs="Arial"/>
          <w:sz w:val="22"/>
        </w:rPr>
        <w:t>ergnet</w:t>
      </w:r>
      <w:proofErr w:type="spellEnd"/>
      <w:r w:rsidR="00FA31AE" w:rsidRPr="007A47EE">
        <w:rPr>
          <w:rFonts w:cs="Arial"/>
          <w:sz w:val="22"/>
        </w:rPr>
        <w:t>, MM. Olivier O</w:t>
      </w:r>
      <w:r w:rsidR="00B07C00" w:rsidRPr="007A47EE">
        <w:rPr>
          <w:rFonts w:cs="Arial"/>
          <w:sz w:val="22"/>
        </w:rPr>
        <w:t>rtiz</w:t>
      </w:r>
      <w:r w:rsidR="00FA31AE" w:rsidRPr="007A47EE">
        <w:rPr>
          <w:rFonts w:cs="Arial"/>
          <w:sz w:val="22"/>
        </w:rPr>
        <w:t xml:space="preserve"> </w:t>
      </w:r>
      <w:r w:rsidR="00991C9C" w:rsidRPr="007A47EE">
        <w:rPr>
          <w:rFonts w:cs="Arial"/>
          <w:sz w:val="22"/>
        </w:rPr>
        <w:t xml:space="preserve">et </w:t>
      </w:r>
      <w:r w:rsidR="00FA31AE" w:rsidRPr="007A47EE">
        <w:rPr>
          <w:rFonts w:cs="Arial"/>
          <w:sz w:val="22"/>
        </w:rPr>
        <w:t>Jacques B</w:t>
      </w:r>
      <w:r w:rsidR="00B07C00" w:rsidRPr="007A47EE">
        <w:rPr>
          <w:rFonts w:cs="Arial"/>
          <w:sz w:val="22"/>
        </w:rPr>
        <w:t>asset</w:t>
      </w:r>
      <w:r w:rsidR="00542B27" w:rsidRPr="007A47EE">
        <w:rPr>
          <w:rFonts w:cs="Arial"/>
          <w:sz w:val="22"/>
        </w:rPr>
        <w:t>, conseillers maîtres.</w:t>
      </w:r>
    </w:p>
    <w:p w:rsidR="00542B27" w:rsidRDefault="00542B27" w:rsidP="00542B27">
      <w:pPr>
        <w:tabs>
          <w:tab w:val="center" w:pos="4536"/>
          <w:tab w:val="right" w:pos="9072"/>
        </w:tabs>
        <w:jc w:val="both"/>
        <w:rPr>
          <w:rFonts w:cs="Arial"/>
          <w:sz w:val="22"/>
        </w:rPr>
      </w:pPr>
    </w:p>
    <w:p w:rsidR="00FA31AE" w:rsidRDefault="00FA31AE" w:rsidP="00542B27">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r w:rsidRPr="00BE7662">
        <w:rPr>
          <w:rFonts w:cs="Arial"/>
          <w:sz w:val="22"/>
        </w:rPr>
        <w:t xml:space="preserve">En présence de </w:t>
      </w:r>
      <w:r w:rsidR="007A47EE" w:rsidRPr="007A47EE">
        <w:rPr>
          <w:rFonts w:cs="Arial"/>
          <w:sz w:val="22"/>
        </w:rPr>
        <w:t>M</w:t>
      </w:r>
      <w:r w:rsidR="007A47EE" w:rsidRPr="007A47EE">
        <w:rPr>
          <w:rFonts w:cs="Arial"/>
          <w:sz w:val="22"/>
          <w:vertAlign w:val="superscript"/>
        </w:rPr>
        <w:t>me</w:t>
      </w:r>
      <w:r w:rsidR="007A47EE">
        <w:rPr>
          <w:rFonts w:cs="Arial"/>
          <w:sz w:val="22"/>
        </w:rPr>
        <w:t xml:space="preserve"> </w:t>
      </w:r>
      <w:r w:rsidR="0021670A">
        <w:rPr>
          <w:rFonts w:cs="Arial"/>
          <w:sz w:val="22"/>
        </w:rPr>
        <w:t>Marie-Hélène P</w:t>
      </w:r>
      <w:r w:rsidR="00B07C00">
        <w:rPr>
          <w:rFonts w:cs="Arial"/>
          <w:sz w:val="22"/>
        </w:rPr>
        <w:t>aris</w:t>
      </w:r>
      <w:r w:rsidR="0021670A">
        <w:rPr>
          <w:rFonts w:cs="Arial"/>
          <w:sz w:val="22"/>
        </w:rPr>
        <w:t>-V</w:t>
      </w:r>
      <w:r w:rsidR="00B07C00">
        <w:rPr>
          <w:rFonts w:cs="Arial"/>
          <w:sz w:val="22"/>
        </w:rPr>
        <w:t>arin</w:t>
      </w:r>
      <w:r w:rsidRPr="00BE7662">
        <w:rPr>
          <w:rFonts w:cs="Arial"/>
          <w:sz w:val="22"/>
        </w:rPr>
        <w:t>, greffière de séance.</w:t>
      </w:r>
    </w:p>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tbl>
      <w:tblPr>
        <w:tblW w:w="0" w:type="auto"/>
        <w:tblInd w:w="108" w:type="dxa"/>
        <w:tblLook w:val="00A0" w:firstRow="1" w:lastRow="0" w:firstColumn="1" w:lastColumn="0" w:noHBand="0" w:noVBand="0"/>
      </w:tblPr>
      <w:tblGrid>
        <w:gridCol w:w="4618"/>
        <w:gridCol w:w="4528"/>
      </w:tblGrid>
      <w:tr w:rsidR="00FA31AE" w:rsidRPr="00BE7662" w:rsidTr="00B07C00">
        <w:tc>
          <w:tcPr>
            <w:tcW w:w="4618" w:type="dxa"/>
          </w:tcPr>
          <w:p w:rsidR="00FA31AE" w:rsidRPr="00BE7662" w:rsidRDefault="00FA31AE" w:rsidP="003E771B">
            <w:pPr>
              <w:tabs>
                <w:tab w:val="center" w:pos="4536"/>
                <w:tab w:val="right" w:pos="9072"/>
              </w:tabs>
              <w:jc w:val="center"/>
              <w:rPr>
                <w:rFonts w:cs="Arial"/>
                <w:b/>
                <w:sz w:val="22"/>
              </w:rPr>
            </w:pPr>
          </w:p>
          <w:p w:rsidR="00FA31AE" w:rsidRPr="002125D2" w:rsidRDefault="00FA31AE" w:rsidP="003E771B">
            <w:pPr>
              <w:tabs>
                <w:tab w:val="center" w:pos="4536"/>
                <w:tab w:val="right" w:pos="9072"/>
              </w:tabs>
              <w:jc w:val="center"/>
              <w:rPr>
                <w:rFonts w:cs="Arial"/>
                <w:b/>
                <w:sz w:val="22"/>
              </w:rPr>
            </w:pPr>
          </w:p>
          <w:p w:rsidR="00FA31AE" w:rsidRDefault="00FA31AE" w:rsidP="003E771B">
            <w:pPr>
              <w:tabs>
                <w:tab w:val="center" w:pos="4536"/>
                <w:tab w:val="right" w:pos="9072"/>
              </w:tabs>
              <w:jc w:val="center"/>
              <w:rPr>
                <w:rFonts w:cs="Arial"/>
                <w:b/>
                <w:sz w:val="22"/>
              </w:rPr>
            </w:pPr>
          </w:p>
          <w:p w:rsidR="0021670A" w:rsidRDefault="0021670A" w:rsidP="003E771B">
            <w:pPr>
              <w:tabs>
                <w:tab w:val="center" w:pos="4536"/>
                <w:tab w:val="right" w:pos="9072"/>
              </w:tabs>
              <w:jc w:val="center"/>
              <w:rPr>
                <w:rFonts w:cs="Arial"/>
                <w:b/>
                <w:sz w:val="22"/>
              </w:rPr>
            </w:pPr>
          </w:p>
          <w:p w:rsidR="0021670A" w:rsidRPr="002125D2" w:rsidRDefault="0021670A" w:rsidP="003E771B">
            <w:pPr>
              <w:tabs>
                <w:tab w:val="center" w:pos="4536"/>
                <w:tab w:val="right" w:pos="9072"/>
              </w:tabs>
              <w:jc w:val="center"/>
              <w:rPr>
                <w:rFonts w:cs="Arial"/>
                <w:b/>
                <w:sz w:val="22"/>
              </w:rPr>
            </w:pPr>
          </w:p>
          <w:p w:rsidR="00FA31AE" w:rsidRPr="00BE7662" w:rsidRDefault="0021670A" w:rsidP="00FA31AE">
            <w:pPr>
              <w:tabs>
                <w:tab w:val="center" w:pos="4536"/>
                <w:tab w:val="right" w:pos="9072"/>
              </w:tabs>
              <w:jc w:val="center"/>
              <w:rPr>
                <w:rFonts w:cs="Arial"/>
                <w:b/>
                <w:sz w:val="22"/>
              </w:rPr>
            </w:pPr>
            <w:r>
              <w:rPr>
                <w:rFonts w:cs="Arial"/>
                <w:b/>
                <w:sz w:val="22"/>
              </w:rPr>
              <w:t>Marie-Hélène PARIS-VARIN</w:t>
            </w:r>
          </w:p>
        </w:tc>
        <w:tc>
          <w:tcPr>
            <w:tcW w:w="4528" w:type="dxa"/>
          </w:tcPr>
          <w:p w:rsidR="00FA31AE" w:rsidRPr="00BE7662" w:rsidRDefault="00FA31AE" w:rsidP="003E771B">
            <w:pPr>
              <w:tabs>
                <w:tab w:val="center" w:pos="4536"/>
                <w:tab w:val="right" w:pos="9072"/>
              </w:tabs>
              <w:jc w:val="center"/>
              <w:rPr>
                <w:rFonts w:cs="Arial"/>
                <w:b/>
                <w:sz w:val="22"/>
              </w:rPr>
            </w:pPr>
          </w:p>
          <w:p w:rsidR="00FA31AE" w:rsidRPr="00BE7662" w:rsidRDefault="00FA31AE" w:rsidP="003E771B">
            <w:pPr>
              <w:tabs>
                <w:tab w:val="center" w:pos="4536"/>
                <w:tab w:val="right" w:pos="9072"/>
              </w:tabs>
              <w:jc w:val="center"/>
              <w:rPr>
                <w:rFonts w:cs="Arial"/>
                <w:b/>
                <w:sz w:val="22"/>
              </w:rPr>
            </w:pPr>
          </w:p>
          <w:p w:rsidR="00FA31AE" w:rsidRDefault="00FA31AE" w:rsidP="003E771B">
            <w:pPr>
              <w:tabs>
                <w:tab w:val="center" w:pos="4536"/>
                <w:tab w:val="right" w:pos="9072"/>
              </w:tabs>
              <w:jc w:val="center"/>
              <w:rPr>
                <w:rFonts w:cs="Arial"/>
                <w:b/>
                <w:sz w:val="22"/>
              </w:rPr>
            </w:pPr>
          </w:p>
          <w:p w:rsidR="0021670A" w:rsidRDefault="0021670A" w:rsidP="003E771B">
            <w:pPr>
              <w:tabs>
                <w:tab w:val="center" w:pos="4536"/>
                <w:tab w:val="right" w:pos="9072"/>
              </w:tabs>
              <w:jc w:val="center"/>
              <w:rPr>
                <w:rFonts w:cs="Arial"/>
                <w:b/>
                <w:sz w:val="22"/>
              </w:rPr>
            </w:pPr>
          </w:p>
          <w:p w:rsidR="0021670A" w:rsidRPr="00BE7662" w:rsidRDefault="0021670A" w:rsidP="003E771B">
            <w:pPr>
              <w:tabs>
                <w:tab w:val="center" w:pos="4536"/>
                <w:tab w:val="right" w:pos="9072"/>
              </w:tabs>
              <w:jc w:val="center"/>
              <w:rPr>
                <w:rFonts w:cs="Arial"/>
                <w:b/>
                <w:sz w:val="22"/>
              </w:rPr>
            </w:pPr>
          </w:p>
          <w:p w:rsidR="00FA31AE" w:rsidRPr="00BE7662" w:rsidRDefault="00FA31AE" w:rsidP="00FA31AE">
            <w:pPr>
              <w:tabs>
                <w:tab w:val="center" w:pos="4536"/>
                <w:tab w:val="right" w:pos="9072"/>
              </w:tabs>
              <w:jc w:val="center"/>
              <w:rPr>
                <w:rFonts w:cs="Arial"/>
                <w:b/>
                <w:sz w:val="22"/>
              </w:rPr>
            </w:pPr>
            <w:r>
              <w:rPr>
                <w:rFonts w:cs="Arial"/>
                <w:b/>
                <w:sz w:val="22"/>
              </w:rPr>
              <w:t>Evelyne RATTE</w:t>
            </w:r>
          </w:p>
        </w:tc>
      </w:tr>
    </w:tbl>
    <w:p w:rsidR="00FA31AE" w:rsidRPr="00BE7662" w:rsidRDefault="00FA31AE"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p>
    <w:p w:rsidR="00B07C00" w:rsidRDefault="00B07C00" w:rsidP="00FA31AE">
      <w:pPr>
        <w:tabs>
          <w:tab w:val="center" w:pos="4536"/>
          <w:tab w:val="right" w:pos="9072"/>
        </w:tabs>
        <w:jc w:val="both"/>
        <w:rPr>
          <w:rFonts w:cs="Arial"/>
          <w:sz w:val="22"/>
        </w:rPr>
      </w:pPr>
    </w:p>
    <w:p w:rsidR="00FA31AE" w:rsidRPr="00BE7662" w:rsidRDefault="00FA31AE" w:rsidP="00FA31AE">
      <w:pPr>
        <w:tabs>
          <w:tab w:val="center" w:pos="4536"/>
          <w:tab w:val="right" w:pos="9072"/>
        </w:tabs>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A31AE" w:rsidRDefault="00FA31AE" w:rsidP="00FA31AE">
      <w:pPr>
        <w:tabs>
          <w:tab w:val="center" w:pos="4536"/>
          <w:tab w:val="right" w:pos="9072"/>
        </w:tabs>
        <w:jc w:val="both"/>
        <w:rPr>
          <w:rFonts w:cs="Arial"/>
          <w:sz w:val="22"/>
        </w:rPr>
      </w:pPr>
    </w:p>
    <w:p w:rsidR="003C7C55" w:rsidRPr="00BE7662" w:rsidRDefault="003C7C55" w:rsidP="00FA31AE">
      <w:pPr>
        <w:tabs>
          <w:tab w:val="center" w:pos="4536"/>
          <w:tab w:val="right" w:pos="9072"/>
        </w:tabs>
        <w:jc w:val="both"/>
        <w:rPr>
          <w:rFonts w:cs="Arial"/>
          <w:sz w:val="22"/>
        </w:rPr>
      </w:pPr>
      <w:r w:rsidRPr="003C7C55">
        <w:rPr>
          <w:rFonts w:cs="Arial"/>
          <w:sz w:val="22"/>
        </w:rPr>
        <w:t>Conformément aux dispositions de l’article R.</w:t>
      </w:r>
      <w:r w:rsidR="0076146B">
        <w:rPr>
          <w:rFonts w:cs="Arial"/>
          <w:sz w:val="22"/>
        </w:rPr>
        <w:t> </w:t>
      </w:r>
      <w:r w:rsidRPr="003C7C55">
        <w:rPr>
          <w:rFonts w:cs="Arial"/>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222C05">
        <w:rPr>
          <w:rFonts w:cs="Arial"/>
          <w:sz w:val="22"/>
        </w:rPr>
        <w:t> </w:t>
      </w:r>
      <w:r w:rsidRPr="003C7C55">
        <w:rPr>
          <w:rFonts w:cs="Arial"/>
          <w:sz w:val="22"/>
        </w:rPr>
        <w:t>142-15 du même code.</w:t>
      </w:r>
    </w:p>
    <w:sectPr w:rsidR="003C7C55" w:rsidRPr="00BE7662"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3F7" w:rsidRDefault="006F63F7" w:rsidP="00B41656">
      <w:pPr>
        <w:spacing w:line="240" w:lineRule="auto"/>
      </w:pPr>
      <w:r>
        <w:separator/>
      </w:r>
    </w:p>
  </w:endnote>
  <w:endnote w:type="continuationSeparator" w:id="0">
    <w:p w:rsidR="006F63F7" w:rsidRDefault="006F63F7"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54704D" w:rsidRDefault="00AE774F" w:rsidP="00070FB0">
          <w:pPr>
            <w:pStyle w:val="Pieddepage"/>
            <w:jc w:val="center"/>
            <w:rPr>
              <w:rFonts w:cs="Arial"/>
              <w:sz w:val="18"/>
              <w:szCs w:val="18"/>
            </w:rPr>
          </w:pPr>
          <w:r w:rsidRPr="0054704D">
            <w:rPr>
              <w:rFonts w:cs="Arial"/>
              <w:sz w:val="18"/>
              <w:szCs w:val="18"/>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3F7" w:rsidRDefault="006F63F7" w:rsidP="00B41656">
      <w:pPr>
        <w:spacing w:line="240" w:lineRule="auto"/>
      </w:pPr>
      <w:r>
        <w:separator/>
      </w:r>
    </w:p>
  </w:footnote>
  <w:footnote w:type="continuationSeparator" w:id="0">
    <w:p w:rsidR="006F63F7" w:rsidRDefault="006F63F7"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6F63F7"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A44EE8">
                <w:rPr>
                  <w:b/>
                  <w:noProof/>
                </w:rPr>
                <w:t>6</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A44EE8">
                <w:rPr>
                  <w:b/>
                  <w:noProof/>
                </w:rPr>
                <w:t>6</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2A0C3447" wp14:editId="313E4F47">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4BF1"/>
    <w:multiLevelType w:val="hybridMultilevel"/>
    <w:tmpl w:val="439AF682"/>
    <w:lvl w:ilvl="0" w:tplc="360183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8B3"/>
    <w:rsid w:val="00001C23"/>
    <w:rsid w:val="0000562F"/>
    <w:rsid w:val="000059EA"/>
    <w:rsid w:val="00057C1C"/>
    <w:rsid w:val="00060466"/>
    <w:rsid w:val="00067EA3"/>
    <w:rsid w:val="000D2C26"/>
    <w:rsid w:val="000F5299"/>
    <w:rsid w:val="000F53CA"/>
    <w:rsid w:val="00110640"/>
    <w:rsid w:val="001117A4"/>
    <w:rsid w:val="001248F5"/>
    <w:rsid w:val="0013115F"/>
    <w:rsid w:val="00131A38"/>
    <w:rsid w:val="00135FAC"/>
    <w:rsid w:val="001440E9"/>
    <w:rsid w:val="0016783F"/>
    <w:rsid w:val="001733C8"/>
    <w:rsid w:val="00177B90"/>
    <w:rsid w:val="001B30ED"/>
    <w:rsid w:val="001D11BE"/>
    <w:rsid w:val="002040C2"/>
    <w:rsid w:val="0021670A"/>
    <w:rsid w:val="00222C05"/>
    <w:rsid w:val="002304DE"/>
    <w:rsid w:val="00231C67"/>
    <w:rsid w:val="00240BCF"/>
    <w:rsid w:val="00240C13"/>
    <w:rsid w:val="00244453"/>
    <w:rsid w:val="0025694F"/>
    <w:rsid w:val="00265091"/>
    <w:rsid w:val="00275D43"/>
    <w:rsid w:val="00283473"/>
    <w:rsid w:val="00284ADB"/>
    <w:rsid w:val="002878B1"/>
    <w:rsid w:val="002B74C3"/>
    <w:rsid w:val="002C0B4C"/>
    <w:rsid w:val="002D0DA9"/>
    <w:rsid w:val="002E75B7"/>
    <w:rsid w:val="003241AB"/>
    <w:rsid w:val="0034645B"/>
    <w:rsid w:val="00357403"/>
    <w:rsid w:val="00376FD6"/>
    <w:rsid w:val="0039020D"/>
    <w:rsid w:val="003955D7"/>
    <w:rsid w:val="00396525"/>
    <w:rsid w:val="003A09FE"/>
    <w:rsid w:val="003B1B4A"/>
    <w:rsid w:val="003B7BA2"/>
    <w:rsid w:val="003C582D"/>
    <w:rsid w:val="003C729C"/>
    <w:rsid w:val="003C7C55"/>
    <w:rsid w:val="003D7655"/>
    <w:rsid w:val="004022CB"/>
    <w:rsid w:val="00413FBE"/>
    <w:rsid w:val="00417E6F"/>
    <w:rsid w:val="004507C2"/>
    <w:rsid w:val="0045390D"/>
    <w:rsid w:val="00466852"/>
    <w:rsid w:val="0047092C"/>
    <w:rsid w:val="00477C3D"/>
    <w:rsid w:val="00487B82"/>
    <w:rsid w:val="004A1A11"/>
    <w:rsid w:val="004A49F1"/>
    <w:rsid w:val="004B32AD"/>
    <w:rsid w:val="00524CB5"/>
    <w:rsid w:val="005369EE"/>
    <w:rsid w:val="00542B27"/>
    <w:rsid w:val="0054704D"/>
    <w:rsid w:val="0054781F"/>
    <w:rsid w:val="00576D1F"/>
    <w:rsid w:val="005A2F88"/>
    <w:rsid w:val="005A7F22"/>
    <w:rsid w:val="005B4CA5"/>
    <w:rsid w:val="005C5994"/>
    <w:rsid w:val="005D29C3"/>
    <w:rsid w:val="005F61B5"/>
    <w:rsid w:val="00604974"/>
    <w:rsid w:val="006344B0"/>
    <w:rsid w:val="00647807"/>
    <w:rsid w:val="00661AB9"/>
    <w:rsid w:val="00662166"/>
    <w:rsid w:val="00670497"/>
    <w:rsid w:val="00676091"/>
    <w:rsid w:val="006774B5"/>
    <w:rsid w:val="00687F6F"/>
    <w:rsid w:val="006A4EB5"/>
    <w:rsid w:val="006A568B"/>
    <w:rsid w:val="006A7750"/>
    <w:rsid w:val="006C72CB"/>
    <w:rsid w:val="006E170E"/>
    <w:rsid w:val="006E3A7F"/>
    <w:rsid w:val="006F63F7"/>
    <w:rsid w:val="00707BD1"/>
    <w:rsid w:val="00715647"/>
    <w:rsid w:val="00724014"/>
    <w:rsid w:val="007252C5"/>
    <w:rsid w:val="00733251"/>
    <w:rsid w:val="007409F9"/>
    <w:rsid w:val="007410AA"/>
    <w:rsid w:val="007519D0"/>
    <w:rsid w:val="00752DA5"/>
    <w:rsid w:val="0076146B"/>
    <w:rsid w:val="00764F62"/>
    <w:rsid w:val="00765A21"/>
    <w:rsid w:val="0077703E"/>
    <w:rsid w:val="007864D8"/>
    <w:rsid w:val="007A03CA"/>
    <w:rsid w:val="007A448C"/>
    <w:rsid w:val="007A47EE"/>
    <w:rsid w:val="007B06F6"/>
    <w:rsid w:val="007C09E4"/>
    <w:rsid w:val="007E06F2"/>
    <w:rsid w:val="007F2707"/>
    <w:rsid w:val="007F38F0"/>
    <w:rsid w:val="00805ECE"/>
    <w:rsid w:val="0081551A"/>
    <w:rsid w:val="00821C21"/>
    <w:rsid w:val="008256E2"/>
    <w:rsid w:val="008473EF"/>
    <w:rsid w:val="0085194D"/>
    <w:rsid w:val="00863D04"/>
    <w:rsid w:val="0086760B"/>
    <w:rsid w:val="00875AE9"/>
    <w:rsid w:val="008844EF"/>
    <w:rsid w:val="008A34BF"/>
    <w:rsid w:val="008A6ACF"/>
    <w:rsid w:val="008C244D"/>
    <w:rsid w:val="008E30FF"/>
    <w:rsid w:val="008E360F"/>
    <w:rsid w:val="008E5EE8"/>
    <w:rsid w:val="008E6349"/>
    <w:rsid w:val="00901EC9"/>
    <w:rsid w:val="009166D9"/>
    <w:rsid w:val="009214B4"/>
    <w:rsid w:val="009405CE"/>
    <w:rsid w:val="00950441"/>
    <w:rsid w:val="00966697"/>
    <w:rsid w:val="009802E3"/>
    <w:rsid w:val="00991C9C"/>
    <w:rsid w:val="009A39C8"/>
    <w:rsid w:val="009B22BF"/>
    <w:rsid w:val="009D6657"/>
    <w:rsid w:val="009F6EE2"/>
    <w:rsid w:val="00A02D30"/>
    <w:rsid w:val="00A32C49"/>
    <w:rsid w:val="00A4059D"/>
    <w:rsid w:val="00A409BD"/>
    <w:rsid w:val="00A44EE8"/>
    <w:rsid w:val="00A56A52"/>
    <w:rsid w:val="00A755A3"/>
    <w:rsid w:val="00A83FC9"/>
    <w:rsid w:val="00A9735F"/>
    <w:rsid w:val="00AB0E6C"/>
    <w:rsid w:val="00AB7B53"/>
    <w:rsid w:val="00AE774F"/>
    <w:rsid w:val="00B00B45"/>
    <w:rsid w:val="00B07C00"/>
    <w:rsid w:val="00B128E3"/>
    <w:rsid w:val="00B41656"/>
    <w:rsid w:val="00B639C0"/>
    <w:rsid w:val="00B645D1"/>
    <w:rsid w:val="00B967C8"/>
    <w:rsid w:val="00B97231"/>
    <w:rsid w:val="00BA60D8"/>
    <w:rsid w:val="00BB2920"/>
    <w:rsid w:val="00BB540D"/>
    <w:rsid w:val="00BB5FB1"/>
    <w:rsid w:val="00BB7176"/>
    <w:rsid w:val="00BC37D3"/>
    <w:rsid w:val="00BC40A5"/>
    <w:rsid w:val="00BD53EA"/>
    <w:rsid w:val="00BE35AD"/>
    <w:rsid w:val="00C02188"/>
    <w:rsid w:val="00C02E0B"/>
    <w:rsid w:val="00C04525"/>
    <w:rsid w:val="00C17123"/>
    <w:rsid w:val="00C22187"/>
    <w:rsid w:val="00C23B89"/>
    <w:rsid w:val="00C32D50"/>
    <w:rsid w:val="00C470E9"/>
    <w:rsid w:val="00C5232C"/>
    <w:rsid w:val="00C541D0"/>
    <w:rsid w:val="00C560EF"/>
    <w:rsid w:val="00C77CA2"/>
    <w:rsid w:val="00CA1BD5"/>
    <w:rsid w:val="00CB1056"/>
    <w:rsid w:val="00CC39B0"/>
    <w:rsid w:val="00CC3EE5"/>
    <w:rsid w:val="00CD35DA"/>
    <w:rsid w:val="00CE1BD7"/>
    <w:rsid w:val="00CE25A0"/>
    <w:rsid w:val="00CE4F79"/>
    <w:rsid w:val="00CF54B1"/>
    <w:rsid w:val="00CF6809"/>
    <w:rsid w:val="00D21CDB"/>
    <w:rsid w:val="00D500EF"/>
    <w:rsid w:val="00D51C43"/>
    <w:rsid w:val="00D62649"/>
    <w:rsid w:val="00D63FCD"/>
    <w:rsid w:val="00D817B5"/>
    <w:rsid w:val="00DA6392"/>
    <w:rsid w:val="00DE3BFB"/>
    <w:rsid w:val="00DE48AF"/>
    <w:rsid w:val="00DE6999"/>
    <w:rsid w:val="00E03E5C"/>
    <w:rsid w:val="00E25406"/>
    <w:rsid w:val="00E35B8A"/>
    <w:rsid w:val="00E42A50"/>
    <w:rsid w:val="00E430FB"/>
    <w:rsid w:val="00E500ED"/>
    <w:rsid w:val="00E55D24"/>
    <w:rsid w:val="00E60885"/>
    <w:rsid w:val="00E61F60"/>
    <w:rsid w:val="00E66E29"/>
    <w:rsid w:val="00E74F1C"/>
    <w:rsid w:val="00E86FB6"/>
    <w:rsid w:val="00E87137"/>
    <w:rsid w:val="00ED3235"/>
    <w:rsid w:val="00ED3BBB"/>
    <w:rsid w:val="00EE04D3"/>
    <w:rsid w:val="00EE3AA4"/>
    <w:rsid w:val="00EE4F42"/>
    <w:rsid w:val="00EF33C1"/>
    <w:rsid w:val="00F02D0A"/>
    <w:rsid w:val="00F34BAC"/>
    <w:rsid w:val="00F5063C"/>
    <w:rsid w:val="00F631DF"/>
    <w:rsid w:val="00F63CE2"/>
    <w:rsid w:val="00F73ABC"/>
    <w:rsid w:val="00F81F30"/>
    <w:rsid w:val="00F8606B"/>
    <w:rsid w:val="00F97104"/>
    <w:rsid w:val="00FA2EC4"/>
    <w:rsid w:val="00FA31AE"/>
    <w:rsid w:val="00FC3558"/>
    <w:rsid w:val="00FD31C9"/>
    <w:rsid w:val="00FD6E08"/>
    <w:rsid w:val="00FF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EF33C1"/>
    <w:rPr>
      <w:sz w:val="16"/>
      <w:szCs w:val="16"/>
    </w:rPr>
  </w:style>
  <w:style w:type="paragraph" w:styleId="Commentaire">
    <w:name w:val="annotation text"/>
    <w:basedOn w:val="Normal"/>
    <w:link w:val="CommentaireCar"/>
    <w:uiPriority w:val="99"/>
    <w:semiHidden/>
    <w:rsid w:val="00EF33C1"/>
    <w:pPr>
      <w:spacing w:line="240" w:lineRule="auto"/>
    </w:pPr>
    <w:rPr>
      <w:sz w:val="20"/>
      <w:szCs w:val="20"/>
    </w:rPr>
  </w:style>
  <w:style w:type="character" w:customStyle="1" w:styleId="CommentaireCar">
    <w:name w:val="Commentaire Car"/>
    <w:basedOn w:val="Policepardfaut"/>
    <w:link w:val="Commentaire"/>
    <w:uiPriority w:val="99"/>
    <w:semiHidden/>
    <w:rsid w:val="00EF33C1"/>
    <w:rPr>
      <w:lang w:eastAsia="en-US"/>
    </w:rPr>
  </w:style>
  <w:style w:type="paragraph" w:styleId="Objetducommentaire">
    <w:name w:val="annotation subject"/>
    <w:basedOn w:val="Commentaire"/>
    <w:next w:val="Commentaire"/>
    <w:link w:val="ObjetducommentaireCar"/>
    <w:uiPriority w:val="99"/>
    <w:semiHidden/>
    <w:rsid w:val="00EF33C1"/>
    <w:rPr>
      <w:b/>
      <w:bCs/>
    </w:rPr>
  </w:style>
  <w:style w:type="character" w:customStyle="1" w:styleId="ObjetducommentaireCar">
    <w:name w:val="Objet du commentaire Car"/>
    <w:basedOn w:val="CommentaireCar"/>
    <w:link w:val="Objetducommentaire"/>
    <w:uiPriority w:val="99"/>
    <w:semiHidden/>
    <w:rsid w:val="00EF33C1"/>
    <w:rPr>
      <w:b/>
      <w:bCs/>
      <w:lang w:eastAsia="en-US"/>
    </w:rPr>
  </w:style>
  <w:style w:type="paragraph" w:styleId="Rvision">
    <w:name w:val="Revision"/>
    <w:hidden/>
    <w:uiPriority w:val="71"/>
    <w:rsid w:val="00EF33C1"/>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EF33C1"/>
    <w:rPr>
      <w:sz w:val="16"/>
      <w:szCs w:val="16"/>
    </w:rPr>
  </w:style>
  <w:style w:type="paragraph" w:styleId="Commentaire">
    <w:name w:val="annotation text"/>
    <w:basedOn w:val="Normal"/>
    <w:link w:val="CommentaireCar"/>
    <w:uiPriority w:val="99"/>
    <w:semiHidden/>
    <w:rsid w:val="00EF33C1"/>
    <w:pPr>
      <w:spacing w:line="240" w:lineRule="auto"/>
    </w:pPr>
    <w:rPr>
      <w:sz w:val="20"/>
      <w:szCs w:val="20"/>
    </w:rPr>
  </w:style>
  <w:style w:type="character" w:customStyle="1" w:styleId="CommentaireCar">
    <w:name w:val="Commentaire Car"/>
    <w:basedOn w:val="Policepardfaut"/>
    <w:link w:val="Commentaire"/>
    <w:uiPriority w:val="99"/>
    <w:semiHidden/>
    <w:rsid w:val="00EF33C1"/>
    <w:rPr>
      <w:lang w:eastAsia="en-US"/>
    </w:rPr>
  </w:style>
  <w:style w:type="paragraph" w:styleId="Objetducommentaire">
    <w:name w:val="annotation subject"/>
    <w:basedOn w:val="Commentaire"/>
    <w:next w:val="Commentaire"/>
    <w:link w:val="ObjetducommentaireCar"/>
    <w:uiPriority w:val="99"/>
    <w:semiHidden/>
    <w:rsid w:val="00EF33C1"/>
    <w:rPr>
      <w:b/>
      <w:bCs/>
    </w:rPr>
  </w:style>
  <w:style w:type="character" w:customStyle="1" w:styleId="ObjetducommentaireCar">
    <w:name w:val="Objet du commentaire Car"/>
    <w:basedOn w:val="CommentaireCar"/>
    <w:link w:val="Objetducommentaire"/>
    <w:uiPriority w:val="99"/>
    <w:semiHidden/>
    <w:rsid w:val="00EF33C1"/>
    <w:rPr>
      <w:b/>
      <w:bCs/>
      <w:lang w:eastAsia="en-US"/>
    </w:rPr>
  </w:style>
  <w:style w:type="paragraph" w:styleId="Rvision">
    <w:name w:val="Revision"/>
    <w:hidden/>
    <w:uiPriority w:val="71"/>
    <w:rsid w:val="00EF33C1"/>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B25D5-22AE-4E45-A655-BBBB311A1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2059</Words>
  <Characters>11327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2015-10-23T06:43:00Z</cp:lastPrinted>
  <dcterms:created xsi:type="dcterms:W3CDTF">2015-11-05T13:02:00Z</dcterms:created>
  <dcterms:modified xsi:type="dcterms:W3CDTF">2015-11-11T17:18:00Z</dcterms:modified>
</cp:coreProperties>
</file>