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10314" w:type="dxa"/>
        <w:tblLook w:val="00A0" w:firstRow="1" w:lastRow="0" w:firstColumn="1" w:lastColumn="0" w:noHBand="0" w:noVBand="0"/>
      </w:tblPr>
      <w:tblGrid>
        <w:gridCol w:w="5103"/>
        <w:gridCol w:w="5211"/>
      </w:tblGrid>
      <w:tr w:rsidR="00C13095" w:rsidRPr="00C13095" w:rsidTr="004779C2">
        <w:tc>
          <w:tcPr>
            <w:tcW w:w="5103" w:type="dxa"/>
          </w:tcPr>
          <w:p w:rsidR="00C13095" w:rsidRPr="00C13095" w:rsidRDefault="004779C2" w:rsidP="00C11014">
            <w:pPr>
              <w:spacing w:line="240" w:lineRule="auto"/>
              <w:ind w:right="776"/>
              <w:jc w:val="center"/>
              <w:rPr>
                <w:rFonts w:eastAsia="Times New Roman" w:cs="Arial"/>
                <w:sz w:val="22"/>
                <w:lang w:eastAsia="fr-FR"/>
              </w:rPr>
            </w:pPr>
            <w:r>
              <w:rPr>
                <w:rFonts w:eastAsia="Times New Roman" w:cs="Arial"/>
                <w:sz w:val="22"/>
                <w:lang w:eastAsia="fr-FR"/>
              </w:rPr>
              <w:t>QUATRIÈME CHAMBRE</w:t>
            </w:r>
          </w:p>
          <w:p w:rsidR="00C13095" w:rsidRPr="00C13095" w:rsidRDefault="00F02B00" w:rsidP="00C11014">
            <w:pPr>
              <w:spacing w:line="240" w:lineRule="auto"/>
              <w:ind w:right="776"/>
              <w:jc w:val="center"/>
              <w:rPr>
                <w:rFonts w:eastAsia="Times New Roman" w:cs="Arial"/>
                <w:b/>
                <w:sz w:val="22"/>
                <w:lang w:eastAsia="fr-FR"/>
              </w:rPr>
            </w:pPr>
            <w:r w:rsidRPr="00C13095">
              <w:rPr>
                <w:rFonts w:eastAsia="Times New Roman" w:cs="Arial"/>
                <w:b/>
                <w:sz w:val="22"/>
                <w:lang w:eastAsia="fr-FR"/>
              </w:rPr>
              <w:t>-------</w:t>
            </w:r>
          </w:p>
          <w:p w:rsidR="00C13095" w:rsidRPr="00C13095" w:rsidRDefault="004779C2" w:rsidP="00C11014">
            <w:pPr>
              <w:tabs>
                <w:tab w:val="center" w:pos="4819"/>
                <w:tab w:val="right" w:pos="9071"/>
              </w:tabs>
              <w:spacing w:line="240" w:lineRule="auto"/>
              <w:ind w:right="776"/>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C13095" w:rsidRPr="00C13095" w:rsidRDefault="00F02B00" w:rsidP="00C11014">
            <w:pPr>
              <w:tabs>
                <w:tab w:val="center" w:pos="4819"/>
                <w:tab w:val="right" w:pos="9071"/>
              </w:tabs>
              <w:spacing w:line="240" w:lineRule="auto"/>
              <w:ind w:right="776"/>
              <w:jc w:val="center"/>
              <w:rPr>
                <w:rFonts w:eastAsia="Times New Roman" w:cs="Arial"/>
                <w:b/>
                <w:sz w:val="22"/>
                <w:lang w:eastAsia="fr-FR"/>
              </w:rPr>
            </w:pPr>
            <w:r w:rsidRPr="00C13095">
              <w:rPr>
                <w:rFonts w:eastAsia="Times New Roman" w:cs="Arial"/>
                <w:b/>
                <w:sz w:val="22"/>
                <w:lang w:eastAsia="fr-FR"/>
              </w:rPr>
              <w:t>-------</w:t>
            </w:r>
          </w:p>
          <w:p w:rsidR="00C13095" w:rsidRPr="00C13095" w:rsidRDefault="00F02B00" w:rsidP="00C11014">
            <w:pPr>
              <w:tabs>
                <w:tab w:val="center" w:pos="4819"/>
                <w:tab w:val="right" w:pos="9071"/>
              </w:tabs>
              <w:spacing w:line="240" w:lineRule="auto"/>
              <w:ind w:right="776"/>
              <w:jc w:val="center"/>
              <w:rPr>
                <w:rFonts w:eastAsia="Times New Roman" w:cs="Arial"/>
                <w:sz w:val="22"/>
                <w:lang w:eastAsia="fr-FR"/>
              </w:rPr>
            </w:pPr>
            <w:r w:rsidRPr="00C13095">
              <w:rPr>
                <w:rFonts w:eastAsia="Times New Roman" w:cs="Arial"/>
                <w:sz w:val="22"/>
                <w:lang w:eastAsia="fr-FR"/>
              </w:rPr>
              <w:t xml:space="preserve">Arrêt n° </w:t>
            </w:r>
            <w:r w:rsidR="006636A0">
              <w:rPr>
                <w:rFonts w:eastAsia="Times New Roman" w:cs="Arial"/>
                <w:sz w:val="22"/>
                <w:lang w:eastAsia="fr-FR"/>
              </w:rPr>
              <w:t>72676</w:t>
            </w:r>
          </w:p>
          <w:p w:rsidR="00C13095" w:rsidRPr="00C13095" w:rsidRDefault="005C57E1" w:rsidP="00C11014">
            <w:pPr>
              <w:tabs>
                <w:tab w:val="center" w:pos="4819"/>
                <w:tab w:val="right" w:pos="9071"/>
              </w:tabs>
              <w:spacing w:line="240" w:lineRule="auto"/>
              <w:ind w:right="776"/>
              <w:jc w:val="center"/>
              <w:rPr>
                <w:rFonts w:eastAsia="Times New Roman" w:cs="Arial"/>
                <w:sz w:val="22"/>
                <w:lang w:eastAsia="fr-FR"/>
              </w:rPr>
            </w:pPr>
          </w:p>
          <w:p w:rsidR="00C13095" w:rsidRPr="00C13095" w:rsidRDefault="00F02B00" w:rsidP="00C11014">
            <w:pPr>
              <w:spacing w:line="240" w:lineRule="auto"/>
              <w:ind w:right="776"/>
              <w:jc w:val="center"/>
              <w:rPr>
                <w:rFonts w:eastAsia="Times New Roman" w:cs="Arial"/>
                <w:sz w:val="22"/>
                <w:lang w:eastAsia="fr-FR"/>
              </w:rPr>
            </w:pPr>
            <w:r w:rsidRPr="00C13095">
              <w:rPr>
                <w:rFonts w:eastAsia="Times New Roman" w:cs="Arial"/>
                <w:sz w:val="22"/>
                <w:lang w:eastAsia="fr-FR"/>
              </w:rPr>
              <w:t xml:space="preserve">Audience publique du </w:t>
            </w:r>
            <w:r w:rsidR="0050171F">
              <w:rPr>
                <w:rFonts w:eastAsia="Times New Roman" w:cs="Arial"/>
                <w:sz w:val="22"/>
                <w:lang w:eastAsia="fr-FR"/>
              </w:rPr>
              <w:t>10 septembre</w:t>
            </w:r>
            <w:r w:rsidR="00D61917">
              <w:rPr>
                <w:rFonts w:eastAsia="Times New Roman" w:cs="Arial"/>
                <w:sz w:val="22"/>
                <w:lang w:eastAsia="fr-FR"/>
              </w:rPr>
              <w:t xml:space="preserve"> </w:t>
            </w:r>
            <w:r w:rsidR="002A2A4B">
              <w:rPr>
                <w:rFonts w:eastAsia="Times New Roman" w:cs="Arial"/>
                <w:sz w:val="22"/>
                <w:lang w:eastAsia="fr-FR"/>
              </w:rPr>
              <w:t>2015</w:t>
            </w:r>
          </w:p>
          <w:p w:rsidR="00C13095" w:rsidRPr="00C13095" w:rsidRDefault="005C57E1" w:rsidP="00C11014">
            <w:pPr>
              <w:spacing w:line="240" w:lineRule="auto"/>
              <w:ind w:right="776"/>
              <w:jc w:val="center"/>
              <w:rPr>
                <w:rFonts w:eastAsia="Times New Roman" w:cs="Arial"/>
                <w:sz w:val="22"/>
                <w:lang w:eastAsia="fr-FR"/>
              </w:rPr>
            </w:pPr>
          </w:p>
          <w:p w:rsidR="00C13095" w:rsidRPr="00C13095" w:rsidRDefault="00F02B00" w:rsidP="00C11014">
            <w:pPr>
              <w:spacing w:line="240" w:lineRule="auto"/>
              <w:ind w:right="776"/>
              <w:jc w:val="center"/>
              <w:rPr>
                <w:rFonts w:eastAsia="Times New Roman" w:cs="Arial"/>
                <w:i/>
                <w:sz w:val="22"/>
                <w:lang w:eastAsia="fr-FR"/>
              </w:rPr>
            </w:pPr>
            <w:r w:rsidRPr="00C13095">
              <w:rPr>
                <w:rFonts w:eastAsia="Times New Roman" w:cs="Arial"/>
                <w:sz w:val="22"/>
                <w:lang w:eastAsia="fr-FR"/>
              </w:rPr>
              <w:t xml:space="preserve">Lecture publique du </w:t>
            </w:r>
            <w:r w:rsidR="0050171F">
              <w:rPr>
                <w:rFonts w:eastAsia="Times New Roman" w:cs="Arial"/>
                <w:sz w:val="22"/>
                <w:lang w:eastAsia="fr-FR"/>
              </w:rPr>
              <w:t>15 octobre</w:t>
            </w:r>
            <w:r w:rsidR="004779C2">
              <w:rPr>
                <w:rFonts w:eastAsia="Times New Roman" w:cs="Arial"/>
                <w:sz w:val="22"/>
                <w:lang w:eastAsia="fr-FR"/>
              </w:rPr>
              <w:t xml:space="preserve"> 2015</w:t>
            </w:r>
          </w:p>
          <w:p w:rsidR="00C13095" w:rsidRPr="00C13095" w:rsidRDefault="005C57E1" w:rsidP="00C11014">
            <w:pPr>
              <w:spacing w:line="240" w:lineRule="auto"/>
              <w:ind w:right="776"/>
              <w:jc w:val="center"/>
              <w:rPr>
                <w:rFonts w:eastAsia="Times New Roman" w:cs="Arial"/>
                <w:sz w:val="22"/>
                <w:lang w:eastAsia="fr-FR"/>
              </w:rPr>
            </w:pPr>
          </w:p>
        </w:tc>
        <w:tc>
          <w:tcPr>
            <w:tcW w:w="5211" w:type="dxa"/>
          </w:tcPr>
          <w:p w:rsidR="00D61917" w:rsidRDefault="00B64C77" w:rsidP="004779C2">
            <w:pPr>
              <w:rPr>
                <w:sz w:val="22"/>
              </w:rPr>
            </w:pPr>
            <w:r>
              <w:rPr>
                <w:sz w:val="22"/>
              </w:rPr>
              <w:t xml:space="preserve">ARRETE CONSERVATOIRE </w:t>
            </w:r>
            <w:r w:rsidR="00D61917">
              <w:rPr>
                <w:sz w:val="22"/>
              </w:rPr>
              <w:t>DE DEBET</w:t>
            </w:r>
          </w:p>
          <w:p w:rsidR="004779C2" w:rsidRPr="007F76E8" w:rsidRDefault="00B64C77" w:rsidP="004779C2">
            <w:pPr>
              <w:rPr>
                <w:rFonts w:cs="Arial"/>
                <w:sz w:val="22"/>
              </w:rPr>
            </w:pPr>
            <w:r>
              <w:rPr>
                <w:sz w:val="22"/>
              </w:rPr>
              <w:t xml:space="preserve">DE </w:t>
            </w:r>
            <w:r w:rsidR="002A2A4B">
              <w:rPr>
                <w:sz w:val="22"/>
              </w:rPr>
              <w:t>L’INSTITUT FRANÇAIS D</w:t>
            </w:r>
            <w:r w:rsidR="00D61917">
              <w:rPr>
                <w:sz w:val="22"/>
              </w:rPr>
              <w:t>E PONDICHÉRY (INDE</w:t>
            </w:r>
            <w:r w:rsidR="002A2A4B">
              <w:rPr>
                <w:sz w:val="22"/>
              </w:rPr>
              <w:t>)</w:t>
            </w:r>
          </w:p>
          <w:p w:rsidR="007F76E8" w:rsidRPr="007F76E8" w:rsidRDefault="007F76E8" w:rsidP="004779C2">
            <w:pPr>
              <w:rPr>
                <w:rFonts w:cs="Arial"/>
                <w:sz w:val="22"/>
              </w:rPr>
            </w:pPr>
          </w:p>
          <w:p w:rsidR="007F76E8" w:rsidRPr="007F76E8" w:rsidRDefault="007F76E8" w:rsidP="004779C2">
            <w:pPr>
              <w:rPr>
                <w:rFonts w:cs="Arial"/>
                <w:sz w:val="22"/>
              </w:rPr>
            </w:pPr>
          </w:p>
          <w:p w:rsidR="004779C2" w:rsidRPr="007F76E8" w:rsidRDefault="00B64C77" w:rsidP="004779C2">
            <w:pPr>
              <w:rPr>
                <w:rFonts w:cs="Arial"/>
                <w:sz w:val="22"/>
              </w:rPr>
            </w:pPr>
            <w:r>
              <w:rPr>
                <w:rFonts w:cs="Arial"/>
                <w:sz w:val="22"/>
              </w:rPr>
              <w:t>Exercice 20</w:t>
            </w:r>
            <w:r w:rsidR="00D61917">
              <w:rPr>
                <w:rFonts w:cs="Arial"/>
                <w:sz w:val="22"/>
              </w:rPr>
              <w:t>07</w:t>
            </w:r>
          </w:p>
          <w:p w:rsidR="004779C2" w:rsidRPr="007F76E8" w:rsidRDefault="004779C2" w:rsidP="004779C2">
            <w:pPr>
              <w:rPr>
                <w:rFonts w:cs="Arial"/>
                <w:sz w:val="22"/>
              </w:rPr>
            </w:pPr>
          </w:p>
          <w:p w:rsidR="004779C2" w:rsidRPr="007F76E8" w:rsidRDefault="002A2A4B" w:rsidP="004779C2">
            <w:pPr>
              <w:rPr>
                <w:rFonts w:cs="Arial"/>
                <w:sz w:val="22"/>
              </w:rPr>
            </w:pPr>
            <w:r>
              <w:rPr>
                <w:rFonts w:cs="Arial"/>
                <w:noProof/>
                <w:color w:val="000000"/>
                <w:sz w:val="22"/>
              </w:rPr>
              <w:t>Rapport n° 2015-</w:t>
            </w:r>
            <w:r w:rsidR="00B02E3F">
              <w:rPr>
                <w:rFonts w:cs="Arial"/>
                <w:noProof/>
                <w:color w:val="000000"/>
                <w:sz w:val="22"/>
              </w:rPr>
              <w:t>208-0</w:t>
            </w:r>
          </w:p>
          <w:p w:rsidR="00C13095" w:rsidRPr="00C13095" w:rsidRDefault="005C57E1" w:rsidP="004779C2">
            <w:pPr>
              <w:spacing w:line="240" w:lineRule="auto"/>
              <w:jc w:val="both"/>
              <w:rPr>
                <w:rFonts w:eastAsia="Times New Roman" w:cs="Arial"/>
                <w:sz w:val="22"/>
                <w:lang w:eastAsia="fr-FR"/>
              </w:rPr>
            </w:pPr>
          </w:p>
        </w:tc>
      </w:tr>
    </w:tbl>
    <w:p w:rsidR="00C13095" w:rsidRDefault="005C57E1" w:rsidP="00C13095">
      <w:pPr>
        <w:spacing w:line="240" w:lineRule="auto"/>
        <w:ind w:left="5670"/>
        <w:rPr>
          <w:rFonts w:eastAsia="Times New Roman" w:cs="Arial"/>
          <w:sz w:val="22"/>
          <w:lang w:eastAsia="fr-FR"/>
        </w:rPr>
      </w:pPr>
    </w:p>
    <w:p w:rsidR="00C13095" w:rsidRPr="00C13095" w:rsidRDefault="005C57E1" w:rsidP="00C13095">
      <w:pPr>
        <w:spacing w:line="240" w:lineRule="auto"/>
        <w:ind w:left="5670"/>
        <w:rPr>
          <w:rFonts w:eastAsia="Times New Roman" w:cs="Arial"/>
          <w:sz w:val="22"/>
          <w:lang w:eastAsia="fr-FR"/>
        </w:rPr>
      </w:pPr>
    </w:p>
    <w:p w:rsidR="00C1309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C13095" w:rsidRPr="00BE6831" w:rsidRDefault="005C57E1" w:rsidP="00C13095">
      <w:pPr>
        <w:tabs>
          <w:tab w:val="center" w:pos="9072"/>
        </w:tabs>
        <w:spacing w:line="240" w:lineRule="auto"/>
        <w:jc w:val="center"/>
        <w:rPr>
          <w:rFonts w:eastAsia="Times New Roman" w:cs="Arial"/>
          <w:sz w:val="24"/>
          <w:szCs w:val="24"/>
          <w:lang w:eastAsia="fr-FR"/>
        </w:rPr>
      </w:pPr>
    </w:p>
    <w:p w:rsidR="006B3C58" w:rsidRPr="00BE6831" w:rsidRDefault="006B3C58" w:rsidP="00C13095">
      <w:pPr>
        <w:tabs>
          <w:tab w:val="center" w:pos="9072"/>
        </w:tabs>
        <w:spacing w:line="240" w:lineRule="auto"/>
        <w:jc w:val="center"/>
        <w:rPr>
          <w:rFonts w:eastAsia="Times New Roman" w:cs="Arial"/>
          <w:sz w:val="24"/>
          <w:szCs w:val="24"/>
          <w:lang w:eastAsia="fr-FR"/>
        </w:rPr>
      </w:pP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F76E8" w:rsidRDefault="007F76E8" w:rsidP="007F76E8">
      <w:pPr>
        <w:spacing w:after="80"/>
      </w:pPr>
    </w:p>
    <w:p w:rsidR="00C708CF" w:rsidRDefault="003D58FB" w:rsidP="00677A09">
      <w:pPr>
        <w:spacing w:after="280"/>
        <w:jc w:val="both"/>
        <w:rPr>
          <w:sz w:val="22"/>
        </w:rPr>
      </w:pPr>
      <w:r w:rsidRPr="00365ED7">
        <w:rPr>
          <w:sz w:val="22"/>
        </w:rPr>
        <w:t xml:space="preserve">Vu le réquisitoire </w:t>
      </w:r>
      <w:r w:rsidR="00B64C77">
        <w:rPr>
          <w:sz w:val="22"/>
        </w:rPr>
        <w:t xml:space="preserve">à </w:t>
      </w:r>
      <w:r w:rsidR="00E0378B">
        <w:rPr>
          <w:sz w:val="22"/>
        </w:rPr>
        <w:t>fin d’instruction de charges n° </w:t>
      </w:r>
      <w:r w:rsidR="00B64C77">
        <w:rPr>
          <w:sz w:val="22"/>
        </w:rPr>
        <w:t>2014</w:t>
      </w:r>
      <w:r w:rsidR="00365ED7" w:rsidRPr="00365ED7">
        <w:rPr>
          <w:sz w:val="22"/>
        </w:rPr>
        <w:t>-</w:t>
      </w:r>
      <w:r w:rsidR="00D61917">
        <w:rPr>
          <w:sz w:val="22"/>
        </w:rPr>
        <w:t>60</w:t>
      </w:r>
      <w:r w:rsidR="00365ED7" w:rsidRPr="00365ED7">
        <w:rPr>
          <w:sz w:val="22"/>
        </w:rPr>
        <w:t xml:space="preserve"> </w:t>
      </w:r>
      <w:r w:rsidR="00B64C77">
        <w:rPr>
          <w:sz w:val="22"/>
        </w:rPr>
        <w:t xml:space="preserve">RQ-DB </w:t>
      </w:r>
      <w:r w:rsidR="00365ED7">
        <w:rPr>
          <w:sz w:val="22"/>
        </w:rPr>
        <w:t xml:space="preserve">du </w:t>
      </w:r>
      <w:r w:rsidR="00D61917">
        <w:rPr>
          <w:sz w:val="22"/>
        </w:rPr>
        <w:t>21 mai</w:t>
      </w:r>
      <w:r w:rsidR="002A2A4B">
        <w:rPr>
          <w:sz w:val="22"/>
        </w:rPr>
        <w:t xml:space="preserve"> </w:t>
      </w:r>
      <w:r w:rsidR="00B64C77">
        <w:rPr>
          <w:sz w:val="22"/>
        </w:rPr>
        <w:t>2014</w:t>
      </w:r>
      <w:r w:rsidR="00365ED7">
        <w:rPr>
          <w:sz w:val="22"/>
        </w:rPr>
        <w:t> ;</w:t>
      </w:r>
    </w:p>
    <w:p w:rsidR="00365ED7" w:rsidRPr="00BE6831" w:rsidRDefault="00365ED7" w:rsidP="00365ED7">
      <w:pPr>
        <w:spacing w:after="280"/>
        <w:jc w:val="both"/>
        <w:rPr>
          <w:rFonts w:cs="Arial"/>
          <w:sz w:val="22"/>
        </w:rPr>
      </w:pPr>
      <w:r>
        <w:rPr>
          <w:sz w:val="22"/>
        </w:rPr>
        <w:t xml:space="preserve">Vu </w:t>
      </w:r>
      <w:r w:rsidR="00B64C77">
        <w:rPr>
          <w:sz w:val="22"/>
        </w:rPr>
        <w:t>la notification dudit réquisitoire</w:t>
      </w:r>
      <w:r w:rsidR="002A2A4B">
        <w:rPr>
          <w:sz w:val="22"/>
        </w:rPr>
        <w:t xml:space="preserve"> le </w:t>
      </w:r>
      <w:r w:rsidR="00D61917">
        <w:rPr>
          <w:sz w:val="22"/>
        </w:rPr>
        <w:t>15 janv</w:t>
      </w:r>
      <w:r w:rsidR="002A2A4B">
        <w:rPr>
          <w:sz w:val="22"/>
        </w:rPr>
        <w:t>ier 2015</w:t>
      </w:r>
      <w:r w:rsidR="00B64C77">
        <w:rPr>
          <w:sz w:val="22"/>
        </w:rPr>
        <w:t xml:space="preserve"> à </w:t>
      </w:r>
      <w:r w:rsidR="0020204B">
        <w:rPr>
          <w:sz w:val="22"/>
        </w:rPr>
        <w:t>M. X</w:t>
      </w:r>
      <w:r w:rsidR="00B64C77">
        <w:rPr>
          <w:sz w:val="22"/>
        </w:rPr>
        <w:t xml:space="preserve"> qui en </w:t>
      </w:r>
      <w:r w:rsidR="002A2A4B">
        <w:rPr>
          <w:sz w:val="22"/>
        </w:rPr>
        <w:t xml:space="preserve">a accusé réception le </w:t>
      </w:r>
      <w:r w:rsidR="00D61917">
        <w:rPr>
          <w:sz w:val="22"/>
        </w:rPr>
        <w:t>17 janvier</w:t>
      </w:r>
      <w:r w:rsidR="002A2A4B">
        <w:rPr>
          <w:sz w:val="22"/>
        </w:rPr>
        <w:t xml:space="preserve"> 2015</w:t>
      </w:r>
      <w:r w:rsidR="00B64C77" w:rsidRPr="00CD2304">
        <w:rPr>
          <w:sz w:val="22"/>
        </w:rPr>
        <w:t>,</w:t>
      </w:r>
      <w:r w:rsidR="00CD2304" w:rsidRPr="00CD2304">
        <w:rPr>
          <w:sz w:val="22"/>
        </w:rPr>
        <w:t xml:space="preserve"> et</w:t>
      </w:r>
      <w:r w:rsidR="00B64C77" w:rsidRPr="00CD2304">
        <w:rPr>
          <w:sz w:val="22"/>
        </w:rPr>
        <w:t xml:space="preserve"> </w:t>
      </w:r>
      <w:r w:rsidR="002A2A4B" w:rsidRPr="00CD2304">
        <w:rPr>
          <w:sz w:val="22"/>
        </w:rPr>
        <w:t xml:space="preserve">au directeur </w:t>
      </w:r>
      <w:r w:rsidR="002A2A4B" w:rsidRPr="002A2A4B">
        <w:rPr>
          <w:sz w:val="22"/>
        </w:rPr>
        <w:t xml:space="preserve">de l’institut français </w:t>
      </w:r>
      <w:r w:rsidR="00D61917">
        <w:rPr>
          <w:sz w:val="22"/>
        </w:rPr>
        <w:t xml:space="preserve">de </w:t>
      </w:r>
      <w:r w:rsidR="009933FF">
        <w:rPr>
          <w:sz w:val="22"/>
        </w:rPr>
        <w:t>P</w:t>
      </w:r>
      <w:r w:rsidR="00D61917">
        <w:rPr>
          <w:sz w:val="22"/>
        </w:rPr>
        <w:t>ondichéry</w:t>
      </w:r>
      <w:r w:rsidR="002A2A4B">
        <w:rPr>
          <w:sz w:val="22"/>
        </w:rPr>
        <w:t xml:space="preserve"> </w:t>
      </w:r>
      <w:r w:rsidR="00D61917">
        <w:rPr>
          <w:rFonts w:cs="Arial"/>
          <w:sz w:val="22"/>
        </w:rPr>
        <w:t>qui en a</w:t>
      </w:r>
      <w:r w:rsidR="002A2A4B">
        <w:rPr>
          <w:rFonts w:cs="Arial"/>
          <w:sz w:val="22"/>
        </w:rPr>
        <w:t xml:space="preserve"> accusé réception </w:t>
      </w:r>
      <w:r w:rsidR="00D61917">
        <w:rPr>
          <w:rFonts w:cs="Arial"/>
          <w:sz w:val="22"/>
        </w:rPr>
        <w:t>le 29 janvier 2015</w:t>
      </w:r>
      <w:r w:rsidR="00CD2304">
        <w:rPr>
          <w:rFonts w:cs="Arial"/>
          <w:sz w:val="22"/>
        </w:rPr>
        <w:t> ;</w:t>
      </w:r>
    </w:p>
    <w:p w:rsidR="00365ED7" w:rsidRDefault="007F76E8" w:rsidP="00251668">
      <w:pPr>
        <w:spacing w:after="280"/>
        <w:jc w:val="both"/>
        <w:rPr>
          <w:rFonts w:cs="Arial"/>
          <w:sz w:val="22"/>
        </w:rPr>
      </w:pPr>
      <w:r w:rsidRPr="00BE6831">
        <w:rPr>
          <w:rFonts w:cs="Arial"/>
          <w:sz w:val="22"/>
        </w:rPr>
        <w:t xml:space="preserve">Vu </w:t>
      </w:r>
      <w:r w:rsidR="00B64C77">
        <w:rPr>
          <w:rFonts w:cs="Arial"/>
          <w:sz w:val="22"/>
        </w:rPr>
        <w:t>l’arrêté conservatoire de débet en date du</w:t>
      </w:r>
      <w:r w:rsidR="00C065C7">
        <w:rPr>
          <w:rFonts w:cs="Arial"/>
          <w:sz w:val="22"/>
        </w:rPr>
        <w:t xml:space="preserve"> </w:t>
      </w:r>
      <w:r w:rsidR="00D61917">
        <w:rPr>
          <w:rFonts w:cs="Arial"/>
          <w:sz w:val="22"/>
        </w:rPr>
        <w:t>11 avril 2012</w:t>
      </w:r>
      <w:r w:rsidR="00B64C77">
        <w:rPr>
          <w:rFonts w:cs="Arial"/>
          <w:sz w:val="22"/>
        </w:rPr>
        <w:t xml:space="preserve">, transmis à la Cour le </w:t>
      </w:r>
      <w:r w:rsidR="00901C0D">
        <w:rPr>
          <w:rFonts w:cs="Arial"/>
          <w:sz w:val="22"/>
        </w:rPr>
        <w:t xml:space="preserve">2 juillet 2012, </w:t>
      </w:r>
      <w:r w:rsidR="00B64C77">
        <w:rPr>
          <w:rFonts w:cs="Arial"/>
          <w:sz w:val="22"/>
        </w:rPr>
        <w:t>par lequel le trésorier</w:t>
      </w:r>
      <w:r w:rsidR="00CD2304">
        <w:rPr>
          <w:rFonts w:cs="Arial"/>
          <w:sz w:val="22"/>
        </w:rPr>
        <w:t>-</w:t>
      </w:r>
      <w:r w:rsidR="00B64C77">
        <w:rPr>
          <w:rFonts w:cs="Arial"/>
          <w:sz w:val="22"/>
        </w:rPr>
        <w:t>payeur</w:t>
      </w:r>
      <w:r w:rsidR="00C065C7">
        <w:rPr>
          <w:rFonts w:cs="Arial"/>
          <w:sz w:val="22"/>
        </w:rPr>
        <w:t xml:space="preserve"> général pour l’étranger a mis en jeu la responsabilité de </w:t>
      </w:r>
      <w:r w:rsidR="002A2A4B">
        <w:rPr>
          <w:rFonts w:cs="Arial"/>
          <w:sz w:val="22"/>
        </w:rPr>
        <w:t>M.</w:t>
      </w:r>
      <w:r w:rsidR="006636A0">
        <w:rPr>
          <w:rFonts w:cs="Arial"/>
          <w:sz w:val="22"/>
        </w:rPr>
        <w:t> </w:t>
      </w:r>
      <w:r w:rsidR="0020204B">
        <w:rPr>
          <w:rFonts w:cs="Arial"/>
          <w:sz w:val="22"/>
        </w:rPr>
        <w:t>X</w:t>
      </w:r>
      <w:r w:rsidR="00C065C7">
        <w:rPr>
          <w:rFonts w:cs="Arial"/>
          <w:sz w:val="22"/>
        </w:rPr>
        <w:t xml:space="preserve"> en sa qualité d’agent</w:t>
      </w:r>
      <w:r w:rsidR="00CD2304">
        <w:rPr>
          <w:rFonts w:cs="Arial"/>
          <w:sz w:val="22"/>
        </w:rPr>
        <w:t xml:space="preserve"> </w:t>
      </w:r>
      <w:r w:rsidR="00C065C7">
        <w:rPr>
          <w:rFonts w:cs="Arial"/>
          <w:sz w:val="22"/>
        </w:rPr>
        <w:t>comptable</w:t>
      </w:r>
      <w:r w:rsidR="00794574">
        <w:rPr>
          <w:rFonts w:cs="Arial"/>
          <w:sz w:val="22"/>
        </w:rPr>
        <w:t xml:space="preserve"> de</w:t>
      </w:r>
      <w:r w:rsidR="00C065C7">
        <w:rPr>
          <w:rFonts w:cs="Arial"/>
          <w:sz w:val="22"/>
        </w:rPr>
        <w:t xml:space="preserve"> </w:t>
      </w:r>
      <w:r w:rsidR="002A2A4B" w:rsidRPr="002A2A4B">
        <w:rPr>
          <w:sz w:val="22"/>
        </w:rPr>
        <w:t xml:space="preserve">l’institut français </w:t>
      </w:r>
      <w:r w:rsidR="00D61917">
        <w:rPr>
          <w:sz w:val="22"/>
        </w:rPr>
        <w:t>de Pondichéry</w:t>
      </w:r>
      <w:r w:rsidR="002A2A4B" w:rsidRPr="002A2A4B">
        <w:rPr>
          <w:rFonts w:cs="Arial"/>
          <w:sz w:val="22"/>
        </w:rPr>
        <w:t xml:space="preserve"> </w:t>
      </w:r>
      <w:r w:rsidR="00C065C7">
        <w:rPr>
          <w:rFonts w:cs="Arial"/>
          <w:sz w:val="22"/>
        </w:rPr>
        <w:t>au titre de l’exercice 20</w:t>
      </w:r>
      <w:r w:rsidR="00D61917">
        <w:rPr>
          <w:rFonts w:cs="Arial"/>
          <w:sz w:val="22"/>
        </w:rPr>
        <w:t>07</w:t>
      </w:r>
      <w:r w:rsidR="00C065C7">
        <w:rPr>
          <w:rFonts w:cs="Arial"/>
          <w:sz w:val="22"/>
        </w:rPr>
        <w:t> ;</w:t>
      </w:r>
    </w:p>
    <w:p w:rsidR="007F76E8" w:rsidRPr="00BE6831" w:rsidRDefault="007F76E8" w:rsidP="00251668">
      <w:pPr>
        <w:spacing w:after="280"/>
        <w:jc w:val="both"/>
        <w:rPr>
          <w:rFonts w:cs="Arial"/>
          <w:sz w:val="22"/>
        </w:rPr>
      </w:pPr>
      <w:r w:rsidRPr="00BE6831">
        <w:rPr>
          <w:rFonts w:cs="Arial"/>
          <w:sz w:val="22"/>
        </w:rPr>
        <w:t xml:space="preserve">Vu </w:t>
      </w:r>
      <w:r w:rsidR="00794574">
        <w:rPr>
          <w:rFonts w:cs="Arial"/>
          <w:sz w:val="22"/>
        </w:rPr>
        <w:t xml:space="preserve">le bordereau d’injonctions en date du 21 février 2012 par lequel le </w:t>
      </w:r>
      <w:r w:rsidR="00C065C7">
        <w:rPr>
          <w:rFonts w:cs="Arial"/>
          <w:sz w:val="22"/>
        </w:rPr>
        <w:t>trésorier</w:t>
      </w:r>
      <w:r w:rsidR="00794574">
        <w:rPr>
          <w:rFonts w:cs="Arial"/>
          <w:sz w:val="22"/>
        </w:rPr>
        <w:t>-</w:t>
      </w:r>
      <w:r w:rsidR="00C065C7">
        <w:rPr>
          <w:rFonts w:cs="Arial"/>
          <w:sz w:val="22"/>
        </w:rPr>
        <w:t xml:space="preserve">payeur général pour l’étranger </w:t>
      </w:r>
      <w:r w:rsidR="00794574">
        <w:rPr>
          <w:rFonts w:cs="Arial"/>
          <w:sz w:val="22"/>
        </w:rPr>
        <w:t>a invité M.</w:t>
      </w:r>
      <w:r w:rsidR="006636A0">
        <w:rPr>
          <w:rFonts w:cs="Arial"/>
          <w:sz w:val="22"/>
        </w:rPr>
        <w:t> </w:t>
      </w:r>
      <w:r w:rsidR="0020204B">
        <w:rPr>
          <w:rFonts w:cs="Arial"/>
          <w:sz w:val="22"/>
        </w:rPr>
        <w:t>X</w:t>
      </w:r>
      <w:r w:rsidR="00794574">
        <w:rPr>
          <w:rFonts w:cs="Arial"/>
          <w:sz w:val="22"/>
        </w:rPr>
        <w:t xml:space="preserve"> à produire les justificatifs manquants ou, à défaut, à rapporter la preuve du reversement dans la caisse de l’établissement de la somme de 97 178,77</w:t>
      </w:r>
      <w:r w:rsidR="006636A0">
        <w:rPr>
          <w:rFonts w:cs="Arial"/>
          <w:sz w:val="22"/>
        </w:rPr>
        <w:t> </w:t>
      </w:r>
      <w:r w:rsidR="00794574">
        <w:rPr>
          <w:rFonts w:cs="Arial"/>
          <w:sz w:val="22"/>
        </w:rPr>
        <w:t>roupies indiennes ou toute justification utile à sa décharge</w:t>
      </w:r>
      <w:r w:rsidR="00C065C7">
        <w:rPr>
          <w:rFonts w:cs="Arial"/>
          <w:sz w:val="22"/>
        </w:rPr>
        <w:t>, ensemble les réponses des comptables et les pièces justificatives visées au réquisitoire</w:t>
      </w:r>
      <w:r w:rsidR="00794574">
        <w:rPr>
          <w:rFonts w:cs="Arial"/>
          <w:sz w:val="22"/>
        </w:rPr>
        <w:t xml:space="preserve"> </w:t>
      </w:r>
      <w:r w:rsidR="002A2A4B">
        <w:rPr>
          <w:rFonts w:cs="Arial"/>
          <w:sz w:val="22"/>
        </w:rPr>
        <w:t xml:space="preserve">du </w:t>
      </w:r>
      <w:r w:rsidR="00D61917">
        <w:rPr>
          <w:rFonts w:cs="Arial"/>
          <w:sz w:val="22"/>
        </w:rPr>
        <w:t>21 mai</w:t>
      </w:r>
      <w:r w:rsidR="00C065C7">
        <w:rPr>
          <w:rFonts w:cs="Arial"/>
          <w:sz w:val="22"/>
        </w:rPr>
        <w:t xml:space="preserve"> 201</w:t>
      </w:r>
      <w:r w:rsidR="00CD2304">
        <w:rPr>
          <w:rFonts w:cs="Arial"/>
          <w:sz w:val="22"/>
        </w:rPr>
        <w:t>4 ;</w:t>
      </w:r>
    </w:p>
    <w:p w:rsidR="003661E1" w:rsidRDefault="003661E1" w:rsidP="00251668">
      <w:pPr>
        <w:spacing w:after="280"/>
        <w:jc w:val="both"/>
        <w:rPr>
          <w:rFonts w:cs="Arial"/>
          <w:sz w:val="22"/>
        </w:rPr>
      </w:pPr>
      <w:r>
        <w:rPr>
          <w:rFonts w:cs="Arial"/>
          <w:sz w:val="22"/>
        </w:rPr>
        <w:t>Vu le code des juridictions financières ;</w:t>
      </w:r>
    </w:p>
    <w:p w:rsidR="007F76E8" w:rsidRDefault="007F76E8" w:rsidP="00251668">
      <w:pPr>
        <w:spacing w:after="280"/>
        <w:jc w:val="both"/>
        <w:rPr>
          <w:rFonts w:cs="Arial"/>
          <w:sz w:val="22"/>
        </w:rPr>
      </w:pPr>
      <w:r w:rsidRPr="00BE6831">
        <w:rPr>
          <w:rFonts w:cs="Arial"/>
          <w:sz w:val="22"/>
        </w:rPr>
        <w:t>Vu l’article 60 de la loi de finances n°</w:t>
      </w:r>
      <w:r w:rsidR="00411920">
        <w:rPr>
          <w:rFonts w:cs="Arial"/>
          <w:sz w:val="22"/>
        </w:rPr>
        <w:t> </w:t>
      </w:r>
      <w:r w:rsidRPr="00BE6831">
        <w:rPr>
          <w:rFonts w:cs="Arial"/>
          <w:sz w:val="22"/>
        </w:rPr>
        <w:t>63-156 du 23 février 1963</w:t>
      </w:r>
      <w:r w:rsidR="009933FF">
        <w:rPr>
          <w:rFonts w:cs="Arial"/>
          <w:sz w:val="22"/>
        </w:rPr>
        <w:t>, dans sa rédaction applicable avant l’entrée en vigueur de l’article 90 de la loi n° 2011-1978 du 28 décembre 2011 de finances rectificatives pour 2011</w:t>
      </w:r>
      <w:r w:rsidR="00CD2304">
        <w:rPr>
          <w:rFonts w:cs="Arial"/>
          <w:sz w:val="22"/>
        </w:rPr>
        <w:t> ;</w:t>
      </w:r>
    </w:p>
    <w:p w:rsidR="009933FF" w:rsidRPr="00BE6831" w:rsidRDefault="009933FF" w:rsidP="00251668">
      <w:pPr>
        <w:spacing w:after="280"/>
        <w:jc w:val="both"/>
        <w:rPr>
          <w:rFonts w:cs="Arial"/>
          <w:sz w:val="22"/>
        </w:rPr>
      </w:pPr>
      <w:r>
        <w:rPr>
          <w:rFonts w:cs="Arial"/>
          <w:sz w:val="22"/>
        </w:rPr>
        <w:t>Vu la loi n° 2011-1978 du 28 décembre 2011 de finances rectificatives pour 2011, notamment le II de l’article 90 ;</w:t>
      </w:r>
    </w:p>
    <w:p w:rsidR="002E2139" w:rsidRDefault="002E2139" w:rsidP="00251668">
      <w:pPr>
        <w:spacing w:after="280"/>
        <w:jc w:val="both"/>
        <w:rPr>
          <w:rFonts w:cs="Arial"/>
          <w:sz w:val="22"/>
        </w:rPr>
      </w:pPr>
      <w:r>
        <w:rPr>
          <w:rFonts w:cs="Arial"/>
          <w:sz w:val="22"/>
        </w:rPr>
        <w:t xml:space="preserve">Vu </w:t>
      </w:r>
      <w:r w:rsidR="006D2BC8">
        <w:rPr>
          <w:rFonts w:cs="Arial"/>
          <w:sz w:val="22"/>
        </w:rPr>
        <w:t>le courrier en date du 29 janvier 2015 par lequel</w:t>
      </w:r>
      <w:r>
        <w:rPr>
          <w:rFonts w:cs="Arial"/>
          <w:sz w:val="22"/>
        </w:rPr>
        <w:t xml:space="preserve"> M. </w:t>
      </w:r>
      <w:r w:rsidR="0020204B">
        <w:rPr>
          <w:rFonts w:cs="Arial"/>
          <w:sz w:val="22"/>
        </w:rPr>
        <w:t>X</w:t>
      </w:r>
      <w:r w:rsidR="006D2BC8">
        <w:rPr>
          <w:rFonts w:cs="Arial"/>
          <w:sz w:val="22"/>
        </w:rPr>
        <w:t xml:space="preserve"> a transmis à la Cour la copie de ses observations adressées le 1</w:t>
      </w:r>
      <w:r w:rsidR="006D2BC8" w:rsidRPr="006D2BC8">
        <w:rPr>
          <w:rFonts w:cs="Arial"/>
          <w:sz w:val="22"/>
          <w:vertAlign w:val="superscript"/>
        </w:rPr>
        <w:t>er</w:t>
      </w:r>
      <w:r w:rsidR="006D2BC8">
        <w:rPr>
          <w:rFonts w:cs="Arial"/>
          <w:sz w:val="22"/>
        </w:rPr>
        <w:t xml:space="preserve"> mars 2012 au trésorier-payeur général pour l’étranger</w:t>
      </w:r>
      <w:r>
        <w:rPr>
          <w:rFonts w:cs="Arial"/>
          <w:sz w:val="22"/>
        </w:rPr>
        <w:t> ;</w:t>
      </w:r>
    </w:p>
    <w:p w:rsidR="007F76E8" w:rsidRDefault="007F76E8" w:rsidP="00251668">
      <w:pPr>
        <w:spacing w:after="280"/>
        <w:jc w:val="both"/>
        <w:rPr>
          <w:rFonts w:cs="Arial"/>
          <w:sz w:val="22"/>
        </w:rPr>
      </w:pPr>
      <w:r w:rsidRPr="00BE6831">
        <w:rPr>
          <w:rFonts w:cs="Arial"/>
          <w:sz w:val="22"/>
        </w:rPr>
        <w:t>Vu le décret n°</w:t>
      </w:r>
      <w:r w:rsidR="00411920">
        <w:rPr>
          <w:rFonts w:cs="Arial"/>
          <w:sz w:val="22"/>
        </w:rPr>
        <w:t> </w:t>
      </w:r>
      <w:r w:rsidRPr="00BE6831">
        <w:rPr>
          <w:rFonts w:cs="Arial"/>
          <w:sz w:val="22"/>
        </w:rPr>
        <w:t>62-1587 du 29 décembre 1962 modifié portant règlement général sur la comptabilité publique, en vigueur au moment des faits ;</w:t>
      </w:r>
    </w:p>
    <w:p w:rsidR="00C11014" w:rsidRDefault="00C11014" w:rsidP="00251668">
      <w:pPr>
        <w:spacing w:after="280"/>
        <w:jc w:val="both"/>
        <w:rPr>
          <w:rFonts w:cs="Arial"/>
          <w:sz w:val="22"/>
        </w:rPr>
      </w:pPr>
    </w:p>
    <w:p w:rsidR="00C065C7" w:rsidRDefault="008C50C1" w:rsidP="00251668">
      <w:pPr>
        <w:spacing w:after="280"/>
        <w:jc w:val="both"/>
        <w:rPr>
          <w:rFonts w:cs="Arial"/>
          <w:sz w:val="22"/>
        </w:rPr>
      </w:pPr>
      <w:r>
        <w:rPr>
          <w:rFonts w:cs="Arial"/>
          <w:sz w:val="22"/>
        </w:rPr>
        <w:t>Vu le décret n° </w:t>
      </w:r>
      <w:r w:rsidR="00C065C7">
        <w:rPr>
          <w:rFonts w:cs="Arial"/>
          <w:sz w:val="22"/>
        </w:rPr>
        <w:t>2008-228 du 5 mars 2008 relatif à la constatation et à l’apurement des débets des comptables publics et assimilés ;</w:t>
      </w:r>
    </w:p>
    <w:p w:rsidR="00C065C7" w:rsidRDefault="00C065C7" w:rsidP="00251668">
      <w:pPr>
        <w:spacing w:after="280"/>
        <w:jc w:val="both"/>
        <w:rPr>
          <w:rFonts w:cs="Arial"/>
          <w:sz w:val="22"/>
        </w:rPr>
      </w:pPr>
      <w:r>
        <w:rPr>
          <w:rFonts w:cs="Arial"/>
          <w:sz w:val="22"/>
        </w:rPr>
        <w:t>Vu les lois et règlements applicables aux établissements de diffusion culturelle à l’étranger do</w:t>
      </w:r>
      <w:r w:rsidR="008C50C1">
        <w:rPr>
          <w:rFonts w:cs="Arial"/>
          <w:sz w:val="22"/>
        </w:rPr>
        <w:t>tés de l’autonomie financière, notamment le décret n° </w:t>
      </w:r>
      <w:r>
        <w:rPr>
          <w:rFonts w:cs="Arial"/>
          <w:sz w:val="22"/>
        </w:rPr>
        <w:t xml:space="preserve">76-832 du 24 août 1976 </w:t>
      </w:r>
      <w:r w:rsidR="008C50C1">
        <w:rPr>
          <w:rFonts w:cs="Arial"/>
          <w:sz w:val="22"/>
        </w:rPr>
        <w:t xml:space="preserve">modifié </w:t>
      </w:r>
      <w:r>
        <w:rPr>
          <w:rFonts w:cs="Arial"/>
          <w:sz w:val="22"/>
        </w:rPr>
        <w:t>relatif à l’organisation financière de certains établissements ou organismes de diffusion culturelle dépendant du ministère des affaires étrangères ou du ministère de la coopération ;</w:t>
      </w:r>
    </w:p>
    <w:p w:rsidR="00C065C7" w:rsidRPr="00BE6831" w:rsidRDefault="00C065C7" w:rsidP="00251668">
      <w:pPr>
        <w:spacing w:after="280"/>
        <w:jc w:val="both"/>
        <w:rPr>
          <w:rFonts w:cs="Arial"/>
          <w:sz w:val="22"/>
        </w:rPr>
      </w:pPr>
      <w:r>
        <w:rPr>
          <w:rFonts w:cs="Arial"/>
          <w:sz w:val="22"/>
        </w:rPr>
        <w:t>Vu l’instruction M</w:t>
      </w:r>
      <w:r w:rsidR="008C50C1">
        <w:rPr>
          <w:rFonts w:cs="Arial"/>
          <w:sz w:val="22"/>
        </w:rPr>
        <w:t> </w:t>
      </w:r>
      <w:r>
        <w:rPr>
          <w:rFonts w:cs="Arial"/>
          <w:sz w:val="22"/>
        </w:rPr>
        <w:t>9-7 sur l’organisation financière et comptable</w:t>
      </w:r>
      <w:r w:rsidR="00055973">
        <w:rPr>
          <w:rFonts w:cs="Arial"/>
          <w:sz w:val="22"/>
        </w:rPr>
        <w:t xml:space="preserve"> de</w:t>
      </w:r>
      <w:r w:rsidR="00055973" w:rsidRPr="00055973">
        <w:rPr>
          <w:rFonts w:cs="Arial"/>
          <w:sz w:val="22"/>
        </w:rPr>
        <w:t>s établissements ou organismes de diffusion culturelle</w:t>
      </w:r>
      <w:r w:rsidR="00055973">
        <w:rPr>
          <w:rFonts w:cs="Arial"/>
          <w:sz w:val="22"/>
        </w:rPr>
        <w:t xml:space="preserve"> à l’étranger ;</w:t>
      </w:r>
    </w:p>
    <w:p w:rsidR="007F76E8" w:rsidRPr="00BE6831" w:rsidRDefault="007F76E8" w:rsidP="00251668">
      <w:pPr>
        <w:spacing w:after="280"/>
        <w:jc w:val="both"/>
        <w:rPr>
          <w:rFonts w:cs="Arial"/>
          <w:sz w:val="22"/>
        </w:rPr>
      </w:pPr>
      <w:r w:rsidRPr="00BE6831">
        <w:rPr>
          <w:rFonts w:cs="Arial"/>
          <w:sz w:val="22"/>
        </w:rPr>
        <w:t xml:space="preserve">Vu le rapport de M. </w:t>
      </w:r>
      <w:r w:rsidR="003D58FB">
        <w:rPr>
          <w:rFonts w:cs="Arial"/>
          <w:sz w:val="22"/>
        </w:rPr>
        <w:t>Yves Rolland</w:t>
      </w:r>
      <w:r w:rsidRPr="00BE6831">
        <w:rPr>
          <w:rFonts w:cs="Arial"/>
          <w:sz w:val="22"/>
        </w:rPr>
        <w:t>, conseiller maître ;</w:t>
      </w:r>
    </w:p>
    <w:p w:rsidR="007F76E8" w:rsidRPr="00BE6831" w:rsidRDefault="007F76E8" w:rsidP="00251668">
      <w:pPr>
        <w:spacing w:after="280"/>
        <w:jc w:val="both"/>
        <w:rPr>
          <w:rFonts w:cs="Arial"/>
          <w:sz w:val="22"/>
        </w:rPr>
      </w:pPr>
      <w:r w:rsidRPr="00BE6831">
        <w:rPr>
          <w:rFonts w:cs="Arial"/>
          <w:sz w:val="22"/>
        </w:rPr>
        <w:t>V</w:t>
      </w:r>
      <w:r w:rsidR="00CA2B9B">
        <w:rPr>
          <w:rFonts w:cs="Arial"/>
          <w:sz w:val="22"/>
        </w:rPr>
        <w:t>u</w:t>
      </w:r>
      <w:r w:rsidRPr="00BE6831">
        <w:rPr>
          <w:rFonts w:cs="Arial"/>
          <w:sz w:val="22"/>
        </w:rPr>
        <w:t xml:space="preserve"> les conclusions du Procureur général </w:t>
      </w:r>
      <w:r w:rsidR="008F0F94">
        <w:rPr>
          <w:rFonts w:cs="Arial"/>
          <w:sz w:val="22"/>
        </w:rPr>
        <w:t>n°</w:t>
      </w:r>
      <w:r w:rsidR="00B44B22">
        <w:rPr>
          <w:rFonts w:cs="Arial"/>
          <w:sz w:val="22"/>
        </w:rPr>
        <w:t> </w:t>
      </w:r>
      <w:r w:rsidR="00792785">
        <w:rPr>
          <w:rFonts w:cs="Arial"/>
          <w:sz w:val="22"/>
        </w:rPr>
        <w:t xml:space="preserve">424 </w:t>
      </w:r>
      <w:r w:rsidR="003D58FB">
        <w:rPr>
          <w:rFonts w:cs="Arial"/>
          <w:sz w:val="22"/>
        </w:rPr>
        <w:t xml:space="preserve">du </w:t>
      </w:r>
      <w:r w:rsidR="00792785">
        <w:rPr>
          <w:rFonts w:cs="Arial"/>
          <w:sz w:val="22"/>
        </w:rPr>
        <w:t>1</w:t>
      </w:r>
      <w:r w:rsidR="00792785" w:rsidRPr="00792785">
        <w:rPr>
          <w:rFonts w:cs="Arial"/>
          <w:sz w:val="22"/>
          <w:vertAlign w:val="superscript"/>
        </w:rPr>
        <w:t>er</w:t>
      </w:r>
      <w:r w:rsidR="00792785">
        <w:rPr>
          <w:rFonts w:cs="Arial"/>
          <w:sz w:val="22"/>
        </w:rPr>
        <w:t xml:space="preserve"> juillet </w:t>
      </w:r>
      <w:r w:rsidR="008F0F94">
        <w:rPr>
          <w:rFonts w:cs="Arial"/>
          <w:sz w:val="22"/>
        </w:rPr>
        <w:t>2015</w:t>
      </w:r>
      <w:r w:rsidR="00C11014">
        <w:rPr>
          <w:rFonts w:cs="Arial"/>
          <w:sz w:val="22"/>
        </w:rPr>
        <w:t> ;</w:t>
      </w:r>
    </w:p>
    <w:p w:rsidR="007F76E8" w:rsidRPr="00BE6831" w:rsidRDefault="007F76E8" w:rsidP="00251668">
      <w:pPr>
        <w:spacing w:after="280"/>
        <w:jc w:val="both"/>
        <w:rPr>
          <w:rFonts w:cs="Arial"/>
          <w:sz w:val="22"/>
        </w:rPr>
      </w:pPr>
      <w:r w:rsidRPr="00BE6831">
        <w:rPr>
          <w:rFonts w:cs="Arial"/>
          <w:sz w:val="22"/>
        </w:rPr>
        <w:t>Entendu, lors de l’audience publique de ce jour, M.</w:t>
      </w:r>
      <w:r w:rsidR="007B71CF">
        <w:rPr>
          <w:rFonts w:cs="Arial"/>
          <w:sz w:val="22"/>
        </w:rPr>
        <w:t xml:space="preserve"> </w:t>
      </w:r>
      <w:r w:rsidR="003D58FB">
        <w:rPr>
          <w:rFonts w:cs="Arial"/>
          <w:sz w:val="22"/>
        </w:rPr>
        <w:t>Yves Rolland</w:t>
      </w:r>
      <w:r w:rsidRPr="00BE6831">
        <w:rPr>
          <w:rFonts w:cs="Arial"/>
          <w:sz w:val="22"/>
        </w:rPr>
        <w:t xml:space="preserve">, </w:t>
      </w:r>
      <w:r w:rsidR="0039517C">
        <w:rPr>
          <w:rFonts w:cs="Arial"/>
          <w:sz w:val="22"/>
        </w:rPr>
        <w:t xml:space="preserve">conseiller maître, </w:t>
      </w:r>
      <w:r w:rsidRPr="00BE6831">
        <w:rPr>
          <w:rFonts w:cs="Arial"/>
          <w:sz w:val="22"/>
        </w:rPr>
        <w:t xml:space="preserve">en son rapport, </w:t>
      </w:r>
      <w:r w:rsidRPr="0039517C">
        <w:rPr>
          <w:rFonts w:cs="Arial"/>
          <w:sz w:val="22"/>
        </w:rPr>
        <w:t xml:space="preserve">M. </w:t>
      </w:r>
      <w:r w:rsidR="0050171F">
        <w:rPr>
          <w:rFonts w:cs="Arial"/>
          <w:sz w:val="22"/>
        </w:rPr>
        <w:t>Michaut</w:t>
      </w:r>
      <w:r w:rsidRPr="0039517C">
        <w:rPr>
          <w:rFonts w:cs="Arial"/>
          <w:sz w:val="22"/>
        </w:rPr>
        <w:t>, avocat général, en les conclusions du ministère public</w:t>
      </w:r>
      <w:r w:rsidR="00895159">
        <w:rPr>
          <w:rFonts w:cs="Arial"/>
          <w:sz w:val="22"/>
        </w:rPr>
        <w:t> </w:t>
      </w:r>
      <w:r w:rsidRPr="0039517C">
        <w:rPr>
          <w:rFonts w:cs="Arial"/>
          <w:sz w:val="22"/>
        </w:rPr>
        <w:t>;</w:t>
      </w:r>
    </w:p>
    <w:p w:rsidR="007F76E8" w:rsidRDefault="007F76E8" w:rsidP="00251668">
      <w:pPr>
        <w:spacing w:after="280"/>
        <w:jc w:val="both"/>
        <w:rPr>
          <w:rFonts w:cs="Arial"/>
          <w:sz w:val="22"/>
        </w:rPr>
      </w:pPr>
      <w:r w:rsidRPr="0039517C">
        <w:rPr>
          <w:rFonts w:cs="Arial"/>
          <w:sz w:val="22"/>
        </w:rPr>
        <w:t xml:space="preserve">Entendu, en délibéré, </w:t>
      </w:r>
      <w:r w:rsidR="00C11014" w:rsidRPr="00C11014">
        <w:rPr>
          <w:rFonts w:cs="Arial"/>
          <w:sz w:val="22"/>
        </w:rPr>
        <w:t>M</w:t>
      </w:r>
      <w:r w:rsidR="00C11014" w:rsidRPr="00C11014">
        <w:rPr>
          <w:rFonts w:cs="Arial"/>
          <w:sz w:val="22"/>
          <w:vertAlign w:val="superscript"/>
        </w:rPr>
        <w:t>me</w:t>
      </w:r>
      <w:r w:rsidR="00C11014">
        <w:rPr>
          <w:rFonts w:cs="Arial"/>
          <w:sz w:val="22"/>
        </w:rPr>
        <w:t> </w:t>
      </w:r>
      <w:r w:rsidR="007B71CF">
        <w:rPr>
          <w:rFonts w:cs="Arial"/>
          <w:sz w:val="22"/>
        </w:rPr>
        <w:t xml:space="preserve">Isabelle </w:t>
      </w:r>
      <w:proofErr w:type="spellStart"/>
      <w:r w:rsidR="007B71CF">
        <w:rPr>
          <w:rFonts w:cs="Arial"/>
          <w:sz w:val="22"/>
        </w:rPr>
        <w:t>Latournarie</w:t>
      </w:r>
      <w:proofErr w:type="spellEnd"/>
      <w:r w:rsidR="007B71CF">
        <w:rPr>
          <w:rFonts w:cs="Arial"/>
          <w:sz w:val="22"/>
        </w:rPr>
        <w:t>-Willems</w:t>
      </w:r>
      <w:r w:rsidR="008F0F94" w:rsidRPr="0039517C">
        <w:rPr>
          <w:rFonts w:cs="Arial"/>
          <w:sz w:val="22"/>
        </w:rPr>
        <w:t xml:space="preserve">, </w:t>
      </w:r>
      <w:r w:rsidR="007B71CF">
        <w:rPr>
          <w:rFonts w:cs="Arial"/>
          <w:sz w:val="22"/>
        </w:rPr>
        <w:t>conseillè</w:t>
      </w:r>
      <w:r w:rsidR="008F0F94" w:rsidRPr="0039517C">
        <w:rPr>
          <w:rFonts w:cs="Arial"/>
          <w:sz w:val="22"/>
        </w:rPr>
        <w:t>r</w:t>
      </w:r>
      <w:r w:rsidR="007B71CF">
        <w:rPr>
          <w:rFonts w:cs="Arial"/>
          <w:sz w:val="22"/>
        </w:rPr>
        <w:t xml:space="preserve">e </w:t>
      </w:r>
      <w:r w:rsidR="008F0F94" w:rsidRPr="0039517C">
        <w:rPr>
          <w:rFonts w:cs="Arial"/>
          <w:sz w:val="22"/>
        </w:rPr>
        <w:t>maître</w:t>
      </w:r>
      <w:r w:rsidRPr="0039517C">
        <w:rPr>
          <w:rFonts w:cs="Arial"/>
          <w:sz w:val="22"/>
        </w:rPr>
        <w:t>, en ses observations ;</w:t>
      </w:r>
    </w:p>
    <w:p w:rsidR="00DE32E4" w:rsidRPr="000B4FED" w:rsidRDefault="000B4FED" w:rsidP="00251668">
      <w:pPr>
        <w:spacing w:after="280"/>
        <w:jc w:val="both"/>
        <w:rPr>
          <w:rFonts w:cs="Arial"/>
          <w:b/>
          <w:sz w:val="22"/>
        </w:rPr>
      </w:pPr>
      <w:r w:rsidRPr="000B4FED">
        <w:rPr>
          <w:rFonts w:cs="Arial"/>
          <w:b/>
          <w:sz w:val="22"/>
        </w:rPr>
        <w:t>Sur le régime de responsabilité</w:t>
      </w:r>
      <w:r>
        <w:rPr>
          <w:rFonts w:cs="Arial"/>
          <w:b/>
          <w:sz w:val="22"/>
        </w:rPr>
        <w:t xml:space="preserve"> applicable</w:t>
      </w:r>
    </w:p>
    <w:p w:rsidR="002B443B" w:rsidRDefault="00DE32E4" w:rsidP="00D61917">
      <w:pPr>
        <w:spacing w:after="280"/>
        <w:jc w:val="both"/>
        <w:rPr>
          <w:rFonts w:cs="Arial"/>
          <w:sz w:val="22"/>
        </w:rPr>
      </w:pPr>
      <w:r>
        <w:rPr>
          <w:rFonts w:cs="Arial"/>
          <w:sz w:val="22"/>
        </w:rPr>
        <w:t xml:space="preserve">Attendu </w:t>
      </w:r>
      <w:r w:rsidR="00D61917">
        <w:rPr>
          <w:rFonts w:cs="Arial"/>
          <w:sz w:val="22"/>
        </w:rPr>
        <w:t>que l’article 90 de la loi du 28 décembre 2011</w:t>
      </w:r>
      <w:r w:rsidR="00E90335">
        <w:rPr>
          <w:rFonts w:cs="Arial"/>
          <w:sz w:val="22"/>
        </w:rPr>
        <w:t xml:space="preserve"> susvisée </w:t>
      </w:r>
      <w:r w:rsidR="00D61917">
        <w:rPr>
          <w:rFonts w:cs="Arial"/>
          <w:sz w:val="22"/>
        </w:rPr>
        <w:t>a défini des règles nouvelles pour la mise</w:t>
      </w:r>
      <w:r w:rsidR="002B443B">
        <w:rPr>
          <w:rFonts w:cs="Arial"/>
          <w:sz w:val="22"/>
        </w:rPr>
        <w:t xml:space="preserve"> en jeu </w:t>
      </w:r>
      <w:r w:rsidR="00DF5BEF">
        <w:rPr>
          <w:rFonts w:cs="Arial"/>
          <w:sz w:val="22"/>
        </w:rPr>
        <w:t xml:space="preserve">de </w:t>
      </w:r>
      <w:r w:rsidR="00E90335">
        <w:rPr>
          <w:rFonts w:cs="Arial"/>
          <w:sz w:val="22"/>
        </w:rPr>
        <w:t>l</w:t>
      </w:r>
      <w:r w:rsidR="002B443B">
        <w:rPr>
          <w:rFonts w:cs="Arial"/>
          <w:sz w:val="22"/>
        </w:rPr>
        <w:t>a responsabilité</w:t>
      </w:r>
      <w:r w:rsidR="00E90335">
        <w:rPr>
          <w:rFonts w:cs="Arial"/>
          <w:sz w:val="22"/>
        </w:rPr>
        <w:t xml:space="preserve"> personnelle et</w:t>
      </w:r>
      <w:r w:rsidR="002B443B">
        <w:rPr>
          <w:rFonts w:cs="Arial"/>
          <w:sz w:val="22"/>
        </w:rPr>
        <w:t xml:space="preserve"> pécuniaire</w:t>
      </w:r>
      <w:r w:rsidR="00E90335">
        <w:rPr>
          <w:rFonts w:cs="Arial"/>
          <w:sz w:val="22"/>
        </w:rPr>
        <w:t xml:space="preserve"> </w:t>
      </w:r>
      <w:r w:rsidR="00D61917">
        <w:rPr>
          <w:rFonts w:cs="Arial"/>
          <w:sz w:val="22"/>
        </w:rPr>
        <w:t>des comptables</w:t>
      </w:r>
      <w:r w:rsidR="00C11014">
        <w:rPr>
          <w:rFonts w:cs="Arial"/>
          <w:sz w:val="22"/>
        </w:rPr>
        <w:t> </w:t>
      </w:r>
      <w:r w:rsidR="002B443B">
        <w:rPr>
          <w:rFonts w:cs="Arial"/>
          <w:sz w:val="22"/>
        </w:rPr>
        <w:t>;</w:t>
      </w:r>
      <w:r w:rsidR="00D61917">
        <w:rPr>
          <w:rFonts w:cs="Arial"/>
          <w:sz w:val="22"/>
        </w:rPr>
        <w:t xml:space="preserve"> que le II </w:t>
      </w:r>
      <w:r w:rsidR="00E90335">
        <w:rPr>
          <w:rFonts w:cs="Arial"/>
          <w:sz w:val="22"/>
        </w:rPr>
        <w:t xml:space="preserve"> du même </w:t>
      </w:r>
      <w:r w:rsidR="00D61917">
        <w:rPr>
          <w:rFonts w:cs="Arial"/>
          <w:sz w:val="22"/>
        </w:rPr>
        <w:t>article dispose que le nouveau régime de responsabilité des comptables publics « </w:t>
      </w:r>
      <w:r w:rsidR="00D61917" w:rsidRPr="00D61917">
        <w:rPr>
          <w:rFonts w:cs="Arial"/>
          <w:i/>
          <w:sz w:val="22"/>
        </w:rPr>
        <w:t>entre en vigueur le 1</w:t>
      </w:r>
      <w:r w:rsidR="00D61917" w:rsidRPr="00D61917">
        <w:rPr>
          <w:rFonts w:cs="Arial"/>
          <w:i/>
          <w:sz w:val="22"/>
          <w:vertAlign w:val="superscript"/>
        </w:rPr>
        <w:t>er</w:t>
      </w:r>
      <w:r w:rsidR="00D61917" w:rsidRPr="00D61917">
        <w:rPr>
          <w:rFonts w:cs="Arial"/>
          <w:i/>
          <w:sz w:val="22"/>
        </w:rPr>
        <w:t xml:space="preserve"> juillet</w:t>
      </w:r>
      <w:r w:rsidR="00C11014">
        <w:rPr>
          <w:rFonts w:cs="Arial"/>
          <w:i/>
          <w:sz w:val="22"/>
        </w:rPr>
        <w:t xml:space="preserve"> </w:t>
      </w:r>
      <w:r w:rsidR="00D61917" w:rsidRPr="00D61917">
        <w:rPr>
          <w:rFonts w:cs="Arial"/>
          <w:i/>
          <w:sz w:val="22"/>
        </w:rPr>
        <w:t>2012</w:t>
      </w:r>
      <w:r w:rsidR="00D61917">
        <w:rPr>
          <w:rFonts w:cs="Arial"/>
          <w:sz w:val="22"/>
        </w:rPr>
        <w:t> » et que « </w:t>
      </w:r>
      <w:r w:rsidR="00D61917" w:rsidRPr="00D61917">
        <w:rPr>
          <w:rFonts w:cs="Arial"/>
          <w:i/>
          <w:sz w:val="22"/>
        </w:rPr>
        <w:t>les déficits ayant fait l’objet d’un premier acte de mise en jeu de la responsabilité d’un comptable public ou d’un régisseur avant cette date demeurent régis par les dispositions antérieures</w:t>
      </w:r>
      <w:r w:rsidR="00D61917">
        <w:rPr>
          <w:rFonts w:cs="Arial"/>
          <w:sz w:val="22"/>
        </w:rPr>
        <w:t> » ;</w:t>
      </w:r>
    </w:p>
    <w:p w:rsidR="00D61917" w:rsidRDefault="00D61917" w:rsidP="00D61917">
      <w:pPr>
        <w:spacing w:after="280"/>
        <w:jc w:val="both"/>
        <w:rPr>
          <w:rFonts w:cs="Arial"/>
          <w:sz w:val="22"/>
        </w:rPr>
      </w:pPr>
      <w:r>
        <w:rPr>
          <w:rFonts w:cs="Arial"/>
          <w:sz w:val="22"/>
        </w:rPr>
        <w:t xml:space="preserve">Attendu que, pour les agents comptables des instituts français à l’étranger dont les comptes sont apurés par le trésorier-payeur général pour l’étranger, le premier acte de mise en jeu de leur responsabilité est la </w:t>
      </w:r>
      <w:r w:rsidRPr="00EE03F3">
        <w:rPr>
          <w:rFonts w:cs="Arial"/>
          <w:sz w:val="22"/>
        </w:rPr>
        <w:t>notification d’injonctions</w:t>
      </w:r>
      <w:r>
        <w:rPr>
          <w:rFonts w:cs="Arial"/>
          <w:sz w:val="22"/>
        </w:rPr>
        <w:t xml:space="preserve"> par le trésorier-payeur général ;</w:t>
      </w:r>
    </w:p>
    <w:p w:rsidR="00D61917" w:rsidRDefault="00D61917" w:rsidP="00D61917">
      <w:pPr>
        <w:spacing w:after="280"/>
        <w:jc w:val="both"/>
        <w:rPr>
          <w:rFonts w:cs="Arial"/>
          <w:sz w:val="22"/>
        </w:rPr>
      </w:pPr>
      <w:r>
        <w:rPr>
          <w:rFonts w:cs="Arial"/>
          <w:sz w:val="22"/>
        </w:rPr>
        <w:t>Attendu que l’injonction notifiée à M.</w:t>
      </w:r>
      <w:r w:rsidR="006636A0">
        <w:rPr>
          <w:rFonts w:cs="Arial"/>
          <w:sz w:val="22"/>
        </w:rPr>
        <w:t> </w:t>
      </w:r>
      <w:r w:rsidR="0020204B">
        <w:rPr>
          <w:rFonts w:cs="Arial"/>
          <w:sz w:val="22"/>
        </w:rPr>
        <w:t>X</w:t>
      </w:r>
      <w:r>
        <w:rPr>
          <w:rFonts w:cs="Arial"/>
          <w:sz w:val="22"/>
        </w:rPr>
        <w:t xml:space="preserve"> au titre de l’exercice 2007 l’a été avant le 1</w:t>
      </w:r>
      <w:r w:rsidRPr="00D61917">
        <w:rPr>
          <w:rFonts w:cs="Arial"/>
          <w:sz w:val="22"/>
          <w:vertAlign w:val="superscript"/>
        </w:rPr>
        <w:t>er</w:t>
      </w:r>
      <w:r>
        <w:rPr>
          <w:rFonts w:cs="Arial"/>
          <w:sz w:val="22"/>
        </w:rPr>
        <w:t xml:space="preserve"> juillet 2012 ; que, </w:t>
      </w:r>
      <w:r w:rsidR="00BC75AE">
        <w:rPr>
          <w:rFonts w:cs="Arial"/>
          <w:sz w:val="22"/>
        </w:rPr>
        <w:t>dès lors</w:t>
      </w:r>
      <w:r>
        <w:rPr>
          <w:rFonts w:cs="Arial"/>
          <w:sz w:val="22"/>
        </w:rPr>
        <w:t>, les charges qui en résultent dans l’arrêté conservatoire de débet sont à juger selon les dispositions antérieures à la loi du 28 décembre 2011 ;</w:t>
      </w:r>
    </w:p>
    <w:p w:rsidR="000B4FED" w:rsidRDefault="000B4FED" w:rsidP="00D61917">
      <w:pPr>
        <w:spacing w:after="280"/>
        <w:jc w:val="both"/>
        <w:rPr>
          <w:rFonts w:cs="Arial"/>
          <w:sz w:val="22"/>
        </w:rPr>
      </w:pPr>
      <w:r w:rsidRPr="000B4FED">
        <w:rPr>
          <w:rFonts w:cs="Arial"/>
          <w:b/>
          <w:sz w:val="22"/>
        </w:rPr>
        <w:t>Sur l</w:t>
      </w:r>
      <w:r>
        <w:rPr>
          <w:rFonts w:cs="Arial"/>
          <w:b/>
          <w:sz w:val="22"/>
        </w:rPr>
        <w:t>a responsabilité</w:t>
      </w:r>
    </w:p>
    <w:p w:rsidR="00D61917" w:rsidRDefault="00F9203F" w:rsidP="00D61917">
      <w:pPr>
        <w:spacing w:after="280"/>
        <w:jc w:val="both"/>
        <w:rPr>
          <w:rFonts w:cs="Arial"/>
          <w:sz w:val="22"/>
        </w:rPr>
      </w:pPr>
      <w:r>
        <w:rPr>
          <w:rFonts w:cs="Arial"/>
          <w:sz w:val="22"/>
        </w:rPr>
        <w:t xml:space="preserve">Attendu qu’au titre de l’exercice 2007, il est fait grief à M. </w:t>
      </w:r>
      <w:r w:rsidR="0020204B">
        <w:rPr>
          <w:rFonts w:cs="Arial"/>
          <w:sz w:val="22"/>
        </w:rPr>
        <w:t>X</w:t>
      </w:r>
      <w:r>
        <w:rPr>
          <w:rFonts w:cs="Arial"/>
          <w:sz w:val="22"/>
        </w:rPr>
        <w:t xml:space="preserve"> d’avoir payé un ensemble de dépenses en dépassement de crédits ouverts au budget de l’établissement pour un montant total de </w:t>
      </w:r>
      <w:r w:rsidR="00B271A5">
        <w:rPr>
          <w:rFonts w:cs="Arial"/>
          <w:sz w:val="22"/>
        </w:rPr>
        <w:t>97 178,77</w:t>
      </w:r>
      <w:r w:rsidR="00C11014">
        <w:rPr>
          <w:rFonts w:cs="Arial"/>
          <w:sz w:val="22"/>
        </w:rPr>
        <w:t> </w:t>
      </w:r>
      <w:r w:rsidR="00B271A5">
        <w:rPr>
          <w:rFonts w:cs="Arial"/>
          <w:sz w:val="22"/>
        </w:rPr>
        <w:t>roupies indiennes</w:t>
      </w:r>
      <w:r>
        <w:rPr>
          <w:rFonts w:cs="Arial"/>
          <w:sz w:val="22"/>
        </w:rPr>
        <w:t> ; que ces dépassements s’élèvent à</w:t>
      </w:r>
      <w:r w:rsidR="00C11014">
        <w:rPr>
          <w:rFonts w:cs="Arial"/>
          <w:sz w:val="22"/>
        </w:rPr>
        <w:t xml:space="preserve"> </w:t>
      </w:r>
      <w:r w:rsidR="00824FC7">
        <w:rPr>
          <w:rFonts w:cs="Arial"/>
          <w:sz w:val="22"/>
        </w:rPr>
        <w:t>11 483,01</w:t>
      </w:r>
      <w:r w:rsidR="006636A0">
        <w:rPr>
          <w:rFonts w:cs="Arial"/>
          <w:sz w:val="22"/>
        </w:rPr>
        <w:t> </w:t>
      </w:r>
      <w:r w:rsidR="00824FC7">
        <w:rPr>
          <w:rFonts w:cs="Arial"/>
          <w:sz w:val="22"/>
        </w:rPr>
        <w:t xml:space="preserve">roupies indiennes </w:t>
      </w:r>
      <w:r>
        <w:rPr>
          <w:rFonts w:cs="Arial"/>
          <w:sz w:val="22"/>
        </w:rPr>
        <w:t>sur le chapitre 617</w:t>
      </w:r>
      <w:r w:rsidR="00E90335">
        <w:rPr>
          <w:rFonts w:cs="Arial"/>
          <w:sz w:val="22"/>
        </w:rPr>
        <w:t>,</w:t>
      </w:r>
      <w:r>
        <w:rPr>
          <w:rFonts w:cs="Arial"/>
          <w:sz w:val="22"/>
        </w:rPr>
        <w:t xml:space="preserve"> à </w:t>
      </w:r>
      <w:r w:rsidR="00824FC7">
        <w:rPr>
          <w:rFonts w:cs="Arial"/>
          <w:sz w:val="22"/>
        </w:rPr>
        <w:t>85 689,76</w:t>
      </w:r>
      <w:r w:rsidR="00C11014">
        <w:rPr>
          <w:rFonts w:cs="Arial"/>
          <w:sz w:val="22"/>
        </w:rPr>
        <w:t> </w:t>
      </w:r>
      <w:r w:rsidR="00824FC7">
        <w:rPr>
          <w:rFonts w:cs="Arial"/>
          <w:sz w:val="22"/>
        </w:rPr>
        <w:t>roupies indiennes</w:t>
      </w:r>
      <w:r>
        <w:rPr>
          <w:rFonts w:cs="Arial"/>
          <w:sz w:val="22"/>
        </w:rPr>
        <w:t xml:space="preserve"> sur le compte 6412 du chapitre 641 et à </w:t>
      </w:r>
      <w:r w:rsidR="00824FC7">
        <w:rPr>
          <w:rFonts w:cs="Arial"/>
          <w:sz w:val="22"/>
        </w:rPr>
        <w:t>6</w:t>
      </w:r>
      <w:r w:rsidR="00C11014">
        <w:rPr>
          <w:rFonts w:cs="Arial"/>
          <w:sz w:val="22"/>
        </w:rPr>
        <w:t> </w:t>
      </w:r>
      <w:r w:rsidR="00824FC7">
        <w:rPr>
          <w:rFonts w:cs="Arial"/>
          <w:sz w:val="22"/>
        </w:rPr>
        <w:t xml:space="preserve">roupies indiennes </w:t>
      </w:r>
      <w:r>
        <w:rPr>
          <w:rFonts w:cs="Arial"/>
          <w:sz w:val="22"/>
        </w:rPr>
        <w:t>sur le compte 6454 du chapitre</w:t>
      </w:r>
      <w:r w:rsidR="00C11014">
        <w:rPr>
          <w:rFonts w:cs="Arial"/>
          <w:sz w:val="22"/>
        </w:rPr>
        <w:t xml:space="preserve"> </w:t>
      </w:r>
      <w:r>
        <w:rPr>
          <w:rFonts w:cs="Arial"/>
          <w:sz w:val="22"/>
        </w:rPr>
        <w:t>645 ;</w:t>
      </w:r>
    </w:p>
    <w:p w:rsidR="00D61917" w:rsidRDefault="00F81512" w:rsidP="00D61917">
      <w:pPr>
        <w:spacing w:after="280"/>
        <w:jc w:val="both"/>
        <w:rPr>
          <w:rFonts w:cs="Arial"/>
          <w:sz w:val="22"/>
        </w:rPr>
      </w:pPr>
      <w:r>
        <w:rPr>
          <w:rFonts w:cs="Arial"/>
          <w:sz w:val="22"/>
        </w:rPr>
        <w:t>Attendu qu’aux termes du deuxième alinéa</w:t>
      </w:r>
      <w:r w:rsidDel="004A59E5">
        <w:rPr>
          <w:rFonts w:cs="Arial"/>
          <w:sz w:val="22"/>
        </w:rPr>
        <w:t xml:space="preserve"> </w:t>
      </w:r>
      <w:r>
        <w:rPr>
          <w:rFonts w:cs="Arial"/>
          <w:sz w:val="22"/>
        </w:rPr>
        <w:t>du I de l’article 60 de la loi du 23 février 1963 susvisée, « </w:t>
      </w:r>
      <w:r w:rsidRPr="00756BD4">
        <w:rPr>
          <w:rFonts w:cs="Arial"/>
          <w:i/>
          <w:sz w:val="22"/>
        </w:rPr>
        <w:t>les comptables publics sont personnellement et pécuniairement responsables des contrôles qu’ils sont tenus d’assurer en matière (…) de dépenses dans les conditions prévues par le règlement général sur la comptabilité publique</w:t>
      </w:r>
      <w:r>
        <w:rPr>
          <w:rFonts w:cs="Arial"/>
          <w:sz w:val="22"/>
        </w:rPr>
        <w:t> » ;</w:t>
      </w:r>
      <w:r w:rsidR="00F9203F">
        <w:rPr>
          <w:rFonts w:cs="Arial"/>
          <w:sz w:val="22"/>
        </w:rPr>
        <w:t xml:space="preserve"> </w:t>
      </w:r>
      <w:r w:rsidR="00756BD4">
        <w:rPr>
          <w:rFonts w:cs="Arial"/>
          <w:sz w:val="22"/>
        </w:rPr>
        <w:t xml:space="preserve">qu’en vertu </w:t>
      </w:r>
      <w:r w:rsidR="00E90335">
        <w:rPr>
          <w:rFonts w:cs="Arial"/>
          <w:sz w:val="22"/>
        </w:rPr>
        <w:t xml:space="preserve">de l’article 5 </w:t>
      </w:r>
      <w:r w:rsidR="00F9203F">
        <w:rPr>
          <w:rFonts w:cs="Arial"/>
          <w:sz w:val="22"/>
        </w:rPr>
        <w:t>du décret du 24</w:t>
      </w:r>
      <w:r w:rsidR="00C11014">
        <w:rPr>
          <w:rFonts w:cs="Arial"/>
          <w:sz w:val="22"/>
        </w:rPr>
        <w:t xml:space="preserve"> </w:t>
      </w:r>
      <w:r w:rsidR="00F9203F">
        <w:rPr>
          <w:rFonts w:cs="Arial"/>
          <w:sz w:val="22"/>
        </w:rPr>
        <w:t>août</w:t>
      </w:r>
      <w:r w:rsidR="00C11014">
        <w:rPr>
          <w:rFonts w:cs="Arial"/>
          <w:sz w:val="22"/>
        </w:rPr>
        <w:t xml:space="preserve"> </w:t>
      </w:r>
      <w:r w:rsidR="00F9203F">
        <w:rPr>
          <w:rFonts w:cs="Arial"/>
          <w:sz w:val="22"/>
        </w:rPr>
        <w:t>1976 susvisé</w:t>
      </w:r>
      <w:r w:rsidR="00E90335">
        <w:rPr>
          <w:rFonts w:cs="Arial"/>
          <w:sz w:val="22"/>
        </w:rPr>
        <w:t>,</w:t>
      </w:r>
      <w:r w:rsidR="00F9203F">
        <w:rPr>
          <w:rFonts w:cs="Arial"/>
          <w:sz w:val="22"/>
        </w:rPr>
        <w:t xml:space="preserve"> la gestion financière et comptable des établissements ou organismes de diffusion culturelle dépendant du ministère des affaires étrangères est soumise aux dispositions </w:t>
      </w:r>
      <w:r w:rsidR="00331067" w:rsidRPr="002B7CE8">
        <w:rPr>
          <w:rFonts w:cs="Arial"/>
          <w:sz w:val="22"/>
        </w:rPr>
        <w:t>de la première partie</w:t>
      </w:r>
      <w:r w:rsidR="00F9203F" w:rsidRPr="00677A09">
        <w:rPr>
          <w:rFonts w:cs="Arial"/>
          <w:sz w:val="22"/>
        </w:rPr>
        <w:t xml:space="preserve"> </w:t>
      </w:r>
      <w:r w:rsidR="00F9203F">
        <w:rPr>
          <w:rFonts w:cs="Arial"/>
          <w:sz w:val="22"/>
        </w:rPr>
        <w:t xml:space="preserve">du décret du 29 décembre 1962 </w:t>
      </w:r>
      <w:r w:rsidR="001E6304">
        <w:rPr>
          <w:rFonts w:cs="Arial"/>
          <w:sz w:val="22"/>
        </w:rPr>
        <w:t xml:space="preserve">susvisé ; que </w:t>
      </w:r>
      <w:r w:rsidR="00F9203F">
        <w:rPr>
          <w:rFonts w:cs="Arial"/>
          <w:sz w:val="22"/>
        </w:rPr>
        <w:lastRenderedPageBreak/>
        <w:t>l’article</w:t>
      </w:r>
      <w:r w:rsidR="00C11014">
        <w:rPr>
          <w:rFonts w:cs="Arial"/>
          <w:sz w:val="22"/>
        </w:rPr>
        <w:t xml:space="preserve"> </w:t>
      </w:r>
      <w:r w:rsidR="00F9203F">
        <w:rPr>
          <w:rFonts w:cs="Arial"/>
          <w:sz w:val="22"/>
        </w:rPr>
        <w:t xml:space="preserve">12 </w:t>
      </w:r>
      <w:r w:rsidR="001E6304">
        <w:rPr>
          <w:rFonts w:cs="Arial"/>
          <w:sz w:val="22"/>
        </w:rPr>
        <w:t xml:space="preserve">de ce décret énonce </w:t>
      </w:r>
      <w:r w:rsidR="00F9203F">
        <w:rPr>
          <w:rFonts w:cs="Arial"/>
          <w:sz w:val="22"/>
        </w:rPr>
        <w:t>que « </w:t>
      </w:r>
      <w:r w:rsidR="00F9203F" w:rsidRPr="00F9203F">
        <w:rPr>
          <w:rFonts w:cs="Arial"/>
          <w:i/>
          <w:sz w:val="22"/>
        </w:rPr>
        <w:t>les comptables publics sont tenus d’exercer, en matière de dépenses, le contrôle de la disponibilité des crédits</w:t>
      </w:r>
      <w:r w:rsidR="00F9203F">
        <w:rPr>
          <w:rFonts w:cs="Arial"/>
          <w:sz w:val="22"/>
        </w:rPr>
        <w:t xml:space="preserve"> » ; </w:t>
      </w:r>
      <w:r w:rsidR="001E6304">
        <w:rPr>
          <w:rFonts w:cs="Arial"/>
          <w:sz w:val="22"/>
        </w:rPr>
        <w:t>qu’aux termes de</w:t>
      </w:r>
      <w:r w:rsidR="00F9203F">
        <w:rPr>
          <w:rFonts w:cs="Arial"/>
          <w:sz w:val="22"/>
        </w:rPr>
        <w:t xml:space="preserve"> l’article</w:t>
      </w:r>
      <w:r w:rsidR="006636A0">
        <w:rPr>
          <w:rFonts w:cs="Arial"/>
          <w:sz w:val="22"/>
        </w:rPr>
        <w:t> </w:t>
      </w:r>
      <w:r w:rsidR="00F9203F">
        <w:rPr>
          <w:rFonts w:cs="Arial"/>
          <w:sz w:val="22"/>
        </w:rPr>
        <w:t>37 de ce même décret</w:t>
      </w:r>
      <w:r w:rsidR="001E6304">
        <w:rPr>
          <w:rFonts w:cs="Arial"/>
          <w:sz w:val="22"/>
        </w:rPr>
        <w:t>,</w:t>
      </w:r>
      <w:r w:rsidR="00F9203F">
        <w:rPr>
          <w:rFonts w:cs="Arial"/>
          <w:sz w:val="22"/>
        </w:rPr>
        <w:t xml:space="preserve"> « </w:t>
      </w:r>
      <w:r w:rsidR="00F9203F" w:rsidRPr="00F9203F">
        <w:rPr>
          <w:rFonts w:cs="Arial"/>
          <w:i/>
          <w:sz w:val="22"/>
        </w:rPr>
        <w:t>lorsque, à l’occasion de l’exercice du contrôle prévu à l’article</w:t>
      </w:r>
      <w:r w:rsidR="006636A0">
        <w:rPr>
          <w:rFonts w:cs="Arial"/>
          <w:i/>
          <w:sz w:val="22"/>
        </w:rPr>
        <w:t> </w:t>
      </w:r>
      <w:r w:rsidR="00F9203F" w:rsidRPr="00F9203F">
        <w:rPr>
          <w:rFonts w:cs="Arial"/>
          <w:i/>
          <w:sz w:val="22"/>
        </w:rPr>
        <w:t>12</w:t>
      </w:r>
      <w:r w:rsidR="00F9203F">
        <w:rPr>
          <w:rFonts w:cs="Arial"/>
          <w:sz w:val="22"/>
        </w:rPr>
        <w:t xml:space="preserve"> (…), </w:t>
      </w:r>
      <w:r w:rsidR="00F9203F" w:rsidRPr="00F9203F">
        <w:rPr>
          <w:rFonts w:cs="Arial"/>
          <w:i/>
          <w:sz w:val="22"/>
        </w:rPr>
        <w:t>des irrégularités sont constatées, les comptables publics suspendent les paiements et en informent l’ordonnateur</w:t>
      </w:r>
      <w:r w:rsidR="00F9203F">
        <w:rPr>
          <w:rFonts w:cs="Arial"/>
          <w:sz w:val="22"/>
        </w:rPr>
        <w:t> » ;</w:t>
      </w:r>
    </w:p>
    <w:p w:rsidR="006A024E" w:rsidRDefault="00CE0209" w:rsidP="00251668">
      <w:pPr>
        <w:spacing w:after="280"/>
        <w:jc w:val="both"/>
        <w:rPr>
          <w:rFonts w:cs="Arial"/>
          <w:sz w:val="22"/>
        </w:rPr>
      </w:pPr>
      <w:r>
        <w:rPr>
          <w:rFonts w:cs="Arial"/>
          <w:sz w:val="22"/>
        </w:rPr>
        <w:t>Attendu que pour la mise en jeu éventuelle de la responsabilité du comptable, en l’absence de dispositions expresses contraires de niveau égal ou supérieur dans la hiérarchie des normes, le dépassement des crédits est à apprécier au niveau du chapitre budgétaire ;</w:t>
      </w:r>
    </w:p>
    <w:p w:rsidR="00BD2B1F" w:rsidRDefault="00CE0209" w:rsidP="00251668">
      <w:pPr>
        <w:spacing w:after="280"/>
        <w:jc w:val="both"/>
        <w:rPr>
          <w:rFonts w:cs="Arial"/>
          <w:sz w:val="22"/>
        </w:rPr>
      </w:pPr>
      <w:r>
        <w:rPr>
          <w:rFonts w:cs="Arial"/>
          <w:sz w:val="22"/>
        </w:rPr>
        <w:t>Attendu qu’au titre de l’exercice 2007, le total des paiements imputés par M.</w:t>
      </w:r>
      <w:r w:rsidR="006636A0">
        <w:rPr>
          <w:rFonts w:cs="Arial"/>
          <w:sz w:val="22"/>
        </w:rPr>
        <w:t> </w:t>
      </w:r>
      <w:r w:rsidR="0020204B">
        <w:rPr>
          <w:rFonts w:cs="Arial"/>
          <w:sz w:val="22"/>
        </w:rPr>
        <w:t>X</w:t>
      </w:r>
      <w:r>
        <w:rPr>
          <w:rFonts w:cs="Arial"/>
          <w:sz w:val="22"/>
        </w:rPr>
        <w:t xml:space="preserve"> sur les chapitres 617, 641</w:t>
      </w:r>
      <w:r w:rsidR="006636A0">
        <w:rPr>
          <w:rFonts w:cs="Arial"/>
          <w:sz w:val="22"/>
        </w:rPr>
        <w:t>2</w:t>
      </w:r>
      <w:r>
        <w:rPr>
          <w:rFonts w:cs="Arial"/>
          <w:sz w:val="22"/>
        </w:rPr>
        <w:t xml:space="preserve"> et 645</w:t>
      </w:r>
      <w:r w:rsidR="006636A0">
        <w:rPr>
          <w:rFonts w:cs="Arial"/>
          <w:sz w:val="22"/>
        </w:rPr>
        <w:t>4</w:t>
      </w:r>
      <w:r w:rsidR="00CB2F1E">
        <w:rPr>
          <w:rFonts w:cs="Arial"/>
          <w:sz w:val="22"/>
        </w:rPr>
        <w:t xml:space="preserve"> a </w:t>
      </w:r>
      <w:r>
        <w:rPr>
          <w:rFonts w:cs="Arial"/>
          <w:sz w:val="22"/>
        </w:rPr>
        <w:t xml:space="preserve">excédé le montant des crédits ouverts respectivement de </w:t>
      </w:r>
      <w:r w:rsidR="008B0695">
        <w:rPr>
          <w:rFonts w:cs="Arial"/>
          <w:sz w:val="22"/>
        </w:rPr>
        <w:t>11 483,01, 85 689,76 et 6</w:t>
      </w:r>
      <w:r w:rsidR="00C11014">
        <w:rPr>
          <w:rFonts w:cs="Arial"/>
          <w:sz w:val="22"/>
        </w:rPr>
        <w:t> </w:t>
      </w:r>
      <w:r w:rsidR="008B0695">
        <w:rPr>
          <w:rFonts w:cs="Arial"/>
          <w:sz w:val="22"/>
        </w:rPr>
        <w:t>roupies indiennes</w:t>
      </w:r>
      <w:r>
        <w:rPr>
          <w:rFonts w:cs="Arial"/>
          <w:sz w:val="22"/>
        </w:rPr>
        <w:t> ; que M.</w:t>
      </w:r>
      <w:r w:rsidR="00424379">
        <w:rPr>
          <w:rFonts w:cs="Arial"/>
          <w:sz w:val="22"/>
        </w:rPr>
        <w:t> </w:t>
      </w:r>
      <w:r w:rsidR="0020204B">
        <w:rPr>
          <w:rFonts w:cs="Arial"/>
          <w:sz w:val="22"/>
        </w:rPr>
        <w:t>X</w:t>
      </w:r>
      <w:r>
        <w:rPr>
          <w:rFonts w:cs="Arial"/>
          <w:sz w:val="22"/>
        </w:rPr>
        <w:t xml:space="preserve"> ne conteste pas ces dépassements de crédits</w:t>
      </w:r>
      <w:r w:rsidR="00BD2B1F">
        <w:rPr>
          <w:rFonts w:cs="Arial"/>
          <w:sz w:val="22"/>
        </w:rPr>
        <w:t> ; qu</w:t>
      </w:r>
      <w:r>
        <w:rPr>
          <w:rFonts w:cs="Arial"/>
          <w:sz w:val="22"/>
        </w:rPr>
        <w:t>e</w:t>
      </w:r>
      <w:r w:rsidR="00BD2B1F">
        <w:rPr>
          <w:rFonts w:cs="Arial"/>
          <w:sz w:val="22"/>
        </w:rPr>
        <w:t xml:space="preserve"> l’approbation de la décision modificative du budget qui a ouvert les crédits permettant de couvrir ces dépassements n’est in</w:t>
      </w:r>
      <w:r w:rsidR="008B0695">
        <w:rPr>
          <w:rFonts w:cs="Arial"/>
          <w:sz w:val="22"/>
        </w:rPr>
        <w:t xml:space="preserve">tervenue que le 4 février 2010 ; </w:t>
      </w:r>
      <w:r w:rsidR="00BD2B1F">
        <w:rPr>
          <w:rFonts w:cs="Arial"/>
          <w:sz w:val="22"/>
        </w:rPr>
        <w:t>que, dès lors, la responsabilité personnelle et pécuniaire de M.</w:t>
      </w:r>
      <w:r w:rsidR="00424379">
        <w:rPr>
          <w:rFonts w:cs="Arial"/>
          <w:sz w:val="22"/>
        </w:rPr>
        <w:t> </w:t>
      </w:r>
      <w:r w:rsidR="0020204B">
        <w:rPr>
          <w:rFonts w:cs="Arial"/>
          <w:sz w:val="22"/>
        </w:rPr>
        <w:t>X</w:t>
      </w:r>
      <w:r w:rsidR="00BD2B1F">
        <w:rPr>
          <w:rFonts w:cs="Arial"/>
          <w:sz w:val="22"/>
        </w:rPr>
        <w:t xml:space="preserve"> se trouve engagée à hauteur de </w:t>
      </w:r>
      <w:r w:rsidR="008B0695">
        <w:rPr>
          <w:rFonts w:cs="Arial"/>
          <w:sz w:val="22"/>
        </w:rPr>
        <w:t>97 178,77</w:t>
      </w:r>
      <w:r w:rsidR="00424379">
        <w:rPr>
          <w:rFonts w:cs="Arial"/>
          <w:sz w:val="22"/>
        </w:rPr>
        <w:t> </w:t>
      </w:r>
      <w:r w:rsidR="008B0695">
        <w:rPr>
          <w:rFonts w:cs="Arial"/>
          <w:sz w:val="22"/>
        </w:rPr>
        <w:t>roupies indiennes</w:t>
      </w:r>
      <w:r w:rsidR="00BD2B1F">
        <w:rPr>
          <w:rFonts w:cs="Arial"/>
          <w:sz w:val="22"/>
        </w:rPr>
        <w:t xml:space="preserve"> au titre de l’exercice 2007 ;</w:t>
      </w:r>
    </w:p>
    <w:p w:rsidR="000B4FED" w:rsidRDefault="000B4FED" w:rsidP="00251668">
      <w:pPr>
        <w:spacing w:after="280"/>
        <w:jc w:val="both"/>
        <w:rPr>
          <w:rFonts w:cs="Arial"/>
          <w:sz w:val="22"/>
        </w:rPr>
      </w:pPr>
      <w:r w:rsidRPr="000B4FED">
        <w:rPr>
          <w:rFonts w:cs="Arial"/>
          <w:b/>
          <w:sz w:val="22"/>
        </w:rPr>
        <w:t>Sur le</w:t>
      </w:r>
      <w:r>
        <w:rPr>
          <w:rFonts w:cs="Arial"/>
          <w:b/>
          <w:sz w:val="22"/>
        </w:rPr>
        <w:t>s intérêts</w:t>
      </w:r>
    </w:p>
    <w:p w:rsidR="003661E1" w:rsidRPr="003661E1" w:rsidRDefault="0065364D" w:rsidP="00251668">
      <w:pPr>
        <w:spacing w:after="280"/>
        <w:jc w:val="both"/>
        <w:rPr>
          <w:rFonts w:cs="Arial"/>
          <w:i/>
          <w:sz w:val="22"/>
        </w:rPr>
      </w:pPr>
      <w:r>
        <w:rPr>
          <w:rFonts w:cs="Arial"/>
          <w:sz w:val="22"/>
        </w:rPr>
        <w:t>Attendu qu’</w:t>
      </w:r>
      <w:r w:rsidR="003661E1">
        <w:rPr>
          <w:rFonts w:cs="Arial"/>
          <w:sz w:val="22"/>
        </w:rPr>
        <w:t>aux termes</w:t>
      </w:r>
      <w:r>
        <w:rPr>
          <w:rFonts w:cs="Arial"/>
          <w:sz w:val="22"/>
        </w:rPr>
        <w:t xml:space="preserve"> du VIII de l’article 60 de la loi du 23 février 1963 susvisée, </w:t>
      </w:r>
      <w:r w:rsidR="003661E1">
        <w:rPr>
          <w:rFonts w:cs="Arial"/>
          <w:sz w:val="22"/>
        </w:rPr>
        <w:t>« </w:t>
      </w:r>
      <w:r w:rsidRPr="003661E1">
        <w:rPr>
          <w:rFonts w:cs="Arial"/>
          <w:i/>
          <w:sz w:val="22"/>
        </w:rPr>
        <w:t>les débets portent intérêt au taux légal à compter du premier acte de la mise en jeu de la responsabilité personnelle et pécuniaire des comptables publics</w:t>
      </w:r>
      <w:r w:rsidR="003661E1">
        <w:rPr>
          <w:rFonts w:cs="Arial"/>
          <w:sz w:val="22"/>
        </w:rPr>
        <w:t> »</w:t>
      </w:r>
      <w:r>
        <w:rPr>
          <w:rFonts w:cs="Arial"/>
          <w:sz w:val="22"/>
        </w:rPr>
        <w:t xml:space="preserve"> ; </w:t>
      </w:r>
      <w:r w:rsidR="003661E1">
        <w:rPr>
          <w:rFonts w:cs="Arial"/>
          <w:sz w:val="22"/>
        </w:rPr>
        <w:t>qu’aux termes de l’article</w:t>
      </w:r>
      <w:r w:rsidR="00C11014">
        <w:rPr>
          <w:rFonts w:cs="Arial"/>
          <w:sz w:val="22"/>
        </w:rPr>
        <w:t xml:space="preserve"> </w:t>
      </w:r>
      <w:r w:rsidR="003661E1">
        <w:rPr>
          <w:rFonts w:cs="Arial"/>
          <w:sz w:val="22"/>
        </w:rPr>
        <w:t xml:space="preserve">D. 131-32 du code des juridictions financières, dans sa rédaction </w:t>
      </w:r>
      <w:r w:rsidR="00FA2601">
        <w:rPr>
          <w:rFonts w:cs="Arial"/>
          <w:sz w:val="22"/>
        </w:rPr>
        <w:t>applicable</w:t>
      </w:r>
      <w:r w:rsidR="003661E1">
        <w:rPr>
          <w:rFonts w:cs="Arial"/>
          <w:sz w:val="22"/>
        </w:rPr>
        <w:t xml:space="preserve"> à la date des faits, « </w:t>
      </w:r>
      <w:r w:rsidR="003661E1" w:rsidRPr="003661E1">
        <w:rPr>
          <w:rFonts w:cs="Arial"/>
          <w:i/>
          <w:sz w:val="22"/>
        </w:rPr>
        <w:t>L</w:t>
      </w:r>
      <w:r w:rsidR="003661E1">
        <w:rPr>
          <w:rFonts w:cs="Arial"/>
          <w:i/>
          <w:sz w:val="22"/>
        </w:rPr>
        <w:t xml:space="preserve">es trésoriers-payeurs généraux (…) chargés de l’apurement administratif peuvent enjoindre aux comptables dont ils apurent les comptes de produire, dans le délai d’un mois, les pièces justificatives qui feraient défaut. Ils prennent sur les comptes qui leur sont soumis des décisions administratives établissant que les comptables sont quittes ou en débet (…) Dans le deuxième cas, leurs arrêtés fixent le montant du débet à titre </w:t>
      </w:r>
      <w:r w:rsidR="0050171F">
        <w:rPr>
          <w:rFonts w:cs="Arial"/>
          <w:i/>
          <w:sz w:val="22"/>
        </w:rPr>
        <w:t>conservat</w:t>
      </w:r>
      <w:r w:rsidR="00963E1E">
        <w:rPr>
          <w:rFonts w:cs="Arial"/>
          <w:i/>
          <w:sz w:val="22"/>
        </w:rPr>
        <w:t>oire</w:t>
      </w:r>
      <w:r w:rsidR="003661E1">
        <w:rPr>
          <w:rFonts w:cs="Arial"/>
          <w:sz w:val="22"/>
        </w:rPr>
        <w:t xml:space="preserve"> » ; </w:t>
      </w:r>
    </w:p>
    <w:p w:rsidR="003661E1" w:rsidRPr="00DE01D4" w:rsidRDefault="00020396" w:rsidP="00251668">
      <w:pPr>
        <w:spacing w:after="280"/>
        <w:jc w:val="both"/>
        <w:rPr>
          <w:rFonts w:cs="Arial"/>
          <w:sz w:val="22"/>
        </w:rPr>
      </w:pPr>
      <w:r>
        <w:rPr>
          <w:rFonts w:cs="Arial"/>
          <w:sz w:val="22"/>
        </w:rPr>
        <w:t xml:space="preserve">Attendu </w:t>
      </w:r>
      <w:r w:rsidR="005D5A5A">
        <w:rPr>
          <w:rFonts w:cs="Arial"/>
          <w:sz w:val="22"/>
        </w:rPr>
        <w:t>que pour l’application des dispositions précitées</w:t>
      </w:r>
      <w:r w:rsidR="00C127CB">
        <w:rPr>
          <w:rFonts w:cs="Arial"/>
          <w:sz w:val="22"/>
        </w:rPr>
        <w:t xml:space="preserve"> du VIII de l’article 60 de la loi du 23</w:t>
      </w:r>
      <w:r w:rsidR="006636A0">
        <w:rPr>
          <w:rFonts w:cs="Arial"/>
          <w:sz w:val="22"/>
        </w:rPr>
        <w:t> </w:t>
      </w:r>
      <w:r w:rsidR="00C127CB">
        <w:rPr>
          <w:rFonts w:cs="Arial"/>
          <w:sz w:val="22"/>
        </w:rPr>
        <w:t>février</w:t>
      </w:r>
      <w:r w:rsidR="006636A0">
        <w:rPr>
          <w:rFonts w:cs="Arial"/>
          <w:sz w:val="22"/>
        </w:rPr>
        <w:t> </w:t>
      </w:r>
      <w:r w:rsidR="00C127CB">
        <w:rPr>
          <w:rFonts w:cs="Arial"/>
          <w:sz w:val="22"/>
        </w:rPr>
        <w:t>1963 susvisée</w:t>
      </w:r>
      <w:r w:rsidR="00802429" w:rsidRPr="00802429">
        <w:rPr>
          <w:rFonts w:cs="Arial"/>
          <w:sz w:val="22"/>
        </w:rPr>
        <w:t xml:space="preserve"> </w:t>
      </w:r>
      <w:r w:rsidR="00802429">
        <w:rPr>
          <w:rFonts w:cs="Arial"/>
          <w:sz w:val="22"/>
        </w:rPr>
        <w:t>dans le cadre de l’apurement administratif des comptes</w:t>
      </w:r>
      <w:r w:rsidR="005D5A5A">
        <w:rPr>
          <w:rFonts w:cs="Arial"/>
          <w:sz w:val="22"/>
        </w:rPr>
        <w:t xml:space="preserve">, </w:t>
      </w:r>
      <w:r w:rsidR="00DE01D4">
        <w:rPr>
          <w:rFonts w:cs="Arial"/>
          <w:sz w:val="22"/>
        </w:rPr>
        <w:t xml:space="preserve">le premier acte de mise en jeu </w:t>
      </w:r>
      <w:r w:rsidR="00DE01D4" w:rsidRPr="00DE01D4">
        <w:rPr>
          <w:rFonts w:cs="Arial"/>
          <w:sz w:val="22"/>
        </w:rPr>
        <w:t>de la responsabilité personnelle et pécuniaire des comptables publics</w:t>
      </w:r>
      <w:r w:rsidR="00802429">
        <w:rPr>
          <w:rFonts w:cs="Arial"/>
          <w:sz w:val="22"/>
        </w:rPr>
        <w:t xml:space="preserve"> s’entend de l’in</w:t>
      </w:r>
      <w:r w:rsidR="0050171F">
        <w:rPr>
          <w:rFonts w:cs="Arial"/>
          <w:sz w:val="22"/>
        </w:rPr>
        <w:t>jonc</w:t>
      </w:r>
      <w:r w:rsidR="00802429">
        <w:rPr>
          <w:rFonts w:cs="Arial"/>
          <w:sz w:val="22"/>
        </w:rPr>
        <w:t xml:space="preserve">tion </w:t>
      </w:r>
      <w:r w:rsidR="0050171F">
        <w:rPr>
          <w:rFonts w:cs="Arial"/>
          <w:sz w:val="22"/>
        </w:rPr>
        <w:t>adressée au comptable</w:t>
      </w:r>
      <w:r w:rsidR="00CA2011">
        <w:rPr>
          <w:rFonts w:cs="Arial"/>
          <w:sz w:val="22"/>
        </w:rPr>
        <w:t xml:space="preserve"> par le trésorier-payeur général, </w:t>
      </w:r>
      <w:r w:rsidR="0050171F">
        <w:rPr>
          <w:rFonts w:cs="Arial"/>
          <w:sz w:val="22"/>
        </w:rPr>
        <w:t>de produire les pièces justificatives qui feraient défaut</w:t>
      </w:r>
      <w:r w:rsidR="00802429">
        <w:rPr>
          <w:rFonts w:cs="Arial"/>
          <w:sz w:val="22"/>
        </w:rPr>
        <w:t> ;</w:t>
      </w:r>
    </w:p>
    <w:p w:rsidR="0065364D" w:rsidRDefault="00963E1E" w:rsidP="00963E1E">
      <w:pPr>
        <w:spacing w:after="280"/>
        <w:jc w:val="both"/>
        <w:rPr>
          <w:rFonts w:cs="Arial"/>
          <w:sz w:val="22"/>
        </w:rPr>
      </w:pPr>
      <w:r>
        <w:rPr>
          <w:rFonts w:cs="Arial"/>
          <w:sz w:val="22"/>
        </w:rPr>
        <w:t>Attendu qu’en l’espèce,</w:t>
      </w:r>
      <w:r w:rsidR="0065364D">
        <w:rPr>
          <w:rFonts w:cs="Arial"/>
          <w:sz w:val="22"/>
        </w:rPr>
        <w:t xml:space="preserve"> </w:t>
      </w:r>
      <w:r w:rsidR="00873557">
        <w:rPr>
          <w:rFonts w:cs="Arial"/>
          <w:sz w:val="22"/>
        </w:rPr>
        <w:t xml:space="preserve">le bordereau d’injonctions </w:t>
      </w:r>
      <w:r>
        <w:rPr>
          <w:rFonts w:cs="Arial"/>
          <w:sz w:val="22"/>
        </w:rPr>
        <w:t>adressé par le trésorier-payeur général pour l’étranger à M.</w:t>
      </w:r>
      <w:r w:rsidR="006636A0">
        <w:rPr>
          <w:rFonts w:cs="Arial"/>
          <w:sz w:val="22"/>
        </w:rPr>
        <w:t> </w:t>
      </w:r>
      <w:r w:rsidR="0020204B">
        <w:rPr>
          <w:rFonts w:cs="Arial"/>
          <w:sz w:val="22"/>
        </w:rPr>
        <w:t>X</w:t>
      </w:r>
      <w:r>
        <w:rPr>
          <w:rFonts w:cs="Arial"/>
          <w:sz w:val="22"/>
        </w:rPr>
        <w:t xml:space="preserve"> est daté du </w:t>
      </w:r>
      <w:r w:rsidR="00873557">
        <w:rPr>
          <w:rFonts w:cs="Arial"/>
          <w:sz w:val="22"/>
        </w:rPr>
        <w:t>21 février</w:t>
      </w:r>
      <w:r w:rsidR="00803BAB">
        <w:rPr>
          <w:rFonts w:cs="Arial"/>
          <w:sz w:val="22"/>
        </w:rPr>
        <w:t xml:space="preserve"> 2012</w:t>
      </w:r>
      <w:r>
        <w:rPr>
          <w:rFonts w:cs="Arial"/>
          <w:sz w:val="22"/>
        </w:rPr>
        <w:t> ;</w:t>
      </w:r>
      <w:r w:rsidR="0065364D">
        <w:rPr>
          <w:rFonts w:cs="Arial"/>
          <w:sz w:val="22"/>
        </w:rPr>
        <w:t xml:space="preserve"> </w:t>
      </w:r>
      <w:r>
        <w:rPr>
          <w:rFonts w:cs="Arial"/>
          <w:sz w:val="22"/>
        </w:rPr>
        <w:t xml:space="preserve">que dès lors, c’est à cette date </w:t>
      </w:r>
      <w:r w:rsidR="0065364D">
        <w:rPr>
          <w:rFonts w:cs="Arial"/>
          <w:sz w:val="22"/>
        </w:rPr>
        <w:t>qu’il convient de fixer le point de départ des intérêts ;</w:t>
      </w:r>
    </w:p>
    <w:p w:rsidR="007F76E8" w:rsidRPr="00BE6831" w:rsidRDefault="007F76E8" w:rsidP="00251668">
      <w:pPr>
        <w:spacing w:after="280"/>
        <w:jc w:val="both"/>
        <w:rPr>
          <w:rFonts w:cs="Arial"/>
          <w:sz w:val="22"/>
        </w:rPr>
      </w:pPr>
      <w:r w:rsidRPr="00BE6831">
        <w:rPr>
          <w:rFonts w:cs="Arial"/>
          <w:sz w:val="22"/>
        </w:rPr>
        <w:t>Par ces motifs,</w:t>
      </w:r>
    </w:p>
    <w:p w:rsidR="007F76E8" w:rsidRPr="00BE6831" w:rsidRDefault="007F76E8" w:rsidP="00251668">
      <w:pPr>
        <w:spacing w:after="280"/>
        <w:jc w:val="center"/>
        <w:rPr>
          <w:rFonts w:cs="Arial"/>
          <w:sz w:val="22"/>
        </w:rPr>
      </w:pPr>
      <w:r w:rsidRPr="00BE6831">
        <w:rPr>
          <w:rFonts w:cs="Arial"/>
          <w:sz w:val="22"/>
        </w:rPr>
        <w:t>D</w:t>
      </w:r>
      <w:r w:rsidR="00C232B4">
        <w:rPr>
          <w:rFonts w:cs="Arial"/>
          <w:sz w:val="22"/>
        </w:rPr>
        <w:t>É</w:t>
      </w:r>
      <w:r w:rsidRPr="00BE6831">
        <w:rPr>
          <w:rFonts w:cs="Arial"/>
          <w:sz w:val="22"/>
        </w:rPr>
        <w:t>CIDE :</w:t>
      </w:r>
    </w:p>
    <w:p w:rsidR="00C15756" w:rsidRPr="00BE6831" w:rsidRDefault="007F76E8" w:rsidP="00BD2B1F">
      <w:pPr>
        <w:spacing w:after="280"/>
        <w:jc w:val="both"/>
        <w:rPr>
          <w:rFonts w:cs="Arial"/>
          <w:i/>
          <w:sz w:val="22"/>
        </w:rPr>
      </w:pPr>
      <w:r w:rsidRPr="00C11014">
        <w:rPr>
          <w:rFonts w:cs="Arial"/>
          <w:b/>
          <w:sz w:val="22"/>
        </w:rPr>
        <w:t xml:space="preserve">Article </w:t>
      </w:r>
      <w:r w:rsidR="006636A0" w:rsidRPr="00C11014">
        <w:rPr>
          <w:rFonts w:cs="Arial"/>
          <w:b/>
          <w:sz w:val="22"/>
        </w:rPr>
        <w:t>unique</w:t>
      </w:r>
      <w:r w:rsidRPr="00BE6831">
        <w:rPr>
          <w:rFonts w:cs="Arial"/>
          <w:sz w:val="22"/>
        </w:rPr>
        <w:t xml:space="preserve"> </w:t>
      </w:r>
      <w:r w:rsidR="0068148D">
        <w:rPr>
          <w:rFonts w:cs="Arial"/>
          <w:sz w:val="22"/>
        </w:rPr>
        <w:t xml:space="preserve">– </w:t>
      </w:r>
      <w:r w:rsidR="0020204B">
        <w:rPr>
          <w:rFonts w:cs="Arial"/>
          <w:sz w:val="22"/>
        </w:rPr>
        <w:t>M. X</w:t>
      </w:r>
      <w:r w:rsidR="00C15756">
        <w:rPr>
          <w:rFonts w:cs="Arial"/>
          <w:sz w:val="22"/>
        </w:rPr>
        <w:t xml:space="preserve"> </w:t>
      </w:r>
      <w:r w:rsidR="00BD2B1F">
        <w:rPr>
          <w:rFonts w:cs="Arial"/>
          <w:sz w:val="22"/>
        </w:rPr>
        <w:t>est constitué débiteur de l’</w:t>
      </w:r>
      <w:r w:rsidR="006636A0">
        <w:rPr>
          <w:rFonts w:cs="Arial"/>
          <w:sz w:val="22"/>
        </w:rPr>
        <w:t>i</w:t>
      </w:r>
      <w:r w:rsidR="00BD2B1F">
        <w:rPr>
          <w:rFonts w:cs="Arial"/>
          <w:sz w:val="22"/>
        </w:rPr>
        <w:t>nstitut français de Pondichéry</w:t>
      </w:r>
      <w:r w:rsidR="00C15756">
        <w:rPr>
          <w:rFonts w:cs="Arial"/>
          <w:sz w:val="22"/>
        </w:rPr>
        <w:t xml:space="preserve"> </w:t>
      </w:r>
      <w:r w:rsidR="00DB741C">
        <w:rPr>
          <w:rFonts w:cs="Arial"/>
          <w:sz w:val="22"/>
        </w:rPr>
        <w:t>pour</w:t>
      </w:r>
      <w:r w:rsidR="00C15756">
        <w:rPr>
          <w:rFonts w:cs="Arial"/>
          <w:sz w:val="22"/>
        </w:rPr>
        <w:t xml:space="preserve">  la somme de </w:t>
      </w:r>
      <w:r w:rsidR="00FA5B87">
        <w:rPr>
          <w:rFonts w:cs="Arial"/>
          <w:sz w:val="22"/>
        </w:rPr>
        <w:t>97 178,77</w:t>
      </w:r>
      <w:r w:rsidR="006636A0">
        <w:rPr>
          <w:rFonts w:cs="Arial"/>
          <w:sz w:val="22"/>
        </w:rPr>
        <w:t> </w:t>
      </w:r>
      <w:r w:rsidR="00FA5B87">
        <w:rPr>
          <w:rFonts w:cs="Arial"/>
          <w:sz w:val="22"/>
        </w:rPr>
        <w:t>roupies indiennes, soit un montant égal à 1</w:t>
      </w:r>
      <w:r w:rsidR="00240A0B">
        <w:rPr>
          <w:rFonts w:cs="Arial"/>
          <w:sz w:val="22"/>
        </w:rPr>
        <w:t> </w:t>
      </w:r>
      <w:r w:rsidR="00FA5B87">
        <w:rPr>
          <w:rFonts w:cs="Arial"/>
          <w:sz w:val="22"/>
        </w:rPr>
        <w:t>304</w:t>
      </w:r>
      <w:r w:rsidR="00F8543A">
        <w:rPr>
          <w:rFonts w:cs="Arial"/>
          <w:sz w:val="22"/>
        </w:rPr>
        <w:t>,</w:t>
      </w:r>
      <w:r w:rsidR="00FA5B87">
        <w:rPr>
          <w:rFonts w:cs="Arial"/>
          <w:sz w:val="22"/>
        </w:rPr>
        <w:t>14</w:t>
      </w:r>
      <w:r w:rsidR="00240A0B">
        <w:rPr>
          <w:rFonts w:cs="Arial"/>
          <w:sz w:val="22"/>
        </w:rPr>
        <w:t> </w:t>
      </w:r>
      <w:r w:rsidR="00BD2B1F">
        <w:rPr>
          <w:rFonts w:cs="Arial"/>
          <w:sz w:val="22"/>
        </w:rPr>
        <w:t>€</w:t>
      </w:r>
      <w:r w:rsidR="00FA5B87">
        <w:rPr>
          <w:rStyle w:val="Appelnotedebasdep"/>
          <w:rFonts w:cs="Arial"/>
          <w:sz w:val="22"/>
        </w:rPr>
        <w:footnoteReference w:id="1"/>
      </w:r>
      <w:r w:rsidR="00C15756">
        <w:rPr>
          <w:rFonts w:cs="Arial"/>
          <w:sz w:val="22"/>
        </w:rPr>
        <w:t xml:space="preserve"> qui portera intérêt </w:t>
      </w:r>
      <w:r w:rsidR="0065364D">
        <w:rPr>
          <w:rFonts w:cs="Arial"/>
          <w:sz w:val="22"/>
        </w:rPr>
        <w:t xml:space="preserve">au taux </w:t>
      </w:r>
      <w:r w:rsidR="00C15756">
        <w:rPr>
          <w:rFonts w:cs="Arial"/>
          <w:sz w:val="22"/>
        </w:rPr>
        <w:t xml:space="preserve">légal à compter du </w:t>
      </w:r>
      <w:r w:rsidR="00961186">
        <w:rPr>
          <w:rFonts w:cs="Arial"/>
          <w:sz w:val="22"/>
        </w:rPr>
        <w:t>21 février 2012</w:t>
      </w:r>
      <w:r w:rsidR="00C15756">
        <w:rPr>
          <w:rFonts w:cs="Arial"/>
          <w:sz w:val="22"/>
        </w:rPr>
        <w:t>.</w:t>
      </w:r>
    </w:p>
    <w:p w:rsidR="00677A09" w:rsidRDefault="004779C2" w:rsidP="004779C2">
      <w:pPr>
        <w:tabs>
          <w:tab w:val="center" w:pos="5245"/>
        </w:tabs>
        <w:spacing w:before="120" w:after="360"/>
        <w:jc w:val="center"/>
        <w:rPr>
          <w:rFonts w:cs="Arial"/>
          <w:sz w:val="22"/>
        </w:rPr>
      </w:pPr>
      <w:r w:rsidRPr="00A66B14">
        <w:rPr>
          <w:rFonts w:cs="Arial"/>
          <w:sz w:val="22"/>
        </w:rPr>
        <w:t>------------</w:t>
      </w:r>
    </w:p>
    <w:p w:rsidR="00677A09" w:rsidRDefault="00677A09">
      <w:pPr>
        <w:spacing w:line="240" w:lineRule="auto"/>
        <w:rPr>
          <w:rFonts w:cs="Arial"/>
          <w:sz w:val="22"/>
        </w:rPr>
      </w:pPr>
      <w:r>
        <w:rPr>
          <w:rFonts w:cs="Arial"/>
          <w:sz w:val="22"/>
        </w:rPr>
        <w:br w:type="page"/>
      </w:r>
    </w:p>
    <w:p w:rsidR="004779C2" w:rsidRPr="00A66B14" w:rsidRDefault="004779C2" w:rsidP="004779C2">
      <w:pPr>
        <w:tabs>
          <w:tab w:val="center" w:pos="5245"/>
        </w:tabs>
        <w:spacing w:before="120" w:after="360"/>
        <w:jc w:val="center"/>
        <w:rPr>
          <w:rFonts w:cs="Arial"/>
          <w:sz w:val="22"/>
        </w:rPr>
      </w:pPr>
    </w:p>
    <w:p w:rsidR="00FA2EC4" w:rsidRDefault="00E96537" w:rsidP="00E96537">
      <w:pPr>
        <w:jc w:val="both"/>
        <w:rPr>
          <w:rFonts w:eastAsia="Times New Roman" w:cs="Arial"/>
          <w:sz w:val="22"/>
          <w:lang w:eastAsia="fr-FR"/>
        </w:rPr>
      </w:pPr>
      <w:r w:rsidRPr="00E96537">
        <w:rPr>
          <w:rFonts w:eastAsia="Times New Roman" w:cs="Arial"/>
          <w:sz w:val="22"/>
          <w:lang w:eastAsia="fr-FR"/>
        </w:rPr>
        <w:t xml:space="preserve">Fait et jugé en la Cour des comptes, quatrième chambre, première section. Présents : M. Jean-Philippe VACHIA, président de chambre, président de la formation, </w:t>
      </w:r>
      <w:r w:rsidR="00C11014" w:rsidRPr="00C11014">
        <w:rPr>
          <w:rFonts w:eastAsia="Times New Roman" w:cs="Arial"/>
          <w:sz w:val="22"/>
          <w:lang w:eastAsia="fr-FR"/>
        </w:rPr>
        <w:t>M</w:t>
      </w:r>
      <w:r w:rsidR="00C11014" w:rsidRPr="00C11014">
        <w:rPr>
          <w:rFonts w:eastAsia="Times New Roman" w:cs="Arial"/>
          <w:sz w:val="22"/>
          <w:vertAlign w:val="superscript"/>
          <w:lang w:eastAsia="fr-FR"/>
        </w:rPr>
        <w:t>me</w:t>
      </w:r>
      <w:r w:rsidR="00C11014">
        <w:rPr>
          <w:rFonts w:eastAsia="Times New Roman" w:cs="Arial"/>
          <w:sz w:val="22"/>
          <w:lang w:eastAsia="fr-FR"/>
        </w:rPr>
        <w:t> </w:t>
      </w:r>
      <w:r w:rsidRPr="00E96537">
        <w:rPr>
          <w:rFonts w:eastAsia="Times New Roman" w:cs="Arial"/>
          <w:sz w:val="22"/>
          <w:lang w:eastAsia="fr-FR"/>
        </w:rPr>
        <w:t>Anne FROMENT-MEURICE, présidente de chambre maintenue en activité, MM. Gérard GANSER, Jean-Pierre LAFAURE, Jean-Yves BERTUCCI, conseillers maîtres, M</w:t>
      </w:r>
      <w:r w:rsidRPr="00C11014">
        <w:rPr>
          <w:rFonts w:eastAsia="Times New Roman" w:cs="Arial"/>
          <w:sz w:val="22"/>
          <w:vertAlign w:val="superscript"/>
          <w:lang w:eastAsia="fr-FR"/>
        </w:rPr>
        <w:t>mes</w:t>
      </w:r>
      <w:r w:rsidR="00C11014">
        <w:rPr>
          <w:rFonts w:eastAsia="Times New Roman" w:cs="Arial"/>
          <w:sz w:val="22"/>
          <w:lang w:eastAsia="fr-FR"/>
        </w:rPr>
        <w:t> </w:t>
      </w:r>
      <w:r w:rsidRPr="00E96537">
        <w:rPr>
          <w:rFonts w:eastAsia="Times New Roman" w:cs="Arial"/>
          <w:sz w:val="22"/>
          <w:lang w:eastAsia="fr-FR"/>
        </w:rPr>
        <w:t>Laurence ENGEL et Isabelle LATOURNARIE-WILLEMS</w:t>
      </w:r>
      <w:r w:rsidR="006636A0">
        <w:rPr>
          <w:rFonts w:eastAsia="Times New Roman" w:cs="Arial"/>
          <w:sz w:val="22"/>
          <w:lang w:eastAsia="fr-FR"/>
        </w:rPr>
        <w:t>,</w:t>
      </w:r>
      <w:r w:rsidRPr="00E96537">
        <w:rPr>
          <w:rFonts w:eastAsia="Times New Roman" w:cs="Arial"/>
          <w:sz w:val="22"/>
          <w:lang w:eastAsia="fr-FR"/>
        </w:rPr>
        <w:t xml:space="preserve"> conseillères maître</w:t>
      </w:r>
      <w:r>
        <w:rPr>
          <w:rFonts w:eastAsia="Times New Roman" w:cs="Arial"/>
          <w:sz w:val="22"/>
          <w:lang w:eastAsia="fr-FR"/>
        </w:rPr>
        <w:t>s.</w:t>
      </w:r>
    </w:p>
    <w:p w:rsidR="006636A0" w:rsidRDefault="006636A0" w:rsidP="00E96537">
      <w:pPr>
        <w:jc w:val="both"/>
        <w:rPr>
          <w:rFonts w:eastAsia="Times New Roman" w:cs="Arial"/>
          <w:sz w:val="22"/>
          <w:lang w:eastAsia="fr-FR"/>
        </w:rPr>
      </w:pPr>
    </w:p>
    <w:p w:rsidR="000221FC" w:rsidRDefault="000221FC" w:rsidP="000221FC">
      <w:pPr>
        <w:tabs>
          <w:tab w:val="center" w:pos="4536"/>
          <w:tab w:val="right" w:pos="9072"/>
        </w:tabs>
        <w:spacing w:before="120" w:after="360" w:line="240" w:lineRule="auto"/>
        <w:jc w:val="both"/>
        <w:rPr>
          <w:rFonts w:eastAsia="Times New Roman" w:cs="Arial"/>
          <w:sz w:val="22"/>
          <w:lang w:eastAsia="fr-FR"/>
        </w:rPr>
      </w:pPr>
      <w:r w:rsidRPr="00DA50FE">
        <w:rPr>
          <w:rFonts w:eastAsia="Times New Roman" w:cs="Arial"/>
          <w:sz w:val="22"/>
          <w:lang w:eastAsia="fr-FR"/>
        </w:rPr>
        <w:t xml:space="preserve">En présence de </w:t>
      </w:r>
      <w:r w:rsidR="00C11014" w:rsidRPr="00C11014">
        <w:rPr>
          <w:rFonts w:eastAsia="Times New Roman" w:cs="Arial"/>
          <w:sz w:val="22"/>
          <w:lang w:eastAsia="fr-FR"/>
        </w:rPr>
        <w:t>M</w:t>
      </w:r>
      <w:r w:rsidR="00C11014" w:rsidRPr="00C11014">
        <w:rPr>
          <w:rFonts w:eastAsia="Times New Roman" w:cs="Arial"/>
          <w:sz w:val="22"/>
          <w:vertAlign w:val="superscript"/>
          <w:lang w:eastAsia="fr-FR"/>
        </w:rPr>
        <w:t>me</w:t>
      </w:r>
      <w:r w:rsidR="00C11014">
        <w:rPr>
          <w:rFonts w:eastAsia="Times New Roman" w:cs="Arial"/>
          <w:sz w:val="22"/>
          <w:lang w:eastAsia="fr-FR"/>
        </w:rPr>
        <w:t> </w:t>
      </w:r>
      <w:bookmarkStart w:id="0" w:name="_GoBack"/>
      <w:bookmarkEnd w:id="0"/>
      <w:r w:rsidRPr="00DA50FE">
        <w:rPr>
          <w:rFonts w:eastAsia="Times New Roman" w:cs="Arial"/>
          <w:sz w:val="22"/>
          <w:lang w:eastAsia="fr-FR"/>
        </w:rPr>
        <w:t>Annie LE BARON</w:t>
      </w:r>
      <w:r>
        <w:rPr>
          <w:rFonts w:eastAsia="Times New Roman" w:cs="Arial"/>
          <w:sz w:val="22"/>
          <w:lang w:eastAsia="fr-FR"/>
        </w:rPr>
        <w:t>,</w:t>
      </w:r>
      <w:r w:rsidRPr="00DA50FE">
        <w:rPr>
          <w:rFonts w:eastAsia="Times New Roman" w:cs="Arial"/>
          <w:sz w:val="22"/>
          <w:lang w:eastAsia="fr-FR"/>
        </w:rPr>
        <w:t xml:space="preserve"> greffière de séance.</w:t>
      </w:r>
    </w:p>
    <w:tbl>
      <w:tblPr>
        <w:tblW w:w="0" w:type="auto"/>
        <w:tblInd w:w="34" w:type="dxa"/>
        <w:tblLook w:val="00A0" w:firstRow="1" w:lastRow="0" w:firstColumn="1" w:lastColumn="0" w:noHBand="0" w:noVBand="0"/>
      </w:tblPr>
      <w:tblGrid>
        <w:gridCol w:w="4637"/>
        <w:gridCol w:w="4615"/>
      </w:tblGrid>
      <w:tr w:rsidR="000221FC" w:rsidRPr="00DA50FE" w:rsidTr="009A78E4">
        <w:tc>
          <w:tcPr>
            <w:tcW w:w="4637" w:type="dxa"/>
          </w:tcPr>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Pr="00DA50FE" w:rsidRDefault="000221FC" w:rsidP="009A78E4">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Annie LE BARON</w:t>
            </w:r>
          </w:p>
          <w:p w:rsidR="000221FC" w:rsidRPr="00DA50FE" w:rsidRDefault="000221FC" w:rsidP="009A78E4">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greffière de séance</w:t>
            </w:r>
          </w:p>
        </w:tc>
        <w:tc>
          <w:tcPr>
            <w:tcW w:w="4615" w:type="dxa"/>
          </w:tcPr>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Default="000221FC" w:rsidP="009A78E4">
            <w:pPr>
              <w:tabs>
                <w:tab w:val="center" w:pos="4536"/>
                <w:tab w:val="right" w:pos="9072"/>
              </w:tabs>
              <w:spacing w:line="240" w:lineRule="auto"/>
              <w:jc w:val="center"/>
              <w:rPr>
                <w:rFonts w:eastAsia="Times New Roman" w:cs="Arial"/>
                <w:b/>
                <w:sz w:val="22"/>
                <w:lang w:eastAsia="fr-FR"/>
              </w:rPr>
            </w:pPr>
          </w:p>
          <w:p w:rsidR="000221FC" w:rsidRPr="00DA50FE" w:rsidRDefault="000221FC" w:rsidP="009A78E4">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Jean-Philipp</w:t>
            </w:r>
            <w:r w:rsidR="00677A09">
              <w:rPr>
                <w:rFonts w:eastAsia="Times New Roman" w:cs="Arial"/>
                <w:b/>
                <w:sz w:val="22"/>
                <w:lang w:eastAsia="fr-FR"/>
              </w:rPr>
              <w:t xml:space="preserve">e </w:t>
            </w:r>
            <w:r w:rsidRPr="00DA50FE">
              <w:rPr>
                <w:rFonts w:eastAsia="Times New Roman" w:cs="Arial"/>
                <w:b/>
                <w:sz w:val="22"/>
                <w:lang w:eastAsia="fr-FR"/>
              </w:rPr>
              <w:t>VACHIA</w:t>
            </w:r>
          </w:p>
          <w:p w:rsidR="000221FC" w:rsidRPr="00DA50FE" w:rsidRDefault="000221FC" w:rsidP="009A78E4">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Président de séance</w:t>
            </w:r>
          </w:p>
        </w:tc>
      </w:tr>
    </w:tbl>
    <w:p w:rsidR="000221FC" w:rsidRPr="00DA50FE" w:rsidRDefault="000221FC" w:rsidP="000221FC">
      <w:pPr>
        <w:tabs>
          <w:tab w:val="center" w:pos="4536"/>
          <w:tab w:val="right" w:pos="9072"/>
        </w:tabs>
        <w:spacing w:line="240" w:lineRule="auto"/>
        <w:jc w:val="both"/>
        <w:rPr>
          <w:rFonts w:eastAsia="Times New Roman" w:cs="Arial"/>
          <w:sz w:val="22"/>
          <w:lang w:eastAsia="fr-FR"/>
        </w:rPr>
      </w:pPr>
    </w:p>
    <w:p w:rsidR="000221FC" w:rsidRPr="00DA50FE" w:rsidRDefault="000221FC" w:rsidP="000221FC">
      <w:pPr>
        <w:tabs>
          <w:tab w:val="center" w:pos="4536"/>
          <w:tab w:val="right" w:pos="9072"/>
        </w:tabs>
        <w:spacing w:line="240" w:lineRule="auto"/>
        <w:jc w:val="both"/>
        <w:rPr>
          <w:rFonts w:eastAsia="Times New Roman" w:cs="Arial"/>
          <w:sz w:val="22"/>
          <w:lang w:eastAsia="fr-FR"/>
        </w:rPr>
      </w:pPr>
    </w:p>
    <w:p w:rsidR="000221FC" w:rsidRDefault="000221FC" w:rsidP="000221FC">
      <w:pPr>
        <w:tabs>
          <w:tab w:val="center" w:pos="4536"/>
          <w:tab w:val="right" w:pos="9072"/>
        </w:tabs>
        <w:spacing w:line="240" w:lineRule="auto"/>
        <w:jc w:val="both"/>
        <w:rPr>
          <w:rFonts w:eastAsia="Times New Roman" w:cs="Arial"/>
          <w:sz w:val="22"/>
          <w:lang w:eastAsia="fr-FR"/>
        </w:rPr>
      </w:pPr>
      <w:r w:rsidRPr="00DA50FE">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sidRPr="00DA50FE">
        <w:rPr>
          <w:rFonts w:eastAsia="Times New Roman" w:cs="Arial"/>
          <w:sz w:val="22"/>
          <w:lang w:eastAsia="fr-FR"/>
        </w:rPr>
        <w:br/>
        <w:t>la République près les tribunaux de grande instance d’y tenir la main, à tous commandants et officiers de la force publique de prêter main-forte lorsqu’ils en seront légalement requis.</w:t>
      </w:r>
    </w:p>
    <w:p w:rsidR="000221FC" w:rsidRPr="00732483" w:rsidRDefault="000221FC" w:rsidP="000221FC">
      <w:pPr>
        <w:tabs>
          <w:tab w:val="center" w:pos="4536"/>
          <w:tab w:val="right" w:pos="9072"/>
        </w:tabs>
        <w:spacing w:line="240" w:lineRule="auto"/>
        <w:jc w:val="both"/>
        <w:rPr>
          <w:rFonts w:eastAsia="Times New Roman" w:cs="Arial"/>
          <w:sz w:val="22"/>
          <w:lang w:eastAsia="fr-FR"/>
        </w:rPr>
      </w:pPr>
    </w:p>
    <w:p w:rsidR="000221FC" w:rsidRPr="00732483" w:rsidRDefault="000221FC" w:rsidP="000221FC">
      <w:pPr>
        <w:tabs>
          <w:tab w:val="center" w:pos="4536"/>
        </w:tabs>
        <w:spacing w:line="240" w:lineRule="auto"/>
        <w:jc w:val="both"/>
        <w:rPr>
          <w:rFonts w:cs="Arial"/>
          <w:sz w:val="22"/>
        </w:rPr>
      </w:pPr>
      <w:r w:rsidRPr="00732483">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0221FC" w:rsidRPr="00C13095" w:rsidRDefault="000221FC" w:rsidP="000221FC"/>
    <w:p w:rsidR="006636A0" w:rsidRPr="00E96537" w:rsidRDefault="006636A0" w:rsidP="00E96537">
      <w:pPr>
        <w:jc w:val="both"/>
        <w:rPr>
          <w:sz w:val="22"/>
        </w:rPr>
      </w:pPr>
    </w:p>
    <w:sectPr w:rsidR="006636A0" w:rsidRPr="00E96537"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7E1" w:rsidRDefault="005C57E1" w:rsidP="00B41656">
      <w:pPr>
        <w:spacing w:line="240" w:lineRule="auto"/>
      </w:pPr>
      <w:r>
        <w:separator/>
      </w:r>
    </w:p>
  </w:endnote>
  <w:endnote w:type="continuationSeparator" w:id="0">
    <w:p w:rsidR="005C57E1" w:rsidRDefault="005C57E1"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1BF" w:rsidRDefault="003E71BF">
    <w:pPr>
      <w:pStyle w:val="Pieddepage"/>
      <w:jc w:val="cente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24379" w:rsidRPr="008F0DC7" w:rsidTr="00AC307D">
      <w:trPr>
        <w:jc w:val="center"/>
      </w:trPr>
      <w:tc>
        <w:tcPr>
          <w:tcW w:w="9212" w:type="dxa"/>
        </w:tcPr>
        <w:p w:rsidR="00424379" w:rsidRPr="008F0DC7" w:rsidRDefault="00424379" w:rsidP="00AC307D">
          <w:pPr>
            <w:pStyle w:val="Pieddepage"/>
            <w:jc w:val="center"/>
            <w:rPr>
              <w:rFonts w:cs="Arial"/>
            </w:rPr>
          </w:pPr>
          <w:r w:rsidRPr="008F0DC7">
            <w:rPr>
              <w:rFonts w:cs="Arial"/>
            </w:rPr>
            <w:t>13 rue Cambon - 75100 PARIS CEDEX 01 - T +33 1 42 98 95 00 - www.ccomptes.fr</w:t>
          </w:r>
        </w:p>
      </w:tc>
    </w:tr>
    <w:tr w:rsidR="00424379" w:rsidRPr="008F0DC7" w:rsidTr="00AC307D">
      <w:trPr>
        <w:jc w:val="center"/>
      </w:trPr>
      <w:tc>
        <w:tcPr>
          <w:tcW w:w="9212" w:type="dxa"/>
        </w:tcPr>
        <w:p w:rsidR="00424379" w:rsidRPr="008F0DC7" w:rsidRDefault="00424379" w:rsidP="00AC307D">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7E1" w:rsidRDefault="005C57E1" w:rsidP="00B41656">
      <w:pPr>
        <w:spacing w:line="240" w:lineRule="auto"/>
      </w:pPr>
      <w:r>
        <w:separator/>
      </w:r>
    </w:p>
  </w:footnote>
  <w:footnote w:type="continuationSeparator" w:id="0">
    <w:p w:rsidR="005C57E1" w:rsidRDefault="005C57E1" w:rsidP="00B41656">
      <w:pPr>
        <w:spacing w:line="240" w:lineRule="auto"/>
      </w:pPr>
      <w:r>
        <w:continuationSeparator/>
      </w:r>
    </w:p>
  </w:footnote>
  <w:footnote w:id="1">
    <w:p w:rsidR="00FA5B87" w:rsidRDefault="00FA5B87">
      <w:pPr>
        <w:pStyle w:val="Notedebasdepage"/>
      </w:pPr>
      <w:r>
        <w:rPr>
          <w:rStyle w:val="Appelnotedebasdep"/>
        </w:rPr>
        <w:footnoteRef/>
      </w:r>
      <w:r>
        <w:t xml:space="preserve"> Conversion effectuée au taux de change Roupie indienne / Euro du jour de l’audience publique, soit le 10 septembre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5C57E1"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C11014">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C11014">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66067E40" wp14:editId="2226409B">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0396"/>
    <w:rsid w:val="000221FC"/>
    <w:rsid w:val="00026209"/>
    <w:rsid w:val="00042157"/>
    <w:rsid w:val="00055973"/>
    <w:rsid w:val="00057C1C"/>
    <w:rsid w:val="00060466"/>
    <w:rsid w:val="000644DC"/>
    <w:rsid w:val="00067EA3"/>
    <w:rsid w:val="00077E98"/>
    <w:rsid w:val="000A517E"/>
    <w:rsid w:val="000B4FED"/>
    <w:rsid w:val="000B6546"/>
    <w:rsid w:val="000D61A7"/>
    <w:rsid w:val="000D7270"/>
    <w:rsid w:val="000E4F66"/>
    <w:rsid w:val="000E70DD"/>
    <w:rsid w:val="000F5299"/>
    <w:rsid w:val="000F53CA"/>
    <w:rsid w:val="001012B4"/>
    <w:rsid w:val="00110640"/>
    <w:rsid w:val="0011474E"/>
    <w:rsid w:val="00121489"/>
    <w:rsid w:val="001218CA"/>
    <w:rsid w:val="001248F5"/>
    <w:rsid w:val="0013115F"/>
    <w:rsid w:val="00131A38"/>
    <w:rsid w:val="001440E9"/>
    <w:rsid w:val="001656BC"/>
    <w:rsid w:val="001659AD"/>
    <w:rsid w:val="0016783F"/>
    <w:rsid w:val="00172BFB"/>
    <w:rsid w:val="001733C8"/>
    <w:rsid w:val="00173B1B"/>
    <w:rsid w:val="00175D08"/>
    <w:rsid w:val="00177B90"/>
    <w:rsid w:val="00183A9C"/>
    <w:rsid w:val="001C59EC"/>
    <w:rsid w:val="001D11BE"/>
    <w:rsid w:val="001E6304"/>
    <w:rsid w:val="0020204B"/>
    <w:rsid w:val="002040C2"/>
    <w:rsid w:val="002257B0"/>
    <w:rsid w:val="002304DE"/>
    <w:rsid w:val="00231C67"/>
    <w:rsid w:val="00240772"/>
    <w:rsid w:val="00240A0B"/>
    <w:rsid w:val="00240C13"/>
    <w:rsid w:val="00244453"/>
    <w:rsid w:val="00251668"/>
    <w:rsid w:val="0025544C"/>
    <w:rsid w:val="0025618D"/>
    <w:rsid w:val="00265091"/>
    <w:rsid w:val="00283473"/>
    <w:rsid w:val="002878B1"/>
    <w:rsid w:val="002A2A4B"/>
    <w:rsid w:val="002B443B"/>
    <w:rsid w:val="002B74C3"/>
    <w:rsid w:val="002B7CE8"/>
    <w:rsid w:val="002C04EE"/>
    <w:rsid w:val="002C0B4C"/>
    <w:rsid w:val="002C15FE"/>
    <w:rsid w:val="002D0DA9"/>
    <w:rsid w:val="002D2D17"/>
    <w:rsid w:val="002E2139"/>
    <w:rsid w:val="002E61A9"/>
    <w:rsid w:val="002E75B7"/>
    <w:rsid w:val="002F1543"/>
    <w:rsid w:val="002F197F"/>
    <w:rsid w:val="002F2B96"/>
    <w:rsid w:val="002F4EB2"/>
    <w:rsid w:val="00331067"/>
    <w:rsid w:val="00335254"/>
    <w:rsid w:val="00365ED7"/>
    <w:rsid w:val="003661E1"/>
    <w:rsid w:val="00376FD6"/>
    <w:rsid w:val="0039517C"/>
    <w:rsid w:val="003955D7"/>
    <w:rsid w:val="003A09FE"/>
    <w:rsid w:val="003B5784"/>
    <w:rsid w:val="003B7B51"/>
    <w:rsid w:val="003B7BA2"/>
    <w:rsid w:val="003C582D"/>
    <w:rsid w:val="003C729C"/>
    <w:rsid w:val="003D0B4E"/>
    <w:rsid w:val="003D51CA"/>
    <w:rsid w:val="003D58FB"/>
    <w:rsid w:val="003D7655"/>
    <w:rsid w:val="003E71BF"/>
    <w:rsid w:val="004022CB"/>
    <w:rsid w:val="00411920"/>
    <w:rsid w:val="00424379"/>
    <w:rsid w:val="0043518E"/>
    <w:rsid w:val="004507C2"/>
    <w:rsid w:val="00466852"/>
    <w:rsid w:val="0047092C"/>
    <w:rsid w:val="004779C2"/>
    <w:rsid w:val="00477C3D"/>
    <w:rsid w:val="004978FA"/>
    <w:rsid w:val="004A0670"/>
    <w:rsid w:val="004A0C49"/>
    <w:rsid w:val="004A1A11"/>
    <w:rsid w:val="004A3477"/>
    <w:rsid w:val="004A49F1"/>
    <w:rsid w:val="004A59E5"/>
    <w:rsid w:val="004D2E14"/>
    <w:rsid w:val="005007FE"/>
    <w:rsid w:val="0050171F"/>
    <w:rsid w:val="005133E5"/>
    <w:rsid w:val="00521224"/>
    <w:rsid w:val="005276B0"/>
    <w:rsid w:val="00530103"/>
    <w:rsid w:val="005369EE"/>
    <w:rsid w:val="0054781F"/>
    <w:rsid w:val="00551EED"/>
    <w:rsid w:val="00557EDE"/>
    <w:rsid w:val="0057704C"/>
    <w:rsid w:val="005907FB"/>
    <w:rsid w:val="005B4CA5"/>
    <w:rsid w:val="005C57E1"/>
    <w:rsid w:val="005C5994"/>
    <w:rsid w:val="005C7346"/>
    <w:rsid w:val="005D5A5A"/>
    <w:rsid w:val="005F61B5"/>
    <w:rsid w:val="00604974"/>
    <w:rsid w:val="0061509F"/>
    <w:rsid w:val="0063020D"/>
    <w:rsid w:val="006344B0"/>
    <w:rsid w:val="00634522"/>
    <w:rsid w:val="00637D6F"/>
    <w:rsid w:val="00640087"/>
    <w:rsid w:val="00647807"/>
    <w:rsid w:val="0065364D"/>
    <w:rsid w:val="00662166"/>
    <w:rsid w:val="006636A0"/>
    <w:rsid w:val="00676091"/>
    <w:rsid w:val="006774B5"/>
    <w:rsid w:val="00677A09"/>
    <w:rsid w:val="0068148D"/>
    <w:rsid w:val="00687F6F"/>
    <w:rsid w:val="006A0214"/>
    <w:rsid w:val="006A024E"/>
    <w:rsid w:val="006A4EB5"/>
    <w:rsid w:val="006A568B"/>
    <w:rsid w:val="006A7750"/>
    <w:rsid w:val="006B3C58"/>
    <w:rsid w:val="006B6D9C"/>
    <w:rsid w:val="006C72CB"/>
    <w:rsid w:val="006D2BC8"/>
    <w:rsid w:val="006E0C9C"/>
    <w:rsid w:val="006E170E"/>
    <w:rsid w:val="006E3A7F"/>
    <w:rsid w:val="006F3120"/>
    <w:rsid w:val="00707BD1"/>
    <w:rsid w:val="00724014"/>
    <w:rsid w:val="007252C5"/>
    <w:rsid w:val="007410AA"/>
    <w:rsid w:val="00741FA6"/>
    <w:rsid w:val="00756BD4"/>
    <w:rsid w:val="00764F62"/>
    <w:rsid w:val="00765A21"/>
    <w:rsid w:val="0077703E"/>
    <w:rsid w:val="00792785"/>
    <w:rsid w:val="00794574"/>
    <w:rsid w:val="007A448C"/>
    <w:rsid w:val="007B06F6"/>
    <w:rsid w:val="007B71CF"/>
    <w:rsid w:val="007E06F2"/>
    <w:rsid w:val="007F2707"/>
    <w:rsid w:val="007F76E8"/>
    <w:rsid w:val="00802429"/>
    <w:rsid w:val="00803BAB"/>
    <w:rsid w:val="0081551A"/>
    <w:rsid w:val="00816090"/>
    <w:rsid w:val="00824FC7"/>
    <w:rsid w:val="0082514D"/>
    <w:rsid w:val="008256E2"/>
    <w:rsid w:val="0085194D"/>
    <w:rsid w:val="00863D04"/>
    <w:rsid w:val="0086760B"/>
    <w:rsid w:val="00873557"/>
    <w:rsid w:val="00875AE9"/>
    <w:rsid w:val="00875FF2"/>
    <w:rsid w:val="008844EF"/>
    <w:rsid w:val="00884BF1"/>
    <w:rsid w:val="00895159"/>
    <w:rsid w:val="008A34BF"/>
    <w:rsid w:val="008A6ACF"/>
    <w:rsid w:val="008B01F8"/>
    <w:rsid w:val="008B0695"/>
    <w:rsid w:val="008C17E4"/>
    <w:rsid w:val="008C244D"/>
    <w:rsid w:val="008C44B5"/>
    <w:rsid w:val="008C50C1"/>
    <w:rsid w:val="008D0DD6"/>
    <w:rsid w:val="008E360F"/>
    <w:rsid w:val="008E5EE8"/>
    <w:rsid w:val="008E6068"/>
    <w:rsid w:val="008E6349"/>
    <w:rsid w:val="008F0F94"/>
    <w:rsid w:val="008F2C0D"/>
    <w:rsid w:val="008F5219"/>
    <w:rsid w:val="00901C0D"/>
    <w:rsid w:val="00904FC0"/>
    <w:rsid w:val="00932341"/>
    <w:rsid w:val="009405CE"/>
    <w:rsid w:val="00950441"/>
    <w:rsid w:val="00961186"/>
    <w:rsid w:val="009627B1"/>
    <w:rsid w:val="00963E1E"/>
    <w:rsid w:val="00966697"/>
    <w:rsid w:val="009672D3"/>
    <w:rsid w:val="009802E3"/>
    <w:rsid w:val="009933FF"/>
    <w:rsid w:val="009B22BF"/>
    <w:rsid w:val="009D5561"/>
    <w:rsid w:val="009E45E4"/>
    <w:rsid w:val="009F0FB6"/>
    <w:rsid w:val="00A02D30"/>
    <w:rsid w:val="00A146D5"/>
    <w:rsid w:val="00A2278B"/>
    <w:rsid w:val="00A32C49"/>
    <w:rsid w:val="00A4059D"/>
    <w:rsid w:val="00A56A52"/>
    <w:rsid w:val="00A61BFF"/>
    <w:rsid w:val="00A755A3"/>
    <w:rsid w:val="00A83FC9"/>
    <w:rsid w:val="00A86BEC"/>
    <w:rsid w:val="00A90B88"/>
    <w:rsid w:val="00A9735F"/>
    <w:rsid w:val="00AA6611"/>
    <w:rsid w:val="00AA6A89"/>
    <w:rsid w:val="00AD0F2E"/>
    <w:rsid w:val="00AE774F"/>
    <w:rsid w:val="00AF3334"/>
    <w:rsid w:val="00B02E3F"/>
    <w:rsid w:val="00B128E3"/>
    <w:rsid w:val="00B143D3"/>
    <w:rsid w:val="00B20DF8"/>
    <w:rsid w:val="00B26C9B"/>
    <w:rsid w:val="00B271A5"/>
    <w:rsid w:val="00B275C1"/>
    <w:rsid w:val="00B41656"/>
    <w:rsid w:val="00B44B22"/>
    <w:rsid w:val="00B542A5"/>
    <w:rsid w:val="00B56D44"/>
    <w:rsid w:val="00B645D1"/>
    <w:rsid w:val="00B64C77"/>
    <w:rsid w:val="00B75F63"/>
    <w:rsid w:val="00B967C8"/>
    <w:rsid w:val="00BA31B3"/>
    <w:rsid w:val="00BA60D8"/>
    <w:rsid w:val="00BB2920"/>
    <w:rsid w:val="00BB7176"/>
    <w:rsid w:val="00BC40A5"/>
    <w:rsid w:val="00BC75AE"/>
    <w:rsid w:val="00BD2B1F"/>
    <w:rsid w:val="00BE12BA"/>
    <w:rsid w:val="00BE6831"/>
    <w:rsid w:val="00BF3254"/>
    <w:rsid w:val="00BF56B0"/>
    <w:rsid w:val="00C04525"/>
    <w:rsid w:val="00C065C7"/>
    <w:rsid w:val="00C11014"/>
    <w:rsid w:val="00C127CB"/>
    <w:rsid w:val="00C15756"/>
    <w:rsid w:val="00C17123"/>
    <w:rsid w:val="00C22187"/>
    <w:rsid w:val="00C232B4"/>
    <w:rsid w:val="00C23B89"/>
    <w:rsid w:val="00C32D50"/>
    <w:rsid w:val="00C336CB"/>
    <w:rsid w:val="00C470E9"/>
    <w:rsid w:val="00C629A6"/>
    <w:rsid w:val="00C67D39"/>
    <w:rsid w:val="00C708CF"/>
    <w:rsid w:val="00C71DB2"/>
    <w:rsid w:val="00C77CA2"/>
    <w:rsid w:val="00CA1BD5"/>
    <w:rsid w:val="00CA2011"/>
    <w:rsid w:val="00CA2B9B"/>
    <w:rsid w:val="00CB2F1E"/>
    <w:rsid w:val="00CC39B0"/>
    <w:rsid w:val="00CC39CD"/>
    <w:rsid w:val="00CD2304"/>
    <w:rsid w:val="00CD7ED9"/>
    <w:rsid w:val="00CE0209"/>
    <w:rsid w:val="00CE1BD7"/>
    <w:rsid w:val="00CE331B"/>
    <w:rsid w:val="00CE3848"/>
    <w:rsid w:val="00CE4F79"/>
    <w:rsid w:val="00CF6809"/>
    <w:rsid w:val="00D01C3E"/>
    <w:rsid w:val="00D21CDB"/>
    <w:rsid w:val="00D40772"/>
    <w:rsid w:val="00D500EF"/>
    <w:rsid w:val="00D51C43"/>
    <w:rsid w:val="00D61917"/>
    <w:rsid w:val="00D62649"/>
    <w:rsid w:val="00D817B5"/>
    <w:rsid w:val="00D823E2"/>
    <w:rsid w:val="00D83F25"/>
    <w:rsid w:val="00D9146A"/>
    <w:rsid w:val="00DA23AB"/>
    <w:rsid w:val="00DA6392"/>
    <w:rsid w:val="00DB1DD1"/>
    <w:rsid w:val="00DB279B"/>
    <w:rsid w:val="00DB741C"/>
    <w:rsid w:val="00DE01D4"/>
    <w:rsid w:val="00DE1E00"/>
    <w:rsid w:val="00DE32E4"/>
    <w:rsid w:val="00DE48AF"/>
    <w:rsid w:val="00DE6999"/>
    <w:rsid w:val="00DF5BEF"/>
    <w:rsid w:val="00E018EB"/>
    <w:rsid w:val="00E03290"/>
    <w:rsid w:val="00E0378B"/>
    <w:rsid w:val="00E03E5C"/>
    <w:rsid w:val="00E16AC8"/>
    <w:rsid w:val="00E25406"/>
    <w:rsid w:val="00E35B8A"/>
    <w:rsid w:val="00E430FB"/>
    <w:rsid w:val="00E50897"/>
    <w:rsid w:val="00E515EB"/>
    <w:rsid w:val="00E55D24"/>
    <w:rsid w:val="00E806B8"/>
    <w:rsid w:val="00E86FB6"/>
    <w:rsid w:val="00E87137"/>
    <w:rsid w:val="00E90335"/>
    <w:rsid w:val="00E96537"/>
    <w:rsid w:val="00EB3350"/>
    <w:rsid w:val="00ED3235"/>
    <w:rsid w:val="00ED3BBB"/>
    <w:rsid w:val="00EE03F3"/>
    <w:rsid w:val="00EE2510"/>
    <w:rsid w:val="00EE3AA4"/>
    <w:rsid w:val="00EE4F42"/>
    <w:rsid w:val="00F02B00"/>
    <w:rsid w:val="00F02D0A"/>
    <w:rsid w:val="00F050A8"/>
    <w:rsid w:val="00F109BD"/>
    <w:rsid w:val="00F34BAC"/>
    <w:rsid w:val="00F46C41"/>
    <w:rsid w:val="00F63CE2"/>
    <w:rsid w:val="00F73ABC"/>
    <w:rsid w:val="00F81512"/>
    <w:rsid w:val="00F8543A"/>
    <w:rsid w:val="00F8606B"/>
    <w:rsid w:val="00F91947"/>
    <w:rsid w:val="00F9203F"/>
    <w:rsid w:val="00FA2601"/>
    <w:rsid w:val="00FA2EC4"/>
    <w:rsid w:val="00FA5B87"/>
    <w:rsid w:val="00FB3658"/>
    <w:rsid w:val="00FB5FC7"/>
    <w:rsid w:val="00FC3558"/>
    <w:rsid w:val="00FD31C9"/>
    <w:rsid w:val="00FD3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paragraph" w:styleId="Rvision">
    <w:name w:val="Revision"/>
    <w:hidden/>
    <w:uiPriority w:val="71"/>
    <w:rsid w:val="00884BF1"/>
    <w:rPr>
      <w:sz w:val="18"/>
      <w:szCs w:val="22"/>
      <w:lang w:eastAsia="en-US"/>
    </w:rPr>
  </w:style>
  <w:style w:type="character" w:styleId="Marquedecommentaire">
    <w:name w:val="annotation reference"/>
    <w:basedOn w:val="Policepardfaut"/>
    <w:uiPriority w:val="99"/>
    <w:semiHidden/>
    <w:rsid w:val="00A61BFF"/>
    <w:rPr>
      <w:sz w:val="16"/>
      <w:szCs w:val="16"/>
    </w:rPr>
  </w:style>
  <w:style w:type="paragraph" w:styleId="Commentaire">
    <w:name w:val="annotation text"/>
    <w:basedOn w:val="Normal"/>
    <w:link w:val="CommentaireCar"/>
    <w:uiPriority w:val="99"/>
    <w:semiHidden/>
    <w:rsid w:val="00A61BFF"/>
    <w:pPr>
      <w:spacing w:line="240" w:lineRule="auto"/>
    </w:pPr>
    <w:rPr>
      <w:sz w:val="20"/>
      <w:szCs w:val="20"/>
    </w:rPr>
  </w:style>
  <w:style w:type="character" w:customStyle="1" w:styleId="CommentaireCar">
    <w:name w:val="Commentaire Car"/>
    <w:basedOn w:val="Policepardfaut"/>
    <w:link w:val="Commentaire"/>
    <w:uiPriority w:val="99"/>
    <w:semiHidden/>
    <w:rsid w:val="00A61BFF"/>
    <w:rPr>
      <w:lang w:eastAsia="en-US"/>
    </w:rPr>
  </w:style>
  <w:style w:type="paragraph" w:styleId="Objetducommentaire">
    <w:name w:val="annotation subject"/>
    <w:basedOn w:val="Commentaire"/>
    <w:next w:val="Commentaire"/>
    <w:link w:val="ObjetducommentaireCar"/>
    <w:uiPriority w:val="99"/>
    <w:semiHidden/>
    <w:rsid w:val="00A61BFF"/>
    <w:rPr>
      <w:b/>
      <w:bCs/>
    </w:rPr>
  </w:style>
  <w:style w:type="character" w:customStyle="1" w:styleId="ObjetducommentaireCar">
    <w:name w:val="Objet du commentaire Car"/>
    <w:basedOn w:val="CommentaireCar"/>
    <w:link w:val="Objetducommentaire"/>
    <w:uiPriority w:val="99"/>
    <w:semiHidden/>
    <w:rsid w:val="00A61BFF"/>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paragraph" w:styleId="Rvision">
    <w:name w:val="Revision"/>
    <w:hidden/>
    <w:uiPriority w:val="71"/>
    <w:rsid w:val="00884BF1"/>
    <w:rPr>
      <w:sz w:val="18"/>
      <w:szCs w:val="22"/>
      <w:lang w:eastAsia="en-US"/>
    </w:rPr>
  </w:style>
  <w:style w:type="character" w:styleId="Marquedecommentaire">
    <w:name w:val="annotation reference"/>
    <w:basedOn w:val="Policepardfaut"/>
    <w:uiPriority w:val="99"/>
    <w:semiHidden/>
    <w:rsid w:val="00A61BFF"/>
    <w:rPr>
      <w:sz w:val="16"/>
      <w:szCs w:val="16"/>
    </w:rPr>
  </w:style>
  <w:style w:type="paragraph" w:styleId="Commentaire">
    <w:name w:val="annotation text"/>
    <w:basedOn w:val="Normal"/>
    <w:link w:val="CommentaireCar"/>
    <w:uiPriority w:val="99"/>
    <w:semiHidden/>
    <w:rsid w:val="00A61BFF"/>
    <w:pPr>
      <w:spacing w:line="240" w:lineRule="auto"/>
    </w:pPr>
    <w:rPr>
      <w:sz w:val="20"/>
      <w:szCs w:val="20"/>
    </w:rPr>
  </w:style>
  <w:style w:type="character" w:customStyle="1" w:styleId="CommentaireCar">
    <w:name w:val="Commentaire Car"/>
    <w:basedOn w:val="Policepardfaut"/>
    <w:link w:val="Commentaire"/>
    <w:uiPriority w:val="99"/>
    <w:semiHidden/>
    <w:rsid w:val="00A61BFF"/>
    <w:rPr>
      <w:lang w:eastAsia="en-US"/>
    </w:rPr>
  </w:style>
  <w:style w:type="paragraph" w:styleId="Objetducommentaire">
    <w:name w:val="annotation subject"/>
    <w:basedOn w:val="Commentaire"/>
    <w:next w:val="Commentaire"/>
    <w:link w:val="ObjetducommentaireCar"/>
    <w:uiPriority w:val="99"/>
    <w:semiHidden/>
    <w:rsid w:val="00A61BFF"/>
    <w:rPr>
      <w:b/>
      <w:bCs/>
    </w:rPr>
  </w:style>
  <w:style w:type="character" w:customStyle="1" w:styleId="ObjetducommentaireCar">
    <w:name w:val="Objet du commentaire Car"/>
    <w:basedOn w:val="CommentaireCar"/>
    <w:link w:val="Objetducommentaire"/>
    <w:uiPriority w:val="99"/>
    <w:semiHidden/>
    <w:rsid w:val="00A61BFF"/>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3522B-DB66-42E5-8AD9-68074404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1494</Words>
  <Characters>8217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7</cp:revision>
  <cp:lastPrinted>2015-10-06T12:03:00Z</cp:lastPrinted>
  <dcterms:created xsi:type="dcterms:W3CDTF">2015-10-15T08:32:00Z</dcterms:created>
  <dcterms:modified xsi:type="dcterms:W3CDTF">2015-11-11T17:25:00Z</dcterms:modified>
</cp:coreProperties>
</file>