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707" w:rsidRPr="007F2707" w:rsidRDefault="007F2707" w:rsidP="007F2707"/>
    <w:tbl>
      <w:tblPr>
        <w:tblW w:w="9464" w:type="dxa"/>
        <w:tblLook w:val="00A0" w:firstRow="1" w:lastRow="0" w:firstColumn="1" w:lastColumn="0" w:noHBand="0" w:noVBand="0"/>
      </w:tblPr>
      <w:tblGrid>
        <w:gridCol w:w="5103"/>
        <w:gridCol w:w="4361"/>
      </w:tblGrid>
      <w:tr w:rsidR="004A5786" w:rsidRPr="00D117F8" w:rsidTr="004A5786">
        <w:tc>
          <w:tcPr>
            <w:tcW w:w="5103" w:type="dxa"/>
          </w:tcPr>
          <w:p w:rsidR="004A5786" w:rsidRPr="00D117F8" w:rsidRDefault="004A5786" w:rsidP="004A5786">
            <w:pPr>
              <w:spacing w:line="240" w:lineRule="auto"/>
              <w:ind w:firstLine="34"/>
              <w:rPr>
                <w:rFonts w:eastAsia="Times New Roman" w:cs="Arial"/>
                <w:sz w:val="22"/>
                <w:lang w:eastAsia="fr-FR"/>
              </w:rPr>
            </w:pPr>
          </w:p>
          <w:p w:rsidR="004A5786" w:rsidRPr="00D117F8" w:rsidRDefault="004A5786" w:rsidP="004A5786">
            <w:pPr>
              <w:spacing w:line="240" w:lineRule="auto"/>
              <w:ind w:firstLine="34"/>
              <w:rPr>
                <w:rFonts w:eastAsia="Times New Roman" w:cs="Arial"/>
                <w:sz w:val="22"/>
                <w:lang w:eastAsia="fr-FR"/>
              </w:rPr>
            </w:pPr>
          </w:p>
          <w:p w:rsidR="004A5786" w:rsidRPr="00D117F8" w:rsidRDefault="002F66D6" w:rsidP="00D00A0E">
            <w:pPr>
              <w:spacing w:line="240" w:lineRule="auto"/>
              <w:ind w:right="1059" w:firstLine="34"/>
              <w:jc w:val="center"/>
              <w:rPr>
                <w:rFonts w:eastAsia="Times New Roman" w:cs="Arial"/>
                <w:sz w:val="22"/>
                <w:lang w:eastAsia="fr-FR"/>
              </w:rPr>
            </w:pPr>
            <w:r w:rsidRPr="00D117F8">
              <w:rPr>
                <w:rFonts w:eastAsia="Times New Roman" w:cs="Arial"/>
                <w:sz w:val="22"/>
                <w:lang w:eastAsia="fr-FR"/>
              </w:rPr>
              <w:t>QUATRIÈME CHAMBRE</w:t>
            </w:r>
          </w:p>
          <w:p w:rsidR="004A5786" w:rsidRPr="00D117F8" w:rsidRDefault="002F66D6" w:rsidP="00D00A0E">
            <w:pPr>
              <w:spacing w:line="240" w:lineRule="auto"/>
              <w:ind w:right="1059" w:firstLine="34"/>
              <w:jc w:val="center"/>
              <w:rPr>
                <w:rFonts w:eastAsia="Times New Roman" w:cs="Arial"/>
                <w:b/>
                <w:sz w:val="22"/>
                <w:lang w:eastAsia="fr-FR"/>
              </w:rPr>
            </w:pPr>
            <w:r w:rsidRPr="00D117F8">
              <w:rPr>
                <w:rFonts w:eastAsia="Times New Roman" w:cs="Arial"/>
                <w:b/>
                <w:sz w:val="22"/>
                <w:lang w:eastAsia="fr-FR"/>
              </w:rPr>
              <w:t>-------</w:t>
            </w:r>
          </w:p>
          <w:p w:rsidR="004A5786" w:rsidRPr="00D117F8" w:rsidRDefault="002F66D6" w:rsidP="00D00A0E">
            <w:pPr>
              <w:spacing w:line="240" w:lineRule="auto"/>
              <w:ind w:right="1059" w:firstLine="34"/>
              <w:jc w:val="center"/>
              <w:rPr>
                <w:rFonts w:eastAsia="Times New Roman" w:cs="Arial"/>
                <w:sz w:val="22"/>
                <w:lang w:eastAsia="fr-FR"/>
              </w:rPr>
            </w:pPr>
            <w:r w:rsidRPr="00D117F8">
              <w:rPr>
                <w:rFonts w:eastAsia="Times New Roman" w:cs="Arial"/>
                <w:sz w:val="22"/>
                <w:lang w:eastAsia="fr-FR"/>
              </w:rPr>
              <w:t>Première section</w:t>
            </w:r>
          </w:p>
          <w:p w:rsidR="004A5786" w:rsidRPr="00D117F8" w:rsidRDefault="002F66D6" w:rsidP="00D00A0E">
            <w:pPr>
              <w:spacing w:line="240" w:lineRule="auto"/>
              <w:ind w:right="1059" w:firstLine="34"/>
              <w:jc w:val="center"/>
              <w:rPr>
                <w:rFonts w:eastAsia="Times New Roman" w:cs="Arial"/>
                <w:b/>
                <w:sz w:val="22"/>
                <w:lang w:eastAsia="fr-FR"/>
              </w:rPr>
            </w:pPr>
            <w:r w:rsidRPr="00D117F8">
              <w:rPr>
                <w:rFonts w:eastAsia="Times New Roman" w:cs="Arial"/>
                <w:b/>
                <w:sz w:val="22"/>
                <w:lang w:eastAsia="fr-FR"/>
              </w:rPr>
              <w:t>-------</w:t>
            </w:r>
          </w:p>
          <w:p w:rsidR="004A5786" w:rsidRPr="00D117F8" w:rsidRDefault="002F66D6" w:rsidP="00D00A0E">
            <w:pPr>
              <w:spacing w:line="240" w:lineRule="auto"/>
              <w:ind w:right="1059" w:firstLine="34"/>
              <w:jc w:val="center"/>
              <w:rPr>
                <w:rFonts w:eastAsia="Times New Roman" w:cs="Arial"/>
                <w:sz w:val="22"/>
                <w:lang w:eastAsia="fr-FR"/>
              </w:rPr>
            </w:pPr>
            <w:r w:rsidRPr="00D117F8">
              <w:rPr>
                <w:rFonts w:eastAsia="Times New Roman" w:cs="Arial"/>
                <w:sz w:val="22"/>
                <w:lang w:eastAsia="fr-FR"/>
              </w:rPr>
              <w:t xml:space="preserve">Arrêt n° </w:t>
            </w:r>
            <w:r w:rsidR="00323B13">
              <w:rPr>
                <w:rFonts w:eastAsia="Times New Roman" w:cs="Arial"/>
                <w:sz w:val="22"/>
                <w:lang w:eastAsia="fr-FR"/>
              </w:rPr>
              <w:t>72763</w:t>
            </w:r>
          </w:p>
          <w:p w:rsidR="004A5786" w:rsidRPr="00D117F8" w:rsidRDefault="004A5786" w:rsidP="00D00A0E">
            <w:pPr>
              <w:spacing w:line="240" w:lineRule="auto"/>
              <w:ind w:right="1059" w:firstLine="34"/>
              <w:jc w:val="center"/>
              <w:rPr>
                <w:rFonts w:eastAsia="Times New Roman" w:cs="Arial"/>
                <w:sz w:val="22"/>
                <w:lang w:eastAsia="fr-FR"/>
              </w:rPr>
            </w:pPr>
          </w:p>
          <w:p w:rsidR="004A5786" w:rsidRPr="00D117F8" w:rsidRDefault="004A5786" w:rsidP="00D00A0E">
            <w:pPr>
              <w:spacing w:line="240" w:lineRule="auto"/>
              <w:ind w:right="1059" w:firstLine="34"/>
              <w:jc w:val="center"/>
              <w:rPr>
                <w:rFonts w:eastAsia="Times New Roman" w:cs="Arial"/>
                <w:sz w:val="22"/>
                <w:lang w:eastAsia="fr-FR"/>
              </w:rPr>
            </w:pPr>
          </w:p>
          <w:p w:rsidR="004A5786" w:rsidRPr="00D117F8" w:rsidRDefault="002F66D6" w:rsidP="00D00A0E">
            <w:pPr>
              <w:spacing w:line="240" w:lineRule="auto"/>
              <w:ind w:right="1059" w:firstLine="34"/>
              <w:jc w:val="center"/>
              <w:rPr>
                <w:rFonts w:eastAsia="Times New Roman" w:cs="Arial"/>
                <w:sz w:val="22"/>
                <w:lang w:eastAsia="fr-FR"/>
              </w:rPr>
            </w:pPr>
            <w:r w:rsidRPr="00D117F8">
              <w:rPr>
                <w:rFonts w:eastAsia="Times New Roman" w:cs="Arial"/>
                <w:sz w:val="22"/>
                <w:lang w:eastAsia="fr-FR"/>
              </w:rPr>
              <w:t xml:space="preserve">Audience publique du </w:t>
            </w:r>
            <w:r w:rsidR="006C1F5D" w:rsidRPr="00D117F8">
              <w:rPr>
                <w:rFonts w:eastAsia="Times New Roman" w:cs="Arial"/>
                <w:sz w:val="22"/>
                <w:lang w:eastAsia="fr-FR"/>
              </w:rPr>
              <w:t>15 octobre 2015</w:t>
            </w:r>
          </w:p>
          <w:p w:rsidR="004A5786" w:rsidRPr="00D117F8" w:rsidRDefault="004A5786" w:rsidP="00D00A0E">
            <w:pPr>
              <w:spacing w:line="240" w:lineRule="auto"/>
              <w:ind w:right="1059" w:firstLine="34"/>
              <w:jc w:val="center"/>
              <w:rPr>
                <w:rFonts w:eastAsia="Times New Roman" w:cs="Arial"/>
                <w:sz w:val="22"/>
                <w:lang w:eastAsia="fr-FR"/>
              </w:rPr>
            </w:pPr>
          </w:p>
          <w:p w:rsidR="004A5786" w:rsidRPr="00D00A0E" w:rsidRDefault="002F66D6" w:rsidP="00D00A0E">
            <w:pPr>
              <w:spacing w:line="240" w:lineRule="auto"/>
              <w:ind w:right="1059" w:firstLine="34"/>
              <w:jc w:val="center"/>
              <w:rPr>
                <w:rFonts w:eastAsia="Times New Roman" w:cs="Arial"/>
                <w:i/>
                <w:sz w:val="22"/>
                <w:lang w:eastAsia="fr-FR"/>
              </w:rPr>
            </w:pPr>
            <w:r w:rsidRPr="00D117F8">
              <w:rPr>
                <w:rFonts w:eastAsia="Times New Roman" w:cs="Arial"/>
                <w:sz w:val="22"/>
                <w:lang w:eastAsia="fr-FR"/>
              </w:rPr>
              <w:t xml:space="preserve">Prononcé du </w:t>
            </w:r>
            <w:r w:rsidR="00487727" w:rsidRPr="00D117F8">
              <w:rPr>
                <w:rFonts w:eastAsia="Times New Roman" w:cs="Arial"/>
                <w:sz w:val="22"/>
                <w:lang w:eastAsia="fr-FR"/>
              </w:rPr>
              <w:t>19 novembre 2015</w:t>
            </w:r>
          </w:p>
        </w:tc>
        <w:tc>
          <w:tcPr>
            <w:tcW w:w="4361" w:type="dxa"/>
          </w:tcPr>
          <w:p w:rsidR="004A5786" w:rsidRPr="00D117F8" w:rsidRDefault="004A5786" w:rsidP="004A5786">
            <w:pPr>
              <w:spacing w:line="240" w:lineRule="auto"/>
              <w:rPr>
                <w:rFonts w:eastAsia="Times New Roman" w:cs="Arial"/>
                <w:sz w:val="22"/>
                <w:lang w:eastAsia="fr-FR"/>
              </w:rPr>
            </w:pPr>
          </w:p>
          <w:p w:rsidR="004A5786" w:rsidRPr="00D117F8" w:rsidRDefault="004A5786" w:rsidP="004A5786">
            <w:pPr>
              <w:spacing w:line="240" w:lineRule="auto"/>
              <w:rPr>
                <w:rFonts w:eastAsia="Times New Roman" w:cs="Arial"/>
                <w:sz w:val="22"/>
                <w:lang w:eastAsia="fr-FR"/>
              </w:rPr>
            </w:pPr>
          </w:p>
          <w:p w:rsidR="004A5786" w:rsidRPr="00D117F8" w:rsidRDefault="00EB5B1F" w:rsidP="004A5786">
            <w:pPr>
              <w:spacing w:line="240" w:lineRule="auto"/>
              <w:rPr>
                <w:rFonts w:eastAsia="Times New Roman" w:cs="Arial"/>
                <w:sz w:val="22"/>
                <w:lang w:eastAsia="fr-FR"/>
              </w:rPr>
            </w:pPr>
            <w:r w:rsidRPr="00D117F8">
              <w:rPr>
                <w:rFonts w:eastAsia="Times New Roman" w:cs="Arial"/>
                <w:sz w:val="22"/>
                <w:lang w:eastAsia="fr-FR"/>
              </w:rPr>
              <w:t>CENTRE HOSPITALIER DE LA POLYNESIE FRAN</w:t>
            </w:r>
            <w:r w:rsidR="00323B13">
              <w:rPr>
                <w:rFonts w:eastAsia="Times New Roman" w:cs="Arial"/>
                <w:sz w:val="22"/>
                <w:lang w:eastAsia="fr-FR"/>
              </w:rPr>
              <w:t>Ç</w:t>
            </w:r>
            <w:r w:rsidRPr="00D117F8">
              <w:rPr>
                <w:rFonts w:eastAsia="Times New Roman" w:cs="Arial"/>
                <w:sz w:val="22"/>
                <w:lang w:eastAsia="fr-FR"/>
              </w:rPr>
              <w:t>AISE</w:t>
            </w:r>
          </w:p>
          <w:p w:rsidR="004A5786" w:rsidRPr="00D117F8" w:rsidRDefault="004A5786" w:rsidP="004A5786">
            <w:pPr>
              <w:spacing w:line="240" w:lineRule="auto"/>
              <w:rPr>
                <w:rFonts w:eastAsia="Times New Roman" w:cs="Arial"/>
                <w:sz w:val="22"/>
                <w:lang w:eastAsia="fr-FR"/>
              </w:rPr>
            </w:pPr>
          </w:p>
          <w:p w:rsidR="004A5786" w:rsidRPr="00D117F8" w:rsidRDefault="002F66D6" w:rsidP="004A5786">
            <w:pPr>
              <w:spacing w:line="240" w:lineRule="auto"/>
              <w:rPr>
                <w:rFonts w:eastAsia="Times New Roman" w:cs="Arial"/>
                <w:sz w:val="22"/>
                <w:lang w:eastAsia="fr-FR"/>
              </w:rPr>
            </w:pPr>
            <w:r w:rsidRPr="00D117F8">
              <w:rPr>
                <w:rFonts w:eastAsia="Times New Roman" w:cs="Arial"/>
                <w:sz w:val="22"/>
                <w:lang w:eastAsia="fr-FR"/>
              </w:rPr>
              <w:t xml:space="preserve">Appel d’un jugement de la chambre </w:t>
            </w:r>
            <w:r w:rsidR="00323B13">
              <w:rPr>
                <w:rFonts w:eastAsia="Times New Roman" w:cs="Arial"/>
                <w:sz w:val="22"/>
                <w:lang w:eastAsia="fr-FR"/>
              </w:rPr>
              <w:t>territoriale</w:t>
            </w:r>
            <w:r w:rsidR="00323B13" w:rsidRPr="00D117F8">
              <w:rPr>
                <w:rFonts w:eastAsia="Times New Roman" w:cs="Arial"/>
                <w:sz w:val="22"/>
                <w:lang w:eastAsia="fr-FR"/>
              </w:rPr>
              <w:t xml:space="preserve"> </w:t>
            </w:r>
            <w:r w:rsidRPr="00D117F8">
              <w:rPr>
                <w:rFonts w:eastAsia="Times New Roman" w:cs="Arial"/>
                <w:sz w:val="22"/>
                <w:lang w:eastAsia="fr-FR"/>
              </w:rPr>
              <w:t xml:space="preserve">des comptes de </w:t>
            </w:r>
            <w:r w:rsidR="00323B13">
              <w:rPr>
                <w:rFonts w:eastAsia="Times New Roman" w:cs="Arial"/>
                <w:sz w:val="22"/>
                <w:lang w:eastAsia="fr-FR"/>
              </w:rPr>
              <w:t xml:space="preserve">la </w:t>
            </w:r>
            <w:r w:rsidR="00EB5B1F" w:rsidRPr="00D117F8">
              <w:rPr>
                <w:rFonts w:eastAsia="Times New Roman" w:cs="Arial"/>
                <w:sz w:val="22"/>
                <w:lang w:eastAsia="fr-FR"/>
              </w:rPr>
              <w:t>Polynésie française</w:t>
            </w:r>
          </w:p>
          <w:p w:rsidR="004A5786" w:rsidRPr="00D117F8" w:rsidRDefault="004A5786" w:rsidP="004A5786">
            <w:pPr>
              <w:spacing w:line="240" w:lineRule="auto"/>
              <w:rPr>
                <w:rFonts w:eastAsia="Times New Roman" w:cs="Arial"/>
                <w:sz w:val="22"/>
                <w:lang w:eastAsia="fr-FR"/>
              </w:rPr>
            </w:pPr>
          </w:p>
          <w:p w:rsidR="004A5786" w:rsidRPr="00D117F8" w:rsidRDefault="002F66D6" w:rsidP="004A5786">
            <w:pPr>
              <w:spacing w:line="240" w:lineRule="auto"/>
              <w:rPr>
                <w:rFonts w:eastAsia="Times New Roman" w:cs="Arial"/>
                <w:sz w:val="22"/>
                <w:lang w:eastAsia="fr-FR"/>
              </w:rPr>
            </w:pPr>
            <w:r w:rsidRPr="00D117F8">
              <w:rPr>
                <w:rFonts w:eastAsia="Times New Roman" w:cs="Arial"/>
                <w:sz w:val="22"/>
                <w:lang w:eastAsia="fr-FR"/>
              </w:rPr>
              <w:t>Rapport n° </w:t>
            </w:r>
            <w:r w:rsidR="006C1F5D" w:rsidRPr="00D117F8">
              <w:rPr>
                <w:rFonts w:eastAsia="Times New Roman" w:cs="Arial"/>
                <w:sz w:val="22"/>
                <w:lang w:eastAsia="fr-FR"/>
              </w:rPr>
              <w:t>2015-267-0</w:t>
            </w:r>
          </w:p>
        </w:tc>
      </w:tr>
    </w:tbl>
    <w:p w:rsidR="004A5786" w:rsidRDefault="004A5786" w:rsidP="004A5786">
      <w:pPr>
        <w:tabs>
          <w:tab w:val="center" w:pos="9072"/>
        </w:tabs>
        <w:spacing w:line="240" w:lineRule="auto"/>
        <w:jc w:val="center"/>
        <w:rPr>
          <w:rFonts w:eastAsia="Times New Roman" w:cs="Arial"/>
          <w:sz w:val="22"/>
          <w:lang w:eastAsia="fr-FR"/>
        </w:rPr>
      </w:pPr>
    </w:p>
    <w:p w:rsidR="00D00A0E" w:rsidRPr="00D117F8" w:rsidRDefault="00D00A0E" w:rsidP="004A5786">
      <w:pPr>
        <w:tabs>
          <w:tab w:val="center" w:pos="9072"/>
        </w:tabs>
        <w:spacing w:line="240" w:lineRule="auto"/>
        <w:jc w:val="center"/>
        <w:rPr>
          <w:rFonts w:eastAsia="Times New Roman" w:cs="Arial"/>
          <w:sz w:val="22"/>
          <w:lang w:eastAsia="fr-FR"/>
        </w:rPr>
      </w:pPr>
    </w:p>
    <w:p w:rsidR="004A5786" w:rsidRPr="00D117F8" w:rsidRDefault="004A5786" w:rsidP="004A5786">
      <w:pPr>
        <w:tabs>
          <w:tab w:val="center" w:pos="9072"/>
        </w:tabs>
        <w:spacing w:line="240" w:lineRule="auto"/>
        <w:jc w:val="center"/>
        <w:rPr>
          <w:rFonts w:eastAsia="Times New Roman" w:cs="Arial"/>
          <w:sz w:val="22"/>
          <w:lang w:eastAsia="fr-FR"/>
        </w:rPr>
      </w:pPr>
    </w:p>
    <w:p w:rsidR="004A5786" w:rsidRPr="00D117F8" w:rsidRDefault="002F66D6" w:rsidP="004A5786">
      <w:pPr>
        <w:tabs>
          <w:tab w:val="center" w:pos="9072"/>
        </w:tabs>
        <w:spacing w:line="240" w:lineRule="auto"/>
        <w:ind w:right="-142"/>
        <w:jc w:val="center"/>
        <w:rPr>
          <w:rFonts w:eastAsia="Times New Roman" w:cs="Arial"/>
          <w:sz w:val="22"/>
          <w:lang w:eastAsia="fr-FR"/>
        </w:rPr>
      </w:pPr>
      <w:r w:rsidRPr="00D117F8">
        <w:rPr>
          <w:rFonts w:eastAsia="Times New Roman" w:cs="Arial"/>
          <w:sz w:val="22"/>
          <w:lang w:eastAsia="fr-FR"/>
        </w:rPr>
        <w:t>République Française,</w:t>
      </w:r>
    </w:p>
    <w:p w:rsidR="004A5786" w:rsidRPr="00D117F8" w:rsidRDefault="002F66D6" w:rsidP="004A5786">
      <w:pPr>
        <w:tabs>
          <w:tab w:val="center" w:pos="9072"/>
        </w:tabs>
        <w:spacing w:line="240" w:lineRule="auto"/>
        <w:ind w:right="-142"/>
        <w:jc w:val="center"/>
        <w:rPr>
          <w:rFonts w:eastAsia="Times New Roman" w:cs="Arial"/>
          <w:sz w:val="22"/>
          <w:lang w:eastAsia="fr-FR"/>
        </w:rPr>
      </w:pPr>
      <w:r w:rsidRPr="00D117F8">
        <w:rPr>
          <w:rFonts w:eastAsia="Times New Roman" w:cs="Arial"/>
          <w:sz w:val="22"/>
          <w:lang w:eastAsia="fr-FR"/>
        </w:rPr>
        <w:t>Au nom du peuple français,</w:t>
      </w:r>
    </w:p>
    <w:p w:rsidR="004A5786" w:rsidRPr="00D117F8" w:rsidRDefault="004A5786" w:rsidP="004A5786">
      <w:pPr>
        <w:tabs>
          <w:tab w:val="center" w:pos="9072"/>
        </w:tabs>
        <w:spacing w:line="240" w:lineRule="auto"/>
        <w:ind w:right="-142"/>
        <w:jc w:val="center"/>
        <w:rPr>
          <w:rFonts w:eastAsia="Times New Roman" w:cs="Arial"/>
          <w:sz w:val="22"/>
          <w:lang w:eastAsia="fr-FR"/>
        </w:rPr>
      </w:pPr>
    </w:p>
    <w:p w:rsidR="004A5786" w:rsidRPr="00D117F8" w:rsidRDefault="002F66D6" w:rsidP="004A5786">
      <w:pPr>
        <w:tabs>
          <w:tab w:val="center" w:pos="9072"/>
        </w:tabs>
        <w:spacing w:before="120" w:after="360" w:line="240" w:lineRule="auto"/>
        <w:ind w:right="-142"/>
        <w:jc w:val="center"/>
        <w:rPr>
          <w:rFonts w:eastAsia="Times New Roman" w:cs="Arial"/>
          <w:sz w:val="22"/>
          <w:lang w:eastAsia="fr-FR"/>
        </w:rPr>
      </w:pPr>
      <w:r w:rsidRPr="00D117F8">
        <w:rPr>
          <w:rFonts w:eastAsia="Times New Roman" w:cs="Arial"/>
          <w:sz w:val="22"/>
          <w:lang w:eastAsia="fr-FR"/>
        </w:rPr>
        <w:t>La Cour,</w:t>
      </w:r>
    </w:p>
    <w:p w:rsidR="004A5786" w:rsidRPr="00D117F8" w:rsidRDefault="002F66D6" w:rsidP="004A5786">
      <w:pPr>
        <w:spacing w:before="240" w:after="240" w:line="240" w:lineRule="auto"/>
        <w:jc w:val="both"/>
        <w:rPr>
          <w:rFonts w:eastAsia="Times New Roman" w:cs="Arial"/>
          <w:sz w:val="22"/>
          <w:lang w:eastAsia="fr-FR"/>
        </w:rPr>
      </w:pPr>
      <w:r w:rsidRPr="00D117F8">
        <w:rPr>
          <w:rFonts w:eastAsia="Times New Roman" w:cs="Arial"/>
          <w:sz w:val="22"/>
          <w:lang w:eastAsia="fr-FR"/>
        </w:rPr>
        <w:t xml:space="preserve">Vu le réquisitoire du procureur financier près la chambre </w:t>
      </w:r>
      <w:r w:rsidR="00EB5B1F" w:rsidRPr="00D117F8">
        <w:rPr>
          <w:rFonts w:eastAsia="Times New Roman" w:cs="Arial"/>
          <w:sz w:val="22"/>
          <w:lang w:eastAsia="fr-FR"/>
        </w:rPr>
        <w:t>territoriale</w:t>
      </w:r>
      <w:r w:rsidRPr="00D117F8">
        <w:rPr>
          <w:rFonts w:eastAsia="Times New Roman" w:cs="Arial"/>
          <w:sz w:val="22"/>
          <w:lang w:eastAsia="fr-FR"/>
        </w:rPr>
        <w:t xml:space="preserve"> </w:t>
      </w:r>
      <w:r w:rsidR="006C1F5D" w:rsidRPr="00D117F8">
        <w:rPr>
          <w:rFonts w:eastAsia="Times New Roman" w:cs="Arial"/>
          <w:sz w:val="22"/>
          <w:lang w:eastAsia="fr-FR"/>
        </w:rPr>
        <w:t xml:space="preserve">des comptes </w:t>
      </w:r>
      <w:r w:rsidRPr="00D117F8">
        <w:rPr>
          <w:rFonts w:eastAsia="Times New Roman" w:cs="Arial"/>
          <w:sz w:val="22"/>
          <w:lang w:eastAsia="fr-FR"/>
        </w:rPr>
        <w:t xml:space="preserve">de </w:t>
      </w:r>
      <w:r w:rsidR="00323B13">
        <w:rPr>
          <w:rFonts w:eastAsia="Times New Roman" w:cs="Arial"/>
          <w:sz w:val="22"/>
          <w:lang w:eastAsia="fr-FR"/>
        </w:rPr>
        <w:t xml:space="preserve">la </w:t>
      </w:r>
      <w:r w:rsidR="00EB5B1F" w:rsidRPr="00D117F8">
        <w:rPr>
          <w:rFonts w:eastAsia="Times New Roman" w:cs="Arial"/>
          <w:sz w:val="22"/>
          <w:lang w:eastAsia="fr-FR"/>
        </w:rPr>
        <w:t>Polynésie française</w:t>
      </w:r>
      <w:r w:rsidRPr="00D117F8">
        <w:rPr>
          <w:rFonts w:eastAsia="Times New Roman" w:cs="Arial"/>
          <w:sz w:val="22"/>
          <w:lang w:eastAsia="fr-FR"/>
        </w:rPr>
        <w:t xml:space="preserve"> n° </w:t>
      </w:r>
      <w:r w:rsidR="00EB5B1F" w:rsidRPr="00D117F8">
        <w:rPr>
          <w:rFonts w:eastAsia="Times New Roman" w:cs="Arial"/>
          <w:sz w:val="22"/>
          <w:lang w:eastAsia="fr-FR"/>
        </w:rPr>
        <w:t>2013-0008-PF</w:t>
      </w:r>
      <w:r w:rsidRPr="00D117F8">
        <w:rPr>
          <w:rFonts w:eastAsia="Times New Roman" w:cs="Arial"/>
          <w:sz w:val="22"/>
          <w:lang w:eastAsia="fr-FR"/>
        </w:rPr>
        <w:t xml:space="preserve"> du </w:t>
      </w:r>
      <w:r w:rsidR="00EB5B1F" w:rsidRPr="00D117F8">
        <w:rPr>
          <w:rFonts w:eastAsia="Times New Roman" w:cs="Arial"/>
          <w:sz w:val="22"/>
          <w:lang w:eastAsia="fr-FR"/>
        </w:rPr>
        <w:t>5</w:t>
      </w:r>
      <w:r w:rsidR="00D00A0E">
        <w:rPr>
          <w:rFonts w:eastAsia="Times New Roman" w:cs="Arial"/>
          <w:sz w:val="22"/>
          <w:lang w:eastAsia="fr-FR"/>
        </w:rPr>
        <w:t xml:space="preserve"> </w:t>
      </w:r>
      <w:r w:rsidR="00EB5B1F" w:rsidRPr="00D117F8">
        <w:rPr>
          <w:rFonts w:eastAsia="Times New Roman" w:cs="Arial"/>
          <w:sz w:val="22"/>
          <w:lang w:eastAsia="fr-FR"/>
        </w:rPr>
        <w:t>décembre 2013</w:t>
      </w:r>
      <w:r w:rsidR="00D00A0E">
        <w:rPr>
          <w:rFonts w:eastAsia="Times New Roman" w:cs="Arial"/>
          <w:sz w:val="22"/>
          <w:lang w:eastAsia="fr-FR"/>
        </w:rPr>
        <w:t> </w:t>
      </w:r>
      <w:r w:rsidRPr="00D117F8">
        <w:rPr>
          <w:rFonts w:eastAsia="Times New Roman" w:cs="Arial"/>
          <w:sz w:val="22"/>
          <w:lang w:eastAsia="fr-FR"/>
        </w:rPr>
        <w:t>;</w:t>
      </w:r>
    </w:p>
    <w:p w:rsidR="004A5786" w:rsidRPr="00D117F8" w:rsidRDefault="002F66D6" w:rsidP="004A5786">
      <w:pPr>
        <w:spacing w:before="240" w:after="240" w:line="240" w:lineRule="auto"/>
        <w:jc w:val="both"/>
        <w:rPr>
          <w:rFonts w:eastAsia="Times New Roman" w:cs="Arial"/>
          <w:sz w:val="22"/>
          <w:lang w:eastAsia="fr-FR"/>
        </w:rPr>
      </w:pPr>
      <w:r w:rsidRPr="00D117F8">
        <w:rPr>
          <w:rFonts w:eastAsia="Times New Roman" w:cs="Arial"/>
          <w:sz w:val="22"/>
          <w:lang w:eastAsia="fr-FR"/>
        </w:rPr>
        <w:t>Vu le jugement n° </w:t>
      </w:r>
      <w:r w:rsidR="00EB5B1F" w:rsidRPr="00D117F8">
        <w:rPr>
          <w:rFonts w:eastAsia="Times New Roman" w:cs="Arial"/>
          <w:sz w:val="22"/>
          <w:lang w:eastAsia="fr-FR"/>
        </w:rPr>
        <w:t>2014-0004</w:t>
      </w:r>
      <w:r w:rsidRPr="00D117F8">
        <w:rPr>
          <w:rFonts w:eastAsia="Times New Roman" w:cs="Arial"/>
          <w:sz w:val="22"/>
          <w:lang w:eastAsia="fr-FR"/>
        </w:rPr>
        <w:t xml:space="preserve"> du </w:t>
      </w:r>
      <w:r w:rsidR="00EB5B1F" w:rsidRPr="00D117F8">
        <w:rPr>
          <w:rFonts w:eastAsia="Times New Roman" w:cs="Arial"/>
          <w:sz w:val="22"/>
          <w:lang w:eastAsia="fr-FR"/>
        </w:rPr>
        <w:t>12 août 2014</w:t>
      </w:r>
      <w:r w:rsidRPr="00D117F8">
        <w:rPr>
          <w:rFonts w:eastAsia="Times New Roman" w:cs="Arial"/>
          <w:sz w:val="22"/>
          <w:lang w:eastAsia="fr-FR"/>
        </w:rPr>
        <w:t xml:space="preserve"> par lequel la chambre précitée a </w:t>
      </w:r>
      <w:r w:rsidR="00EB5B1F" w:rsidRPr="00D117F8">
        <w:rPr>
          <w:rFonts w:eastAsia="Times New Roman" w:cs="Arial"/>
          <w:sz w:val="22"/>
          <w:lang w:eastAsia="fr-FR"/>
        </w:rPr>
        <w:t xml:space="preserve">constitué </w:t>
      </w:r>
      <w:r w:rsidR="00B07238">
        <w:rPr>
          <w:rFonts w:eastAsia="Times New Roman" w:cs="Arial"/>
          <w:sz w:val="22"/>
          <w:lang w:eastAsia="fr-FR"/>
        </w:rPr>
        <w:t>M</w:t>
      </w:r>
      <w:r w:rsidR="00B07238" w:rsidRPr="00D00A0E">
        <w:rPr>
          <w:rFonts w:eastAsia="Times New Roman" w:cs="Arial"/>
          <w:sz w:val="22"/>
          <w:vertAlign w:val="superscript"/>
          <w:lang w:eastAsia="fr-FR"/>
        </w:rPr>
        <w:t>mes</w:t>
      </w:r>
      <w:r w:rsidR="00B07238">
        <w:rPr>
          <w:rFonts w:eastAsia="Times New Roman" w:cs="Arial"/>
          <w:sz w:val="22"/>
          <w:lang w:eastAsia="fr-FR"/>
        </w:rPr>
        <w:t xml:space="preserve"> X</w:t>
      </w:r>
      <w:r w:rsidR="00323B13" w:rsidRPr="00D117F8">
        <w:rPr>
          <w:rFonts w:eastAsia="Times New Roman" w:cs="Arial"/>
          <w:sz w:val="22"/>
          <w:lang w:eastAsia="fr-FR"/>
        </w:rPr>
        <w:t xml:space="preserve"> </w:t>
      </w:r>
      <w:r w:rsidR="00EB5B1F" w:rsidRPr="00D117F8">
        <w:rPr>
          <w:rFonts w:eastAsia="Times New Roman" w:cs="Arial"/>
          <w:sz w:val="22"/>
          <w:lang w:eastAsia="fr-FR"/>
        </w:rPr>
        <w:t xml:space="preserve">et </w:t>
      </w:r>
      <w:r w:rsidR="00B07238">
        <w:rPr>
          <w:rFonts w:eastAsia="Times New Roman" w:cs="Arial"/>
          <w:sz w:val="22"/>
          <w:lang w:eastAsia="fr-FR"/>
        </w:rPr>
        <w:t>Y</w:t>
      </w:r>
      <w:r w:rsidR="00323B13" w:rsidRPr="00D117F8">
        <w:rPr>
          <w:rFonts w:eastAsia="Times New Roman" w:cs="Arial"/>
          <w:sz w:val="22"/>
          <w:lang w:eastAsia="fr-FR"/>
        </w:rPr>
        <w:t xml:space="preserve"> </w:t>
      </w:r>
      <w:r w:rsidR="00EB5B1F" w:rsidRPr="00D117F8">
        <w:rPr>
          <w:rFonts w:eastAsia="Times New Roman" w:cs="Arial"/>
          <w:sz w:val="22"/>
          <w:lang w:eastAsia="fr-FR"/>
        </w:rPr>
        <w:t>débitrice</w:t>
      </w:r>
      <w:r w:rsidR="006C1F5D" w:rsidRPr="00D117F8">
        <w:rPr>
          <w:rFonts w:eastAsia="Times New Roman" w:cs="Arial"/>
          <w:sz w:val="22"/>
          <w:lang w:eastAsia="fr-FR"/>
        </w:rPr>
        <w:t>s envers le</w:t>
      </w:r>
      <w:r w:rsidR="00EB5B1F" w:rsidRPr="00D117F8">
        <w:rPr>
          <w:rFonts w:eastAsia="Times New Roman" w:cs="Arial"/>
          <w:sz w:val="22"/>
          <w:lang w:eastAsia="fr-FR"/>
        </w:rPr>
        <w:t xml:space="preserve"> centre hospitalier de la Polynésie française</w:t>
      </w:r>
      <w:r w:rsidR="006C1F5D" w:rsidRPr="00D117F8">
        <w:rPr>
          <w:rFonts w:eastAsia="Times New Roman" w:cs="Arial"/>
          <w:sz w:val="22"/>
          <w:lang w:eastAsia="fr-FR"/>
        </w:rPr>
        <w:t>,</w:t>
      </w:r>
      <w:r w:rsidR="00EB5B1F" w:rsidRPr="00D117F8">
        <w:rPr>
          <w:rFonts w:eastAsia="Times New Roman" w:cs="Arial"/>
          <w:sz w:val="22"/>
          <w:lang w:eastAsia="fr-FR"/>
        </w:rPr>
        <w:t xml:space="preserve"> respectivement des sommes de 8 693 033 </w:t>
      </w:r>
      <w:r w:rsidR="00DA69AC" w:rsidRPr="00D117F8">
        <w:rPr>
          <w:rFonts w:eastAsia="Times New Roman" w:cs="Arial"/>
          <w:sz w:val="22"/>
          <w:lang w:eastAsia="fr-FR"/>
        </w:rPr>
        <w:t>francs Pacifique (</w:t>
      </w:r>
      <w:r w:rsidR="00EB5B1F" w:rsidRPr="00D117F8">
        <w:rPr>
          <w:rFonts w:eastAsia="Times New Roman" w:cs="Arial"/>
          <w:sz w:val="22"/>
          <w:lang w:eastAsia="fr-FR"/>
        </w:rPr>
        <w:t>F</w:t>
      </w:r>
      <w:r w:rsidR="00323B13">
        <w:rPr>
          <w:rFonts w:eastAsia="Times New Roman" w:cs="Arial"/>
          <w:sz w:val="22"/>
          <w:lang w:eastAsia="fr-FR"/>
        </w:rPr>
        <w:t xml:space="preserve"> </w:t>
      </w:r>
      <w:r w:rsidR="00EB5B1F" w:rsidRPr="00D117F8">
        <w:rPr>
          <w:rFonts w:eastAsia="Times New Roman" w:cs="Arial"/>
          <w:sz w:val="22"/>
          <w:lang w:eastAsia="fr-FR"/>
        </w:rPr>
        <w:t>CFP</w:t>
      </w:r>
      <w:r w:rsidR="00DA69AC" w:rsidRPr="00D117F8">
        <w:rPr>
          <w:rFonts w:eastAsia="Times New Roman" w:cs="Arial"/>
          <w:sz w:val="22"/>
          <w:lang w:eastAsia="fr-FR"/>
        </w:rPr>
        <w:t>)</w:t>
      </w:r>
      <w:r w:rsidR="00EB5B1F" w:rsidRPr="00D117F8">
        <w:rPr>
          <w:rFonts w:eastAsia="Times New Roman" w:cs="Arial"/>
          <w:sz w:val="22"/>
          <w:lang w:eastAsia="fr-FR"/>
        </w:rPr>
        <w:t xml:space="preserve"> et 7 243 924 F</w:t>
      </w:r>
      <w:r w:rsidR="00323B13">
        <w:rPr>
          <w:rFonts w:eastAsia="Times New Roman" w:cs="Arial"/>
          <w:sz w:val="22"/>
          <w:lang w:eastAsia="fr-FR"/>
        </w:rPr>
        <w:t xml:space="preserve"> </w:t>
      </w:r>
      <w:r w:rsidR="00EB5B1F" w:rsidRPr="00D117F8">
        <w:rPr>
          <w:rFonts w:eastAsia="Times New Roman" w:cs="Arial"/>
          <w:sz w:val="22"/>
          <w:lang w:eastAsia="fr-FR"/>
        </w:rPr>
        <w:t>CFP ;</w:t>
      </w:r>
    </w:p>
    <w:p w:rsidR="00F31E1F" w:rsidRPr="00D117F8" w:rsidRDefault="00F31E1F" w:rsidP="004A5786">
      <w:pPr>
        <w:spacing w:before="240" w:after="240" w:line="240" w:lineRule="auto"/>
        <w:jc w:val="both"/>
        <w:rPr>
          <w:rFonts w:eastAsia="Times New Roman" w:cs="Arial"/>
          <w:sz w:val="22"/>
          <w:lang w:eastAsia="fr-FR"/>
        </w:rPr>
      </w:pPr>
      <w:r w:rsidRPr="00D117F8">
        <w:rPr>
          <w:rFonts w:eastAsia="Times New Roman" w:cs="Arial"/>
          <w:sz w:val="22"/>
          <w:lang w:eastAsia="fr-FR"/>
        </w:rPr>
        <w:t>Vu les requêtes en date des 1</w:t>
      </w:r>
      <w:r w:rsidRPr="00D117F8">
        <w:rPr>
          <w:rFonts w:eastAsia="Times New Roman" w:cs="Arial"/>
          <w:sz w:val="22"/>
          <w:vertAlign w:val="superscript"/>
          <w:lang w:eastAsia="fr-FR"/>
        </w:rPr>
        <w:t>er</w:t>
      </w:r>
      <w:r w:rsidRPr="00D117F8">
        <w:rPr>
          <w:rFonts w:eastAsia="Times New Roman" w:cs="Arial"/>
          <w:sz w:val="22"/>
          <w:lang w:eastAsia="fr-FR"/>
        </w:rPr>
        <w:t xml:space="preserve"> et 3 septembre 2014, enregistrées le 16 septembre 2014 au greffe de la chambre territoriale des comptes de </w:t>
      </w:r>
      <w:r w:rsidR="00323B13">
        <w:rPr>
          <w:rFonts w:eastAsia="Times New Roman" w:cs="Arial"/>
          <w:sz w:val="22"/>
          <w:lang w:eastAsia="fr-FR"/>
        </w:rPr>
        <w:t xml:space="preserve">la </w:t>
      </w:r>
      <w:r w:rsidRPr="00D117F8">
        <w:rPr>
          <w:rFonts w:eastAsia="Times New Roman" w:cs="Arial"/>
          <w:sz w:val="22"/>
          <w:lang w:eastAsia="fr-FR"/>
        </w:rPr>
        <w:t xml:space="preserve">Polynésie française, par lesquelles </w:t>
      </w:r>
      <w:r w:rsidR="00B07238">
        <w:rPr>
          <w:rFonts w:eastAsia="Times New Roman" w:cs="Arial"/>
          <w:sz w:val="22"/>
          <w:lang w:eastAsia="fr-FR"/>
        </w:rPr>
        <w:t>M</w:t>
      </w:r>
      <w:r w:rsidR="00B07238" w:rsidRPr="00D00A0E">
        <w:rPr>
          <w:rFonts w:eastAsia="Times New Roman" w:cs="Arial"/>
          <w:sz w:val="22"/>
          <w:vertAlign w:val="superscript"/>
          <w:lang w:eastAsia="fr-FR"/>
        </w:rPr>
        <w:t>mes</w:t>
      </w:r>
      <w:r w:rsidR="00B07238">
        <w:rPr>
          <w:rFonts w:eastAsia="Times New Roman" w:cs="Arial"/>
          <w:sz w:val="22"/>
          <w:lang w:eastAsia="fr-FR"/>
        </w:rPr>
        <w:t xml:space="preserve"> X</w:t>
      </w:r>
      <w:r w:rsidRPr="00D117F8">
        <w:rPr>
          <w:rFonts w:eastAsia="Times New Roman" w:cs="Arial"/>
          <w:sz w:val="22"/>
          <w:lang w:eastAsia="fr-FR"/>
        </w:rPr>
        <w:t xml:space="preserve"> et </w:t>
      </w:r>
      <w:r w:rsidR="00B07238">
        <w:rPr>
          <w:rFonts w:eastAsia="Times New Roman" w:cs="Arial"/>
          <w:sz w:val="22"/>
          <w:lang w:eastAsia="fr-FR"/>
        </w:rPr>
        <w:t>Y</w:t>
      </w:r>
      <w:r w:rsidRPr="00D117F8">
        <w:rPr>
          <w:rFonts w:eastAsia="Times New Roman" w:cs="Arial"/>
          <w:sz w:val="22"/>
          <w:lang w:eastAsia="fr-FR"/>
        </w:rPr>
        <w:t>, comptables du centre hospitalier de la Polynésie française, ont élevé appel du jugement précité</w:t>
      </w:r>
      <w:r w:rsidR="00D00A0E">
        <w:rPr>
          <w:rFonts w:eastAsia="Times New Roman" w:cs="Arial"/>
          <w:sz w:val="22"/>
          <w:lang w:eastAsia="fr-FR"/>
        </w:rPr>
        <w:t> </w:t>
      </w:r>
      <w:r w:rsidRPr="00D117F8">
        <w:rPr>
          <w:rFonts w:eastAsia="Times New Roman" w:cs="Arial"/>
          <w:sz w:val="22"/>
          <w:lang w:eastAsia="fr-FR"/>
        </w:rPr>
        <w:t>;</w:t>
      </w:r>
    </w:p>
    <w:p w:rsidR="004A5786" w:rsidRPr="00D117F8" w:rsidRDefault="002F66D6" w:rsidP="004A5786">
      <w:pPr>
        <w:spacing w:before="240" w:after="240" w:line="240" w:lineRule="auto"/>
        <w:jc w:val="both"/>
        <w:rPr>
          <w:rFonts w:eastAsia="Times New Roman" w:cs="Arial"/>
          <w:sz w:val="22"/>
          <w:lang w:eastAsia="fr-FR"/>
        </w:rPr>
      </w:pPr>
      <w:r w:rsidRPr="00D117F8">
        <w:rPr>
          <w:rFonts w:eastAsia="Times New Roman" w:cs="Arial"/>
          <w:sz w:val="22"/>
          <w:lang w:eastAsia="fr-FR"/>
        </w:rPr>
        <w:t>Vu le réquisitoire du Procureur général près la Cour des comptes n° </w:t>
      </w:r>
      <w:r w:rsidR="00F31E1F" w:rsidRPr="00D117F8">
        <w:rPr>
          <w:rFonts w:eastAsia="Times New Roman" w:cs="Arial"/>
          <w:sz w:val="22"/>
          <w:lang w:eastAsia="fr-FR"/>
        </w:rPr>
        <w:t>2014-122</w:t>
      </w:r>
      <w:r w:rsidRPr="00D117F8">
        <w:rPr>
          <w:rFonts w:eastAsia="Times New Roman" w:cs="Arial"/>
          <w:sz w:val="22"/>
          <w:lang w:eastAsia="fr-FR"/>
        </w:rPr>
        <w:t xml:space="preserve"> du </w:t>
      </w:r>
      <w:r w:rsidR="00F31E1F" w:rsidRPr="00D117F8">
        <w:rPr>
          <w:rFonts w:eastAsia="Times New Roman" w:cs="Arial"/>
          <w:sz w:val="22"/>
          <w:lang w:eastAsia="fr-FR"/>
        </w:rPr>
        <w:t>17 novembre 2014</w:t>
      </w:r>
      <w:r w:rsidRPr="00D117F8">
        <w:rPr>
          <w:rFonts w:eastAsia="Times New Roman" w:cs="Arial"/>
          <w:sz w:val="22"/>
          <w:lang w:eastAsia="fr-FR"/>
        </w:rPr>
        <w:t xml:space="preserve">, transmettant à la Cour </w:t>
      </w:r>
      <w:r w:rsidR="00323B13" w:rsidRPr="00D117F8">
        <w:rPr>
          <w:rFonts w:eastAsia="Times New Roman" w:cs="Arial"/>
          <w:sz w:val="22"/>
          <w:lang w:eastAsia="fr-FR"/>
        </w:rPr>
        <w:t>l</w:t>
      </w:r>
      <w:r w:rsidR="00323B13">
        <w:rPr>
          <w:rFonts w:eastAsia="Times New Roman" w:cs="Arial"/>
          <w:sz w:val="22"/>
          <w:lang w:eastAsia="fr-FR"/>
        </w:rPr>
        <w:t>es</w:t>
      </w:r>
      <w:r w:rsidR="00323B13" w:rsidRPr="00D117F8">
        <w:rPr>
          <w:rFonts w:eastAsia="Times New Roman" w:cs="Arial"/>
          <w:sz w:val="22"/>
          <w:lang w:eastAsia="fr-FR"/>
        </w:rPr>
        <w:t xml:space="preserve"> </w:t>
      </w:r>
      <w:r w:rsidRPr="00D117F8">
        <w:rPr>
          <w:rFonts w:eastAsia="Times New Roman" w:cs="Arial"/>
          <w:sz w:val="22"/>
          <w:lang w:eastAsia="fr-FR"/>
        </w:rPr>
        <w:t>requête</w:t>
      </w:r>
      <w:r w:rsidR="00323B13">
        <w:rPr>
          <w:rFonts w:eastAsia="Times New Roman" w:cs="Arial"/>
          <w:sz w:val="22"/>
          <w:lang w:eastAsia="fr-FR"/>
        </w:rPr>
        <w:t>s</w:t>
      </w:r>
      <w:r w:rsidRPr="00D117F8">
        <w:rPr>
          <w:rFonts w:eastAsia="Times New Roman" w:cs="Arial"/>
          <w:sz w:val="22"/>
          <w:lang w:eastAsia="fr-FR"/>
        </w:rPr>
        <w:t xml:space="preserve"> précitée</w:t>
      </w:r>
      <w:r w:rsidR="00323B13">
        <w:rPr>
          <w:rFonts w:eastAsia="Times New Roman" w:cs="Arial"/>
          <w:sz w:val="22"/>
          <w:lang w:eastAsia="fr-FR"/>
        </w:rPr>
        <w:t>s</w:t>
      </w:r>
      <w:r w:rsidRPr="00D117F8">
        <w:rPr>
          <w:rFonts w:eastAsia="Times New Roman" w:cs="Arial"/>
          <w:sz w:val="22"/>
          <w:lang w:eastAsia="fr-FR"/>
        </w:rPr>
        <w:t> ;</w:t>
      </w:r>
    </w:p>
    <w:p w:rsidR="004A5786" w:rsidRPr="00D117F8" w:rsidRDefault="002F66D6" w:rsidP="004A5786">
      <w:pPr>
        <w:spacing w:before="240" w:after="240" w:line="240" w:lineRule="auto"/>
        <w:jc w:val="both"/>
        <w:rPr>
          <w:rFonts w:eastAsia="Times New Roman" w:cs="Arial"/>
          <w:sz w:val="22"/>
          <w:lang w:eastAsia="fr-FR"/>
        </w:rPr>
      </w:pPr>
      <w:r w:rsidRPr="00D117F8">
        <w:rPr>
          <w:rFonts w:eastAsia="Times New Roman" w:cs="Arial"/>
          <w:sz w:val="22"/>
          <w:lang w:eastAsia="fr-FR"/>
        </w:rPr>
        <w:t>Vu les pièces de la procédure suivie en première instance ;</w:t>
      </w:r>
    </w:p>
    <w:p w:rsidR="004A5786" w:rsidRPr="00D117F8" w:rsidRDefault="002F66D6" w:rsidP="004A5786">
      <w:pPr>
        <w:spacing w:before="240" w:after="240" w:line="240" w:lineRule="auto"/>
        <w:jc w:val="both"/>
        <w:rPr>
          <w:rFonts w:eastAsia="Times New Roman" w:cs="Arial"/>
          <w:sz w:val="22"/>
          <w:lang w:eastAsia="fr-FR"/>
        </w:rPr>
      </w:pPr>
      <w:r w:rsidRPr="00D117F8">
        <w:rPr>
          <w:rFonts w:eastAsia="Times New Roman" w:cs="Arial"/>
          <w:sz w:val="22"/>
          <w:lang w:eastAsia="fr-FR"/>
        </w:rPr>
        <w:t>Vu l’article 60 de la loi de finances n° 63-156 du 23 février 1963 ;</w:t>
      </w:r>
    </w:p>
    <w:p w:rsidR="004A5786" w:rsidRPr="00D117F8" w:rsidRDefault="002F66D6" w:rsidP="004A5786">
      <w:pPr>
        <w:spacing w:before="240" w:after="240" w:line="240" w:lineRule="auto"/>
        <w:jc w:val="both"/>
        <w:rPr>
          <w:rFonts w:eastAsia="Times New Roman" w:cs="Arial"/>
          <w:sz w:val="22"/>
          <w:lang w:eastAsia="fr-FR"/>
        </w:rPr>
      </w:pPr>
      <w:r w:rsidRPr="00D117F8">
        <w:rPr>
          <w:rFonts w:eastAsia="Times New Roman" w:cs="Arial"/>
          <w:sz w:val="22"/>
          <w:lang w:eastAsia="fr-FR"/>
        </w:rPr>
        <w:t xml:space="preserve">Vu </w:t>
      </w:r>
      <w:r w:rsidR="00DC7C54" w:rsidRPr="00D117F8">
        <w:rPr>
          <w:rFonts w:eastAsia="Times New Roman" w:cs="Arial"/>
          <w:sz w:val="22"/>
          <w:lang w:eastAsia="fr-FR"/>
        </w:rPr>
        <w:t xml:space="preserve">la délibération n° 95-205/AT du 23 novembre 1995 modifiée, portant adoption de la réglementation budgétaire, comptable et financière de la Polynésie française et de ses établissements publics ; </w:t>
      </w:r>
    </w:p>
    <w:p w:rsidR="00DA69AC" w:rsidRPr="00D117F8" w:rsidRDefault="002F66D6" w:rsidP="004A5786">
      <w:pPr>
        <w:spacing w:before="240" w:after="240" w:line="240" w:lineRule="auto"/>
        <w:jc w:val="both"/>
        <w:rPr>
          <w:rFonts w:eastAsia="Times New Roman" w:cs="Arial"/>
          <w:sz w:val="22"/>
          <w:lang w:eastAsia="fr-FR"/>
        </w:rPr>
      </w:pPr>
      <w:r w:rsidRPr="00D117F8">
        <w:rPr>
          <w:rFonts w:eastAsia="Times New Roman" w:cs="Arial"/>
          <w:sz w:val="22"/>
          <w:lang w:eastAsia="fr-FR"/>
        </w:rPr>
        <w:t>Vu le code des juridictions financières</w:t>
      </w:r>
      <w:r w:rsidR="00DA69AC" w:rsidRPr="00D117F8">
        <w:rPr>
          <w:rFonts w:eastAsia="Times New Roman" w:cs="Arial"/>
          <w:sz w:val="22"/>
          <w:lang w:eastAsia="fr-FR"/>
        </w:rPr>
        <w:t xml:space="preserve"> ; </w:t>
      </w:r>
    </w:p>
    <w:p w:rsidR="004A5786" w:rsidRPr="00D117F8" w:rsidRDefault="00DA69AC" w:rsidP="004A5786">
      <w:pPr>
        <w:spacing w:before="240" w:after="240" w:line="240" w:lineRule="auto"/>
        <w:jc w:val="both"/>
        <w:rPr>
          <w:rFonts w:eastAsia="Times New Roman" w:cs="Arial"/>
          <w:sz w:val="22"/>
          <w:lang w:eastAsia="fr-FR"/>
        </w:rPr>
      </w:pPr>
      <w:r w:rsidRPr="00D117F8">
        <w:rPr>
          <w:rFonts w:eastAsia="Times New Roman" w:cs="Arial"/>
          <w:sz w:val="22"/>
          <w:lang w:eastAsia="fr-FR"/>
        </w:rPr>
        <w:t xml:space="preserve">Vu </w:t>
      </w:r>
      <w:r w:rsidR="00DC7C54" w:rsidRPr="00D117F8">
        <w:rPr>
          <w:rFonts w:eastAsia="Times New Roman" w:cs="Arial"/>
          <w:sz w:val="22"/>
          <w:lang w:eastAsia="fr-FR"/>
        </w:rPr>
        <w:t xml:space="preserve">la loi organique n° 2004-192 du 27 février 2004 modifiée, portant statut </w:t>
      </w:r>
      <w:r w:rsidRPr="00D117F8">
        <w:rPr>
          <w:rFonts w:eastAsia="Times New Roman" w:cs="Arial"/>
          <w:sz w:val="22"/>
          <w:lang w:eastAsia="fr-FR"/>
        </w:rPr>
        <w:t xml:space="preserve">d’autonomie </w:t>
      </w:r>
      <w:r w:rsidR="00DC7C54" w:rsidRPr="00D117F8">
        <w:rPr>
          <w:rFonts w:eastAsia="Times New Roman" w:cs="Arial"/>
          <w:sz w:val="22"/>
          <w:lang w:eastAsia="fr-FR"/>
        </w:rPr>
        <w:t>de la Polynésie française</w:t>
      </w:r>
      <w:r w:rsidRPr="00D117F8">
        <w:rPr>
          <w:rFonts w:eastAsia="Times New Roman" w:cs="Arial"/>
          <w:sz w:val="22"/>
          <w:lang w:eastAsia="fr-FR"/>
        </w:rPr>
        <w:t>, notamment ses articles 7, 13, 14, 64-1, 93, 97, 175 et 182 à 186 ;</w:t>
      </w:r>
    </w:p>
    <w:p w:rsidR="004A5786" w:rsidRPr="00D117F8" w:rsidRDefault="002F66D6" w:rsidP="004A5786">
      <w:pPr>
        <w:spacing w:before="240" w:after="240" w:line="240" w:lineRule="auto"/>
        <w:jc w:val="both"/>
        <w:rPr>
          <w:rFonts w:eastAsia="Times New Roman" w:cs="Arial"/>
          <w:sz w:val="22"/>
          <w:lang w:eastAsia="fr-FR"/>
        </w:rPr>
      </w:pPr>
      <w:r w:rsidRPr="00D117F8">
        <w:rPr>
          <w:rFonts w:eastAsia="Times New Roman" w:cs="Arial"/>
          <w:sz w:val="22"/>
          <w:lang w:eastAsia="fr-FR"/>
        </w:rPr>
        <w:t>Vu le rapport de M</w:t>
      </w:r>
      <w:r w:rsidR="006C1F5D" w:rsidRPr="00D117F8">
        <w:rPr>
          <w:rFonts w:eastAsia="Times New Roman" w:cs="Arial"/>
          <w:sz w:val="22"/>
          <w:lang w:eastAsia="fr-FR"/>
        </w:rPr>
        <w:t>.</w:t>
      </w:r>
      <w:r w:rsidRPr="00D117F8">
        <w:rPr>
          <w:rFonts w:eastAsia="Times New Roman" w:cs="Arial"/>
          <w:sz w:val="22"/>
          <w:lang w:eastAsia="fr-FR"/>
        </w:rPr>
        <w:t xml:space="preserve"> </w:t>
      </w:r>
      <w:r w:rsidR="006C1F5D" w:rsidRPr="00D117F8">
        <w:rPr>
          <w:rFonts w:eastAsia="Times New Roman" w:cs="Arial"/>
          <w:sz w:val="22"/>
          <w:lang w:eastAsia="fr-FR"/>
        </w:rPr>
        <w:t>P</w:t>
      </w:r>
      <w:r w:rsidR="00DC7C54" w:rsidRPr="00D117F8">
        <w:rPr>
          <w:rFonts w:eastAsia="Times New Roman" w:cs="Arial"/>
          <w:sz w:val="22"/>
          <w:lang w:eastAsia="fr-FR"/>
        </w:rPr>
        <w:t>atrick BONNAUD, conseiller référendaire</w:t>
      </w:r>
      <w:r w:rsidRPr="00D117F8">
        <w:rPr>
          <w:rFonts w:eastAsia="Times New Roman" w:cs="Arial"/>
          <w:sz w:val="22"/>
          <w:lang w:eastAsia="fr-FR"/>
        </w:rPr>
        <w:t> ;</w:t>
      </w:r>
    </w:p>
    <w:p w:rsidR="004A5786" w:rsidRPr="00D117F8" w:rsidRDefault="002F66D6" w:rsidP="004A5786">
      <w:pPr>
        <w:spacing w:before="240" w:after="240" w:line="240" w:lineRule="auto"/>
        <w:jc w:val="both"/>
        <w:rPr>
          <w:rFonts w:eastAsia="Times New Roman" w:cs="Arial"/>
          <w:sz w:val="22"/>
          <w:lang w:eastAsia="fr-FR"/>
        </w:rPr>
      </w:pPr>
      <w:r w:rsidRPr="00D117F8">
        <w:rPr>
          <w:rFonts w:eastAsia="Times New Roman" w:cs="Arial"/>
          <w:sz w:val="22"/>
          <w:lang w:eastAsia="fr-FR"/>
        </w:rPr>
        <w:t>Vu les conclusions du Procureur général</w:t>
      </w:r>
      <w:r w:rsidR="00D00A0E">
        <w:rPr>
          <w:rFonts w:eastAsia="Times New Roman" w:cs="Arial"/>
          <w:sz w:val="22"/>
          <w:lang w:eastAsia="fr-FR"/>
        </w:rPr>
        <w:t xml:space="preserve"> </w:t>
      </w:r>
      <w:r w:rsidRPr="00D117F8">
        <w:rPr>
          <w:rFonts w:eastAsia="Times New Roman" w:cs="Arial"/>
          <w:sz w:val="22"/>
          <w:lang w:eastAsia="fr-FR"/>
        </w:rPr>
        <w:t>n° </w:t>
      </w:r>
      <w:r w:rsidR="006C1F5D" w:rsidRPr="00D117F8">
        <w:rPr>
          <w:rFonts w:eastAsia="Times New Roman" w:cs="Arial"/>
          <w:sz w:val="22"/>
          <w:lang w:eastAsia="fr-FR"/>
        </w:rPr>
        <w:t>625</w:t>
      </w:r>
      <w:r w:rsidRPr="00D117F8">
        <w:rPr>
          <w:rFonts w:eastAsia="Times New Roman" w:cs="Arial"/>
          <w:sz w:val="22"/>
          <w:lang w:eastAsia="fr-FR"/>
        </w:rPr>
        <w:t xml:space="preserve"> du </w:t>
      </w:r>
      <w:r w:rsidR="006C1F5D" w:rsidRPr="00D117F8">
        <w:rPr>
          <w:rFonts w:eastAsia="Times New Roman" w:cs="Arial"/>
          <w:sz w:val="22"/>
          <w:lang w:eastAsia="fr-FR"/>
        </w:rPr>
        <w:t>9 octobre 2015</w:t>
      </w:r>
      <w:r w:rsidR="00D00A0E">
        <w:rPr>
          <w:rFonts w:eastAsia="Times New Roman" w:cs="Arial"/>
          <w:sz w:val="22"/>
          <w:lang w:eastAsia="fr-FR"/>
        </w:rPr>
        <w:t> </w:t>
      </w:r>
      <w:r w:rsidRPr="00D117F8">
        <w:rPr>
          <w:rFonts w:eastAsia="Times New Roman" w:cs="Arial"/>
          <w:sz w:val="22"/>
          <w:lang w:eastAsia="fr-FR"/>
        </w:rPr>
        <w:t>;</w:t>
      </w:r>
    </w:p>
    <w:p w:rsidR="004A5786" w:rsidRPr="00D117F8" w:rsidRDefault="002F66D6" w:rsidP="004A5786">
      <w:pPr>
        <w:spacing w:before="240" w:after="240" w:line="240" w:lineRule="auto"/>
        <w:jc w:val="both"/>
        <w:rPr>
          <w:rFonts w:eastAsia="Times New Roman" w:cs="Arial"/>
          <w:sz w:val="22"/>
          <w:lang w:eastAsia="fr-FR"/>
        </w:rPr>
      </w:pPr>
      <w:r w:rsidRPr="00D117F8">
        <w:rPr>
          <w:rFonts w:eastAsia="Times New Roman" w:cs="Arial"/>
          <w:sz w:val="22"/>
          <w:lang w:eastAsia="fr-FR"/>
        </w:rPr>
        <w:lastRenderedPageBreak/>
        <w:t xml:space="preserve">Entendu, lors de l’audience publique du </w:t>
      </w:r>
      <w:r w:rsidR="006C1F5D" w:rsidRPr="00D117F8">
        <w:rPr>
          <w:rFonts w:eastAsia="Times New Roman" w:cs="Arial"/>
          <w:sz w:val="22"/>
          <w:lang w:eastAsia="fr-FR"/>
        </w:rPr>
        <w:t>15 octobre 2015</w:t>
      </w:r>
      <w:r w:rsidRPr="00D117F8">
        <w:rPr>
          <w:rFonts w:eastAsia="Times New Roman" w:cs="Arial"/>
          <w:sz w:val="22"/>
          <w:lang w:eastAsia="fr-FR"/>
        </w:rPr>
        <w:t>, M</w:t>
      </w:r>
      <w:r w:rsidR="006C1F5D" w:rsidRPr="00D117F8">
        <w:rPr>
          <w:rFonts w:eastAsia="Times New Roman" w:cs="Arial"/>
          <w:sz w:val="22"/>
          <w:lang w:eastAsia="fr-FR"/>
        </w:rPr>
        <w:t>. Patrick BONNAUD</w:t>
      </w:r>
      <w:r w:rsidRPr="00D117F8">
        <w:rPr>
          <w:rFonts w:eastAsia="Times New Roman" w:cs="Arial"/>
          <w:sz w:val="22"/>
          <w:lang w:eastAsia="fr-FR"/>
        </w:rPr>
        <w:t>, en son rapport, M</w:t>
      </w:r>
      <w:r w:rsidR="006C1F5D" w:rsidRPr="00D117F8">
        <w:rPr>
          <w:rFonts w:eastAsia="Times New Roman" w:cs="Arial"/>
          <w:sz w:val="22"/>
          <w:lang w:eastAsia="fr-FR"/>
        </w:rPr>
        <w:t>. Christian MICHAUT</w:t>
      </w:r>
      <w:r w:rsidRPr="00D117F8">
        <w:rPr>
          <w:rFonts w:eastAsia="Times New Roman" w:cs="Arial"/>
          <w:sz w:val="22"/>
          <w:lang w:eastAsia="fr-FR"/>
        </w:rPr>
        <w:t xml:space="preserve">, </w:t>
      </w:r>
      <w:r w:rsidR="006C1F5D" w:rsidRPr="00D117F8">
        <w:rPr>
          <w:rFonts w:eastAsia="Times New Roman" w:cs="Arial"/>
          <w:sz w:val="22"/>
          <w:lang w:eastAsia="fr-FR"/>
        </w:rPr>
        <w:t>avocat général</w:t>
      </w:r>
      <w:r w:rsidRPr="00D117F8">
        <w:rPr>
          <w:rFonts w:eastAsia="Times New Roman" w:cs="Arial"/>
          <w:sz w:val="22"/>
          <w:lang w:eastAsia="fr-FR"/>
        </w:rPr>
        <w:t xml:space="preserve">, en les conclusions du ministère public ; </w:t>
      </w:r>
    </w:p>
    <w:p w:rsidR="004A5786" w:rsidRPr="00D117F8" w:rsidRDefault="002F66D6" w:rsidP="004A5786">
      <w:pPr>
        <w:spacing w:before="240" w:after="240" w:line="240" w:lineRule="auto"/>
        <w:jc w:val="both"/>
        <w:rPr>
          <w:rFonts w:eastAsia="Times New Roman" w:cs="Arial"/>
          <w:sz w:val="22"/>
          <w:lang w:eastAsia="fr-FR"/>
        </w:rPr>
      </w:pPr>
      <w:r w:rsidRPr="00D117F8">
        <w:rPr>
          <w:rFonts w:eastAsia="Times New Roman" w:cs="Arial"/>
          <w:sz w:val="22"/>
          <w:lang w:eastAsia="fr-FR"/>
        </w:rPr>
        <w:t>Après avoir entendu en délibéré M</w:t>
      </w:r>
      <w:r w:rsidR="005C1CFB" w:rsidRPr="00D117F8">
        <w:rPr>
          <w:rFonts w:eastAsia="Times New Roman" w:cs="Arial"/>
          <w:sz w:val="22"/>
          <w:lang w:eastAsia="fr-FR"/>
        </w:rPr>
        <w:t>. Jean-Yves BERTUCCI</w:t>
      </w:r>
      <w:r w:rsidRPr="00D117F8">
        <w:rPr>
          <w:rFonts w:eastAsia="Times New Roman" w:cs="Arial"/>
          <w:sz w:val="22"/>
          <w:lang w:eastAsia="fr-FR"/>
        </w:rPr>
        <w:t>, conseiller maître, en ses observations ;</w:t>
      </w:r>
    </w:p>
    <w:p w:rsidR="004A5786" w:rsidRPr="00D117F8" w:rsidRDefault="002F66D6" w:rsidP="004A5786">
      <w:pPr>
        <w:spacing w:before="240" w:after="240" w:line="240" w:lineRule="auto"/>
        <w:jc w:val="both"/>
        <w:rPr>
          <w:rFonts w:eastAsia="Times New Roman" w:cs="Arial"/>
          <w:sz w:val="22"/>
          <w:lang w:eastAsia="fr-FR"/>
        </w:rPr>
      </w:pPr>
      <w:r w:rsidRPr="00D117F8">
        <w:rPr>
          <w:rFonts w:eastAsia="Times New Roman" w:cs="Arial"/>
          <w:sz w:val="22"/>
          <w:lang w:eastAsia="fr-FR"/>
        </w:rPr>
        <w:t xml:space="preserve">Attendu que, par le jugement entrepris, la chambre </w:t>
      </w:r>
      <w:r w:rsidR="00D94F22" w:rsidRPr="00D117F8">
        <w:rPr>
          <w:rFonts w:eastAsia="Times New Roman" w:cs="Arial"/>
          <w:sz w:val="22"/>
          <w:lang w:eastAsia="fr-FR"/>
        </w:rPr>
        <w:t>territoriale</w:t>
      </w:r>
      <w:r w:rsidRPr="00D117F8">
        <w:rPr>
          <w:rFonts w:eastAsia="Times New Roman" w:cs="Arial"/>
          <w:sz w:val="22"/>
          <w:lang w:eastAsia="fr-FR"/>
        </w:rPr>
        <w:t xml:space="preserve"> des comptes</w:t>
      </w:r>
      <w:r w:rsidR="005C1CFB" w:rsidRPr="00D117F8">
        <w:rPr>
          <w:rFonts w:eastAsia="Times New Roman" w:cs="Arial"/>
          <w:sz w:val="22"/>
          <w:lang w:eastAsia="fr-FR"/>
        </w:rPr>
        <w:t xml:space="preserve"> (CTC)</w:t>
      </w:r>
      <w:r w:rsidRPr="00D117F8">
        <w:rPr>
          <w:rFonts w:eastAsia="Times New Roman" w:cs="Arial"/>
          <w:sz w:val="22"/>
          <w:lang w:eastAsia="fr-FR"/>
        </w:rPr>
        <w:t xml:space="preserve"> de </w:t>
      </w:r>
      <w:r w:rsidR="00D94F22" w:rsidRPr="00D117F8">
        <w:rPr>
          <w:rFonts w:eastAsia="Times New Roman" w:cs="Arial"/>
          <w:sz w:val="22"/>
          <w:lang w:eastAsia="fr-FR"/>
        </w:rPr>
        <w:t xml:space="preserve">Polynésie française a constitué </w:t>
      </w:r>
      <w:r w:rsidR="00B07238">
        <w:rPr>
          <w:rFonts w:eastAsia="Times New Roman" w:cs="Arial"/>
          <w:sz w:val="22"/>
          <w:lang w:eastAsia="fr-FR"/>
        </w:rPr>
        <w:t>M</w:t>
      </w:r>
      <w:r w:rsidR="00B07238" w:rsidRPr="00D00A0E">
        <w:rPr>
          <w:rFonts w:eastAsia="Times New Roman" w:cs="Arial"/>
          <w:sz w:val="22"/>
          <w:vertAlign w:val="superscript"/>
          <w:lang w:eastAsia="fr-FR"/>
        </w:rPr>
        <w:t>mes</w:t>
      </w:r>
      <w:r w:rsidR="00B07238">
        <w:rPr>
          <w:rFonts w:eastAsia="Times New Roman" w:cs="Arial"/>
          <w:sz w:val="22"/>
          <w:lang w:eastAsia="fr-FR"/>
        </w:rPr>
        <w:t xml:space="preserve"> X</w:t>
      </w:r>
      <w:r w:rsidR="00D94F22" w:rsidRPr="00D117F8">
        <w:rPr>
          <w:rFonts w:eastAsia="Times New Roman" w:cs="Arial"/>
          <w:sz w:val="22"/>
          <w:lang w:eastAsia="fr-FR"/>
        </w:rPr>
        <w:t xml:space="preserve"> et </w:t>
      </w:r>
      <w:r w:rsidR="00B07238">
        <w:rPr>
          <w:rFonts w:eastAsia="Times New Roman" w:cs="Arial"/>
          <w:sz w:val="22"/>
          <w:lang w:eastAsia="fr-FR"/>
        </w:rPr>
        <w:t>Y</w:t>
      </w:r>
      <w:r w:rsidR="00D94F22" w:rsidRPr="00D117F8">
        <w:rPr>
          <w:rFonts w:eastAsia="Times New Roman" w:cs="Arial"/>
          <w:sz w:val="22"/>
          <w:lang w:eastAsia="fr-FR"/>
        </w:rPr>
        <w:t xml:space="preserve"> débitrices </w:t>
      </w:r>
      <w:r w:rsidR="005C1CFB" w:rsidRPr="00D117F8">
        <w:rPr>
          <w:rFonts w:eastAsia="Times New Roman" w:cs="Arial"/>
          <w:sz w:val="22"/>
          <w:lang w:eastAsia="fr-FR"/>
        </w:rPr>
        <w:t>envers le</w:t>
      </w:r>
      <w:r w:rsidR="00D94F22" w:rsidRPr="00D117F8">
        <w:rPr>
          <w:rFonts w:eastAsia="Times New Roman" w:cs="Arial"/>
          <w:sz w:val="22"/>
          <w:lang w:eastAsia="fr-FR"/>
        </w:rPr>
        <w:t xml:space="preserve"> centre hospitalier de la Polynésie française, pour avoir</w:t>
      </w:r>
      <w:r w:rsidRPr="00D117F8">
        <w:rPr>
          <w:rFonts w:eastAsia="Times New Roman" w:cs="Arial"/>
          <w:sz w:val="22"/>
          <w:lang w:eastAsia="fr-FR"/>
        </w:rPr>
        <w:t xml:space="preserve"> </w:t>
      </w:r>
      <w:r w:rsidR="00D94F22" w:rsidRPr="00D117F8">
        <w:rPr>
          <w:rFonts w:eastAsia="Times New Roman" w:cs="Arial"/>
          <w:sz w:val="22"/>
          <w:lang w:eastAsia="fr-FR"/>
        </w:rPr>
        <w:t xml:space="preserve">accepté le paiement de dépenses </w:t>
      </w:r>
      <w:r w:rsidR="005C1CFB" w:rsidRPr="00D117F8">
        <w:rPr>
          <w:rFonts w:eastAsia="Times New Roman" w:cs="Arial"/>
          <w:sz w:val="22"/>
          <w:lang w:eastAsia="fr-FR"/>
        </w:rPr>
        <w:t xml:space="preserve">relatives à </w:t>
      </w:r>
      <w:r w:rsidR="00D94F22" w:rsidRPr="00D117F8">
        <w:rPr>
          <w:rFonts w:eastAsia="Times New Roman" w:cs="Arial"/>
          <w:sz w:val="22"/>
          <w:lang w:eastAsia="fr-FR"/>
        </w:rPr>
        <w:t>de</w:t>
      </w:r>
      <w:r w:rsidR="005C1CFB" w:rsidRPr="00D117F8">
        <w:rPr>
          <w:rFonts w:eastAsia="Times New Roman" w:cs="Arial"/>
          <w:sz w:val="22"/>
          <w:lang w:eastAsia="fr-FR"/>
        </w:rPr>
        <w:t>s</w:t>
      </w:r>
      <w:r w:rsidR="00D94F22" w:rsidRPr="00D117F8">
        <w:rPr>
          <w:rFonts w:eastAsia="Times New Roman" w:cs="Arial"/>
          <w:sz w:val="22"/>
          <w:lang w:eastAsia="fr-FR"/>
        </w:rPr>
        <w:t xml:space="preserve"> téléphones portables </w:t>
      </w:r>
      <w:r w:rsidR="005C1CFB" w:rsidRPr="00D117F8">
        <w:rPr>
          <w:rFonts w:eastAsia="Times New Roman" w:cs="Arial"/>
          <w:sz w:val="22"/>
          <w:lang w:eastAsia="fr-FR"/>
        </w:rPr>
        <w:t xml:space="preserve">utilisés par </w:t>
      </w:r>
      <w:r w:rsidR="00D94F22" w:rsidRPr="00D117F8">
        <w:rPr>
          <w:rFonts w:eastAsia="Times New Roman" w:cs="Arial"/>
          <w:sz w:val="22"/>
          <w:lang w:eastAsia="fr-FR"/>
        </w:rPr>
        <w:t xml:space="preserve"> de</w:t>
      </w:r>
      <w:r w:rsidR="005C1CFB" w:rsidRPr="00D117F8">
        <w:rPr>
          <w:rFonts w:eastAsia="Times New Roman" w:cs="Arial"/>
          <w:sz w:val="22"/>
          <w:lang w:eastAsia="fr-FR"/>
        </w:rPr>
        <w:t>s</w:t>
      </w:r>
      <w:r w:rsidR="00D94F22" w:rsidRPr="00D117F8">
        <w:rPr>
          <w:rFonts w:eastAsia="Times New Roman" w:cs="Arial"/>
          <w:sz w:val="22"/>
          <w:lang w:eastAsia="fr-FR"/>
        </w:rPr>
        <w:t xml:space="preserve"> personnels autres que ceux limitativement prévus par délibération </w:t>
      </w:r>
      <w:r w:rsidR="001E0D5C">
        <w:rPr>
          <w:rFonts w:eastAsia="Times New Roman" w:cs="Arial"/>
          <w:sz w:val="22"/>
          <w:lang w:eastAsia="fr-FR"/>
        </w:rPr>
        <w:t xml:space="preserve">du conseil d’administration </w:t>
      </w:r>
      <w:r w:rsidR="00D94F22" w:rsidRPr="00D117F8">
        <w:rPr>
          <w:rFonts w:eastAsia="Times New Roman" w:cs="Arial"/>
          <w:sz w:val="22"/>
          <w:lang w:eastAsia="fr-FR"/>
        </w:rPr>
        <w:t>de cet établissement public</w:t>
      </w:r>
      <w:r w:rsidR="005C1CFB" w:rsidRPr="00D117F8">
        <w:rPr>
          <w:rFonts w:eastAsia="Times New Roman" w:cs="Arial"/>
          <w:sz w:val="22"/>
          <w:lang w:eastAsia="fr-FR"/>
        </w:rPr>
        <w:t xml:space="preserve"> et</w:t>
      </w:r>
      <w:r w:rsidR="00D94F22" w:rsidRPr="00D117F8">
        <w:rPr>
          <w:rFonts w:eastAsia="Times New Roman" w:cs="Arial"/>
          <w:sz w:val="22"/>
          <w:lang w:eastAsia="fr-FR"/>
        </w:rPr>
        <w:t xml:space="preserve"> ainsi </w:t>
      </w:r>
      <w:r w:rsidR="005C1CFB" w:rsidRPr="00D117F8">
        <w:rPr>
          <w:rFonts w:eastAsia="Times New Roman" w:cs="Arial"/>
          <w:sz w:val="22"/>
          <w:lang w:eastAsia="fr-FR"/>
        </w:rPr>
        <w:t xml:space="preserve">méconnu </w:t>
      </w:r>
      <w:r w:rsidR="00D94F22" w:rsidRPr="00D117F8">
        <w:rPr>
          <w:rFonts w:eastAsia="Times New Roman" w:cs="Arial"/>
          <w:sz w:val="22"/>
          <w:lang w:eastAsia="fr-FR"/>
        </w:rPr>
        <w:t xml:space="preserve">les dispositions de l’arrêté n° 1413 CM du 30 décembre 1994 </w:t>
      </w:r>
      <w:r w:rsidR="005C1CFB" w:rsidRPr="00D117F8">
        <w:rPr>
          <w:rFonts w:eastAsia="Times New Roman" w:cs="Arial"/>
          <w:sz w:val="22"/>
          <w:lang w:eastAsia="fr-FR"/>
        </w:rPr>
        <w:t>qui limite</w:t>
      </w:r>
      <w:r w:rsidR="00487727" w:rsidRPr="00D117F8">
        <w:rPr>
          <w:rFonts w:eastAsia="Times New Roman" w:cs="Arial"/>
          <w:sz w:val="22"/>
          <w:lang w:eastAsia="fr-FR"/>
        </w:rPr>
        <w:t>nt</w:t>
      </w:r>
      <w:r w:rsidR="005C1CFB" w:rsidRPr="00D117F8">
        <w:rPr>
          <w:rFonts w:eastAsia="Times New Roman" w:cs="Arial"/>
          <w:sz w:val="22"/>
          <w:lang w:eastAsia="fr-FR"/>
        </w:rPr>
        <w:t xml:space="preserve"> à un seul le nombre des téléphones portables dont les frais sont susceptibles d’être pris en charge par un établissement public territorial et réserve</w:t>
      </w:r>
      <w:r w:rsidR="00487727" w:rsidRPr="00D117F8">
        <w:rPr>
          <w:rFonts w:eastAsia="Times New Roman" w:cs="Arial"/>
          <w:sz w:val="22"/>
          <w:lang w:eastAsia="fr-FR"/>
        </w:rPr>
        <w:t>nt</w:t>
      </w:r>
      <w:r w:rsidR="00D94F22" w:rsidRPr="00D117F8">
        <w:rPr>
          <w:rFonts w:eastAsia="Times New Roman" w:cs="Arial"/>
          <w:sz w:val="22"/>
          <w:lang w:eastAsia="fr-FR"/>
        </w:rPr>
        <w:t xml:space="preserve"> au conseil d’administration </w:t>
      </w:r>
      <w:r w:rsidR="005C1CFB" w:rsidRPr="00D117F8">
        <w:rPr>
          <w:rFonts w:eastAsia="Times New Roman" w:cs="Arial"/>
          <w:sz w:val="22"/>
          <w:lang w:eastAsia="fr-FR"/>
        </w:rPr>
        <w:t xml:space="preserve">de l’établissement </w:t>
      </w:r>
      <w:r w:rsidR="00D94F22" w:rsidRPr="00D117F8">
        <w:rPr>
          <w:rFonts w:eastAsia="Times New Roman" w:cs="Arial"/>
          <w:sz w:val="22"/>
          <w:lang w:eastAsia="fr-FR"/>
        </w:rPr>
        <w:t xml:space="preserve">le pouvoir de déroger </w:t>
      </w:r>
      <w:r w:rsidR="00487727" w:rsidRPr="00D117F8">
        <w:rPr>
          <w:rFonts w:eastAsia="Times New Roman" w:cs="Arial"/>
          <w:sz w:val="22"/>
          <w:lang w:eastAsia="fr-FR"/>
        </w:rPr>
        <w:t>cette</w:t>
      </w:r>
      <w:r w:rsidR="00D94F22" w:rsidRPr="00D117F8">
        <w:rPr>
          <w:rFonts w:eastAsia="Times New Roman" w:cs="Arial"/>
          <w:sz w:val="22"/>
          <w:lang w:eastAsia="fr-FR"/>
        </w:rPr>
        <w:t xml:space="preserve"> la limitation</w:t>
      </w:r>
      <w:r w:rsidR="00487727" w:rsidRPr="00D117F8">
        <w:rPr>
          <w:rFonts w:eastAsia="Times New Roman" w:cs="Arial"/>
          <w:sz w:val="22"/>
          <w:lang w:eastAsia="fr-FR"/>
        </w:rPr>
        <w:t xml:space="preserve">, </w:t>
      </w:r>
      <w:r w:rsidR="00014499" w:rsidRPr="00D117F8">
        <w:rPr>
          <w:rFonts w:eastAsia="Times New Roman" w:cs="Arial"/>
          <w:sz w:val="22"/>
          <w:lang w:eastAsia="fr-FR"/>
        </w:rPr>
        <w:t xml:space="preserve">alors qu’il leur était fait </w:t>
      </w:r>
      <w:r w:rsidR="00D94F22" w:rsidRPr="00D117F8">
        <w:rPr>
          <w:rFonts w:eastAsia="Times New Roman" w:cs="Arial"/>
          <w:sz w:val="22"/>
          <w:lang w:eastAsia="fr-FR"/>
        </w:rPr>
        <w:t>obligation de veiller à l’observation des formalités prescrites par les lois et règlements, par le point 6 de l’article 77 de l’arrêté 999 CM du 12 septembre 1988, relatif à l’organisation, au fonctionnement et aux règles financières, budgétaires et comptables du centre hospitalier de la Polynésie française ;</w:t>
      </w:r>
    </w:p>
    <w:p w:rsidR="004A5786" w:rsidRPr="00D117F8" w:rsidRDefault="0008738C" w:rsidP="004A5786">
      <w:pPr>
        <w:spacing w:before="240" w:after="240" w:line="240" w:lineRule="auto"/>
        <w:jc w:val="both"/>
        <w:rPr>
          <w:rFonts w:eastAsia="Times New Roman" w:cs="Arial"/>
          <w:sz w:val="22"/>
          <w:lang w:eastAsia="fr-FR"/>
        </w:rPr>
      </w:pPr>
      <w:r w:rsidRPr="00D117F8">
        <w:rPr>
          <w:rFonts w:eastAsia="Times New Roman" w:cs="Arial"/>
          <w:sz w:val="22"/>
          <w:lang w:eastAsia="fr-FR"/>
        </w:rPr>
        <w:t xml:space="preserve">Attendu que les appelantes </w:t>
      </w:r>
      <w:r w:rsidR="002F66D6" w:rsidRPr="00D117F8">
        <w:rPr>
          <w:rFonts w:eastAsia="Times New Roman" w:cs="Arial"/>
          <w:sz w:val="22"/>
          <w:lang w:eastAsia="fr-FR"/>
        </w:rPr>
        <w:t>demande</w:t>
      </w:r>
      <w:r w:rsidRPr="00D117F8">
        <w:rPr>
          <w:rFonts w:eastAsia="Times New Roman" w:cs="Arial"/>
          <w:sz w:val="22"/>
          <w:lang w:eastAsia="fr-FR"/>
        </w:rPr>
        <w:t>nt à la Cour d’annuler le jugement pour défaut de caractère contradictoire de la procédure, de les décharger de leur gestion, ou, à titre subsidiaire, si un manquement devait être retenu de dire que ce manquement n’a pas causé de préjudice financier à l’établissement et</w:t>
      </w:r>
      <w:r w:rsidR="008B6962" w:rsidRPr="00D117F8">
        <w:rPr>
          <w:rFonts w:eastAsia="Times New Roman" w:cs="Arial"/>
          <w:sz w:val="22"/>
          <w:lang w:eastAsia="fr-FR"/>
        </w:rPr>
        <w:t xml:space="preserve"> d</w:t>
      </w:r>
      <w:r w:rsidRPr="00D117F8">
        <w:rPr>
          <w:rFonts w:eastAsia="Times New Roman" w:cs="Arial"/>
          <w:sz w:val="22"/>
          <w:lang w:eastAsia="fr-FR"/>
        </w:rPr>
        <w:t xml:space="preserve">e fixer </w:t>
      </w:r>
      <w:r w:rsidRPr="00D00A0E">
        <w:rPr>
          <w:rFonts w:eastAsia="Times New Roman" w:cs="Arial"/>
          <w:i/>
          <w:sz w:val="22"/>
          <w:lang w:eastAsia="fr-FR"/>
        </w:rPr>
        <w:t>a minima</w:t>
      </w:r>
      <w:r w:rsidRPr="00D117F8">
        <w:rPr>
          <w:rFonts w:eastAsia="Times New Roman" w:cs="Arial"/>
          <w:sz w:val="22"/>
          <w:lang w:eastAsia="fr-FR"/>
        </w:rPr>
        <w:t xml:space="preserve"> la somme mise à leur charge ; </w:t>
      </w:r>
    </w:p>
    <w:p w:rsidR="008B6962" w:rsidRPr="00D117F8" w:rsidRDefault="008B6962" w:rsidP="004A5786">
      <w:pPr>
        <w:spacing w:before="240" w:after="240" w:line="240" w:lineRule="auto"/>
        <w:jc w:val="both"/>
        <w:rPr>
          <w:rFonts w:eastAsia="Times New Roman" w:cs="Arial"/>
          <w:sz w:val="22"/>
          <w:lang w:eastAsia="fr-FR"/>
        </w:rPr>
      </w:pPr>
      <w:r w:rsidRPr="00D117F8">
        <w:rPr>
          <w:rFonts w:eastAsia="Times New Roman" w:cs="Arial"/>
          <w:sz w:val="22"/>
          <w:lang w:eastAsia="fr-FR"/>
        </w:rPr>
        <w:t>Attendu que les deux appels portent sur le même jugement et sur la même charge, quoique pour des périodes différentes ; que, sous la réserve de la prise en compte d’observations différentes de chacun</w:t>
      </w:r>
      <w:r w:rsidR="00014499" w:rsidRPr="00D117F8">
        <w:rPr>
          <w:rFonts w:eastAsia="Times New Roman" w:cs="Arial"/>
          <w:sz w:val="22"/>
          <w:lang w:eastAsia="fr-FR"/>
        </w:rPr>
        <w:t>e</w:t>
      </w:r>
      <w:r w:rsidRPr="00D117F8">
        <w:rPr>
          <w:rFonts w:eastAsia="Times New Roman" w:cs="Arial"/>
          <w:sz w:val="22"/>
          <w:lang w:eastAsia="fr-FR"/>
        </w:rPr>
        <w:t xml:space="preserve"> des deux comptables, la motivation des </w:t>
      </w:r>
      <w:r w:rsidR="00014499" w:rsidRPr="00D117F8">
        <w:rPr>
          <w:rFonts w:eastAsia="Times New Roman" w:cs="Arial"/>
          <w:sz w:val="22"/>
          <w:lang w:eastAsia="fr-FR"/>
        </w:rPr>
        <w:t>jugements</w:t>
      </w:r>
      <w:r w:rsidRPr="00D117F8">
        <w:rPr>
          <w:rFonts w:eastAsia="Times New Roman" w:cs="Arial"/>
          <w:sz w:val="22"/>
          <w:lang w:eastAsia="fr-FR"/>
        </w:rPr>
        <w:t xml:space="preserve"> est identique ; que les requêtes en appel sont identiques ; que les arguments des comptables en appel sont voisins et se recoupent largement ; qu’il y a donc lieu de joindre les deux requêtes ;</w:t>
      </w:r>
    </w:p>
    <w:p w:rsidR="004A5786" w:rsidRPr="00D117F8" w:rsidRDefault="002F66D6" w:rsidP="004A5786">
      <w:pPr>
        <w:spacing w:before="240" w:after="240" w:line="240" w:lineRule="auto"/>
        <w:jc w:val="both"/>
        <w:rPr>
          <w:rFonts w:eastAsia="Times New Roman" w:cs="Arial"/>
          <w:b/>
          <w:i/>
          <w:sz w:val="22"/>
          <w:lang w:eastAsia="fr-FR"/>
        </w:rPr>
      </w:pPr>
      <w:r w:rsidRPr="00D117F8">
        <w:rPr>
          <w:rFonts w:eastAsia="Times New Roman" w:cs="Arial"/>
          <w:b/>
          <w:i/>
          <w:sz w:val="22"/>
          <w:lang w:eastAsia="fr-FR"/>
        </w:rPr>
        <w:t>Sur la régularité</w:t>
      </w:r>
    </w:p>
    <w:p w:rsidR="00204650" w:rsidRPr="00D117F8" w:rsidRDefault="00EE1AF8" w:rsidP="00204650">
      <w:pPr>
        <w:spacing w:before="240" w:after="240" w:line="240" w:lineRule="auto"/>
        <w:jc w:val="both"/>
        <w:rPr>
          <w:rFonts w:eastAsia="Times New Roman" w:cs="Arial"/>
          <w:sz w:val="22"/>
          <w:lang w:eastAsia="fr-FR"/>
        </w:rPr>
      </w:pPr>
      <w:r w:rsidRPr="00D117F8">
        <w:rPr>
          <w:rFonts w:eastAsia="Times New Roman" w:cs="Arial"/>
          <w:sz w:val="22"/>
          <w:lang w:eastAsia="fr-FR"/>
        </w:rPr>
        <w:t xml:space="preserve">Attendu que les appelantes demandent l’annulation du jugement entrepris </w:t>
      </w:r>
      <w:r w:rsidR="00014499" w:rsidRPr="00D117F8">
        <w:rPr>
          <w:rFonts w:eastAsia="Times New Roman" w:cs="Arial"/>
          <w:sz w:val="22"/>
          <w:lang w:eastAsia="fr-FR"/>
        </w:rPr>
        <w:t xml:space="preserve">pour </w:t>
      </w:r>
      <w:r w:rsidR="00204650" w:rsidRPr="00D117F8">
        <w:rPr>
          <w:rFonts w:eastAsia="Times New Roman" w:cs="Arial"/>
          <w:sz w:val="22"/>
          <w:lang w:eastAsia="fr-FR"/>
        </w:rPr>
        <w:t xml:space="preserve">défaut de caractère contradictoire de la procédure, </w:t>
      </w:r>
      <w:r w:rsidR="00B07238">
        <w:rPr>
          <w:rFonts w:eastAsia="Times New Roman" w:cs="Arial"/>
          <w:sz w:val="22"/>
          <w:lang w:eastAsia="fr-FR"/>
        </w:rPr>
        <w:t>M</w:t>
      </w:r>
      <w:r w:rsidR="00B07238" w:rsidRPr="00D00A0E">
        <w:rPr>
          <w:rFonts w:eastAsia="Times New Roman" w:cs="Arial"/>
          <w:sz w:val="22"/>
          <w:vertAlign w:val="superscript"/>
          <w:lang w:eastAsia="fr-FR"/>
        </w:rPr>
        <w:t>me</w:t>
      </w:r>
      <w:r w:rsidR="00B07238">
        <w:rPr>
          <w:rFonts w:eastAsia="Times New Roman" w:cs="Arial"/>
          <w:sz w:val="22"/>
          <w:lang w:eastAsia="fr-FR"/>
        </w:rPr>
        <w:t xml:space="preserve"> X</w:t>
      </w:r>
      <w:r w:rsidR="00204650" w:rsidRPr="00D117F8">
        <w:rPr>
          <w:rFonts w:eastAsia="Times New Roman" w:cs="Arial"/>
          <w:sz w:val="22"/>
          <w:lang w:eastAsia="fr-FR"/>
        </w:rPr>
        <w:t xml:space="preserve">, sans motiver cette demande, </w:t>
      </w:r>
      <w:r w:rsidR="00B07238">
        <w:rPr>
          <w:rFonts w:eastAsia="Times New Roman" w:cs="Arial"/>
          <w:sz w:val="22"/>
          <w:lang w:eastAsia="fr-FR"/>
        </w:rPr>
        <w:t>M</w:t>
      </w:r>
      <w:r w:rsidR="00B07238" w:rsidRPr="00D00A0E">
        <w:rPr>
          <w:rFonts w:eastAsia="Times New Roman" w:cs="Arial"/>
          <w:sz w:val="22"/>
          <w:vertAlign w:val="superscript"/>
          <w:lang w:eastAsia="fr-FR"/>
        </w:rPr>
        <w:t>me</w:t>
      </w:r>
      <w:r w:rsidR="00B07238">
        <w:rPr>
          <w:rFonts w:eastAsia="Times New Roman" w:cs="Arial"/>
          <w:sz w:val="22"/>
          <w:lang w:eastAsia="fr-FR"/>
        </w:rPr>
        <w:t xml:space="preserve"> Y</w:t>
      </w:r>
      <w:r w:rsidR="00204650" w:rsidRPr="00D117F8">
        <w:rPr>
          <w:rFonts w:eastAsia="Times New Roman" w:cs="Arial"/>
          <w:sz w:val="22"/>
          <w:lang w:eastAsia="fr-FR"/>
        </w:rPr>
        <w:t>, en relevant que la CTC n’a pas tr</w:t>
      </w:r>
      <w:r w:rsidR="00D117F8">
        <w:rPr>
          <w:rFonts w:eastAsia="Times New Roman" w:cs="Arial"/>
          <w:sz w:val="22"/>
          <w:lang w:eastAsia="fr-FR"/>
        </w:rPr>
        <w:t xml:space="preserve">aité son argument selon lequel </w:t>
      </w:r>
      <w:r w:rsidR="00487727" w:rsidRPr="00D117F8">
        <w:rPr>
          <w:rFonts w:eastAsia="Times New Roman" w:cs="Arial"/>
          <w:sz w:val="22"/>
          <w:lang w:eastAsia="fr-FR"/>
        </w:rPr>
        <w:t xml:space="preserve">un </w:t>
      </w:r>
      <w:r w:rsidR="00204650" w:rsidRPr="00D117F8">
        <w:rPr>
          <w:rFonts w:eastAsia="Times New Roman" w:cs="Arial"/>
          <w:sz w:val="22"/>
          <w:lang w:eastAsia="fr-FR"/>
        </w:rPr>
        <w:t xml:space="preserve">arrêté de 2007 s’était substitué à celui </w:t>
      </w:r>
      <w:r w:rsidR="00487727" w:rsidRPr="00D117F8">
        <w:rPr>
          <w:rFonts w:eastAsia="Times New Roman" w:cs="Arial"/>
          <w:sz w:val="22"/>
          <w:lang w:eastAsia="fr-FR"/>
        </w:rPr>
        <w:t xml:space="preserve">précité </w:t>
      </w:r>
      <w:r w:rsidR="00204650" w:rsidRPr="00D117F8">
        <w:rPr>
          <w:rFonts w:eastAsia="Times New Roman" w:cs="Arial"/>
          <w:sz w:val="22"/>
          <w:lang w:eastAsia="fr-FR"/>
        </w:rPr>
        <w:t>de 1994 ;</w:t>
      </w:r>
    </w:p>
    <w:p w:rsidR="00D95846" w:rsidRPr="00D117F8" w:rsidRDefault="002F66D6" w:rsidP="00204650">
      <w:pPr>
        <w:spacing w:before="240" w:after="240" w:line="240" w:lineRule="auto"/>
        <w:jc w:val="both"/>
        <w:rPr>
          <w:rFonts w:eastAsia="Times New Roman" w:cs="Arial"/>
          <w:sz w:val="22"/>
          <w:lang w:eastAsia="fr-FR"/>
        </w:rPr>
      </w:pPr>
      <w:r w:rsidRPr="00D117F8">
        <w:rPr>
          <w:rFonts w:eastAsia="Times New Roman" w:cs="Arial"/>
          <w:sz w:val="22"/>
          <w:lang w:eastAsia="fr-FR"/>
        </w:rPr>
        <w:t>Attendu</w:t>
      </w:r>
      <w:r w:rsidR="004B2A1F" w:rsidRPr="00D117F8">
        <w:rPr>
          <w:rFonts w:eastAsia="Times New Roman" w:cs="Arial"/>
          <w:sz w:val="22"/>
          <w:lang w:eastAsia="fr-FR"/>
        </w:rPr>
        <w:t xml:space="preserve"> </w:t>
      </w:r>
      <w:r w:rsidR="007340F5" w:rsidRPr="00D117F8">
        <w:rPr>
          <w:rFonts w:eastAsia="Times New Roman" w:cs="Arial"/>
          <w:sz w:val="22"/>
          <w:lang w:eastAsia="fr-FR"/>
        </w:rPr>
        <w:t xml:space="preserve">qu’il ressort du dossier des appels </w:t>
      </w:r>
      <w:r w:rsidRPr="00D117F8">
        <w:rPr>
          <w:rFonts w:eastAsia="Times New Roman" w:cs="Arial"/>
          <w:sz w:val="22"/>
          <w:lang w:eastAsia="fr-FR"/>
        </w:rPr>
        <w:t xml:space="preserve">que </w:t>
      </w:r>
      <w:r w:rsidR="00204650" w:rsidRPr="00D117F8">
        <w:rPr>
          <w:rFonts w:eastAsia="Times New Roman" w:cs="Arial"/>
          <w:sz w:val="22"/>
          <w:lang w:eastAsia="fr-FR"/>
        </w:rPr>
        <w:t>les observations de chacun</w:t>
      </w:r>
      <w:r w:rsidR="00014499" w:rsidRPr="00D117F8">
        <w:rPr>
          <w:rFonts w:eastAsia="Times New Roman" w:cs="Arial"/>
          <w:sz w:val="22"/>
          <w:lang w:eastAsia="fr-FR"/>
        </w:rPr>
        <w:t>e</w:t>
      </w:r>
      <w:r w:rsidR="00204650" w:rsidRPr="00D117F8">
        <w:rPr>
          <w:rFonts w:eastAsia="Times New Roman" w:cs="Arial"/>
          <w:sz w:val="22"/>
          <w:lang w:eastAsia="fr-FR"/>
        </w:rPr>
        <w:t xml:space="preserve"> des comptables mis</w:t>
      </w:r>
      <w:r w:rsidR="00014499" w:rsidRPr="00D117F8">
        <w:rPr>
          <w:rFonts w:eastAsia="Times New Roman" w:cs="Arial"/>
          <w:sz w:val="22"/>
          <w:lang w:eastAsia="fr-FR"/>
        </w:rPr>
        <w:t>es</w:t>
      </w:r>
      <w:r w:rsidR="00204650" w:rsidRPr="00D117F8">
        <w:rPr>
          <w:rFonts w:eastAsia="Times New Roman" w:cs="Arial"/>
          <w:sz w:val="22"/>
          <w:lang w:eastAsia="fr-FR"/>
        </w:rPr>
        <w:t xml:space="preserve"> en cause n’ont pas été communiquées à l’autre, </w:t>
      </w:r>
      <w:r w:rsidR="00D95846" w:rsidRPr="00D117F8">
        <w:rPr>
          <w:rFonts w:eastAsia="Times New Roman" w:cs="Arial"/>
          <w:sz w:val="22"/>
          <w:lang w:eastAsia="fr-FR"/>
        </w:rPr>
        <w:t>considérant</w:t>
      </w:r>
      <w:r w:rsidR="00204650" w:rsidRPr="00D117F8">
        <w:rPr>
          <w:rFonts w:eastAsia="Times New Roman" w:cs="Arial"/>
          <w:sz w:val="22"/>
          <w:lang w:eastAsia="fr-FR"/>
        </w:rPr>
        <w:t xml:space="preserve"> qu’</w:t>
      </w:r>
      <w:r w:rsidR="00014499" w:rsidRPr="00D117F8">
        <w:rPr>
          <w:rFonts w:eastAsia="Times New Roman" w:cs="Arial"/>
          <w:sz w:val="22"/>
          <w:lang w:eastAsia="fr-FR"/>
        </w:rPr>
        <w:t>elle</w:t>
      </w:r>
      <w:r w:rsidR="00204650" w:rsidRPr="00D117F8">
        <w:rPr>
          <w:rFonts w:eastAsia="Times New Roman" w:cs="Arial"/>
          <w:sz w:val="22"/>
          <w:lang w:eastAsia="fr-FR"/>
        </w:rPr>
        <w:t xml:space="preserve"> n’était pas concerné</w:t>
      </w:r>
      <w:r w:rsidR="00014499" w:rsidRPr="00D117F8">
        <w:rPr>
          <w:rFonts w:eastAsia="Times New Roman" w:cs="Arial"/>
          <w:sz w:val="22"/>
          <w:lang w:eastAsia="fr-FR"/>
        </w:rPr>
        <w:t>e</w:t>
      </w:r>
      <w:r w:rsidR="00204650" w:rsidRPr="00D117F8">
        <w:rPr>
          <w:rFonts w:eastAsia="Times New Roman" w:cs="Arial"/>
          <w:sz w:val="22"/>
          <w:lang w:eastAsia="fr-FR"/>
        </w:rPr>
        <w:t xml:space="preserve"> par les </w:t>
      </w:r>
      <w:r w:rsidR="00014499" w:rsidRPr="00D117F8">
        <w:rPr>
          <w:rFonts w:eastAsia="Times New Roman" w:cs="Arial"/>
          <w:sz w:val="22"/>
          <w:lang w:eastAsia="fr-FR"/>
        </w:rPr>
        <w:t>présomptions de charge</w:t>
      </w:r>
      <w:r w:rsidR="00204650" w:rsidRPr="00D117F8">
        <w:rPr>
          <w:rFonts w:eastAsia="Times New Roman" w:cs="Arial"/>
          <w:sz w:val="22"/>
          <w:lang w:eastAsia="fr-FR"/>
        </w:rPr>
        <w:t xml:space="preserve"> imputables à </w:t>
      </w:r>
      <w:r w:rsidR="00D95846" w:rsidRPr="00D117F8">
        <w:rPr>
          <w:rFonts w:eastAsia="Times New Roman" w:cs="Arial"/>
          <w:sz w:val="22"/>
          <w:lang w:eastAsia="fr-FR"/>
        </w:rPr>
        <w:t>sa collègue</w:t>
      </w:r>
      <w:r w:rsidR="00D00A0E">
        <w:rPr>
          <w:rFonts w:eastAsia="Times New Roman" w:cs="Arial"/>
          <w:sz w:val="22"/>
          <w:lang w:eastAsia="fr-FR"/>
        </w:rPr>
        <w:t xml:space="preserve"> </w:t>
      </w:r>
      <w:r w:rsidR="007340F5" w:rsidRPr="00D117F8">
        <w:rPr>
          <w:rFonts w:eastAsia="Times New Roman" w:cs="Arial"/>
          <w:sz w:val="22"/>
          <w:lang w:eastAsia="fr-FR"/>
        </w:rPr>
        <w:t>et donc que chacune d’elle n’était pas partie à la procédure visant l’autre</w:t>
      </w:r>
      <w:r w:rsidR="00D00A0E">
        <w:rPr>
          <w:rFonts w:eastAsia="Times New Roman" w:cs="Arial"/>
          <w:sz w:val="22"/>
          <w:lang w:eastAsia="fr-FR"/>
        </w:rPr>
        <w:t> ;</w:t>
      </w:r>
    </w:p>
    <w:p w:rsidR="00204650" w:rsidRPr="00D117F8" w:rsidRDefault="00D95846" w:rsidP="00204650">
      <w:pPr>
        <w:spacing w:before="240" w:after="240" w:line="240" w:lineRule="auto"/>
        <w:jc w:val="both"/>
        <w:rPr>
          <w:rFonts w:eastAsia="Times New Roman" w:cs="Arial"/>
          <w:sz w:val="22"/>
          <w:lang w:eastAsia="fr-FR"/>
        </w:rPr>
      </w:pPr>
      <w:r w:rsidRPr="00D117F8">
        <w:rPr>
          <w:rFonts w:eastAsia="Times New Roman" w:cs="Arial"/>
          <w:sz w:val="22"/>
          <w:lang w:eastAsia="fr-FR"/>
        </w:rPr>
        <w:t>Attendu que le réquisitoire du procureur financier ne comporte qu’une unique présomption de charge imputant, suivant le même raisonnement, le même manquement aux deux comptables successives, chacune en ce qui concerne les paiements qu’elle a effectués ; que, dans ces conditions, le caractère contradictoire de la procédure exige</w:t>
      </w:r>
      <w:r w:rsidR="007340F5" w:rsidRPr="00D117F8">
        <w:rPr>
          <w:rFonts w:eastAsia="Times New Roman" w:cs="Arial"/>
          <w:sz w:val="22"/>
          <w:lang w:eastAsia="fr-FR"/>
        </w:rPr>
        <w:t>ait</w:t>
      </w:r>
      <w:r w:rsidRPr="00D117F8">
        <w:rPr>
          <w:rFonts w:eastAsia="Times New Roman" w:cs="Arial"/>
          <w:sz w:val="22"/>
          <w:lang w:eastAsia="fr-FR"/>
        </w:rPr>
        <w:t xml:space="preserve"> que chacune des comptables ait connaissance </w:t>
      </w:r>
      <w:r w:rsidR="007340F5" w:rsidRPr="00D117F8">
        <w:rPr>
          <w:rFonts w:eastAsia="Times New Roman" w:cs="Arial"/>
          <w:sz w:val="22"/>
          <w:lang w:eastAsia="fr-FR"/>
        </w:rPr>
        <w:t>des observations présentées par l’autre, ainsi qu’en dispose</w:t>
      </w:r>
      <w:r w:rsidR="00204650" w:rsidRPr="00D117F8">
        <w:rPr>
          <w:rFonts w:eastAsia="Times New Roman" w:cs="Arial"/>
          <w:sz w:val="22"/>
          <w:lang w:eastAsia="fr-FR"/>
        </w:rPr>
        <w:t xml:space="preserve"> l’article R.272-74 III du code des Juridictions financières qui prévoit que « [</w:t>
      </w:r>
      <w:r w:rsidR="00204650" w:rsidRPr="00D117F8">
        <w:rPr>
          <w:rFonts w:eastAsia="Times New Roman" w:cs="Arial"/>
          <w:i/>
          <w:sz w:val="22"/>
          <w:lang w:eastAsia="fr-FR"/>
        </w:rPr>
        <w:t>les comptables et les autres personnes mises en cause, ainsi que l’ordonnateur en fonction</w:t>
      </w:r>
      <w:r w:rsidR="00204650" w:rsidRPr="00D117F8">
        <w:rPr>
          <w:rFonts w:eastAsia="Times New Roman" w:cs="Arial"/>
          <w:sz w:val="22"/>
          <w:lang w:eastAsia="fr-FR"/>
        </w:rPr>
        <w:t xml:space="preserve">] </w:t>
      </w:r>
      <w:r w:rsidR="00204650" w:rsidRPr="00D117F8">
        <w:rPr>
          <w:rFonts w:eastAsia="Times New Roman" w:cs="Arial"/>
          <w:i/>
          <w:sz w:val="22"/>
          <w:lang w:eastAsia="fr-FR"/>
        </w:rPr>
        <w:t>peuvent adresser au magistrat chargé de l’instruction leurs observations écrites, dont la production est notifiée à chaque partie.</w:t>
      </w:r>
      <w:r w:rsidR="00D00A0E">
        <w:rPr>
          <w:rFonts w:eastAsia="Times New Roman" w:cs="Arial"/>
          <w:sz w:val="22"/>
          <w:lang w:eastAsia="fr-FR"/>
        </w:rPr>
        <w:t> </w:t>
      </w:r>
      <w:r w:rsidR="00204650" w:rsidRPr="00D117F8">
        <w:rPr>
          <w:rFonts w:eastAsia="Times New Roman" w:cs="Arial"/>
          <w:sz w:val="22"/>
          <w:lang w:eastAsia="fr-FR"/>
        </w:rPr>
        <w:t>» ;</w:t>
      </w:r>
    </w:p>
    <w:p w:rsidR="00204650" w:rsidRPr="00D117F8" w:rsidRDefault="00204650" w:rsidP="00204650">
      <w:pPr>
        <w:spacing w:before="240" w:after="240" w:line="240" w:lineRule="auto"/>
        <w:jc w:val="both"/>
        <w:rPr>
          <w:rFonts w:eastAsia="Times New Roman" w:cs="Arial"/>
          <w:sz w:val="22"/>
          <w:lang w:eastAsia="fr-FR"/>
        </w:rPr>
      </w:pPr>
      <w:r w:rsidRPr="00D117F8">
        <w:rPr>
          <w:rFonts w:eastAsia="Times New Roman" w:cs="Arial"/>
          <w:sz w:val="22"/>
          <w:lang w:eastAsia="fr-FR"/>
        </w:rPr>
        <w:t xml:space="preserve">Attendu, de même, que les observations de </w:t>
      </w:r>
      <w:r w:rsidR="00B07238">
        <w:rPr>
          <w:rFonts w:eastAsia="Times New Roman" w:cs="Arial"/>
          <w:sz w:val="22"/>
          <w:lang w:eastAsia="fr-FR"/>
        </w:rPr>
        <w:t>M</w:t>
      </w:r>
      <w:r w:rsidR="00B07238" w:rsidRPr="00D00A0E">
        <w:rPr>
          <w:rFonts w:eastAsia="Times New Roman" w:cs="Arial"/>
          <w:sz w:val="22"/>
          <w:vertAlign w:val="superscript"/>
          <w:lang w:eastAsia="fr-FR"/>
        </w:rPr>
        <w:t>me</w:t>
      </w:r>
      <w:r w:rsidR="00B07238">
        <w:rPr>
          <w:rFonts w:eastAsia="Times New Roman" w:cs="Arial"/>
          <w:sz w:val="22"/>
          <w:lang w:eastAsia="fr-FR"/>
        </w:rPr>
        <w:t xml:space="preserve"> X</w:t>
      </w:r>
      <w:r w:rsidRPr="00D117F8">
        <w:rPr>
          <w:rFonts w:eastAsia="Times New Roman" w:cs="Arial"/>
          <w:sz w:val="22"/>
          <w:lang w:eastAsia="fr-FR"/>
        </w:rPr>
        <w:t xml:space="preserve">, datées du 22 juillet 2014, n’ont pas été communiquées à </w:t>
      </w:r>
      <w:r w:rsidR="00B07238">
        <w:rPr>
          <w:rFonts w:eastAsia="Times New Roman" w:cs="Arial"/>
          <w:sz w:val="22"/>
          <w:lang w:eastAsia="fr-FR"/>
        </w:rPr>
        <w:t>M</w:t>
      </w:r>
      <w:r w:rsidR="00B07238" w:rsidRPr="00D00A0E">
        <w:rPr>
          <w:rFonts w:eastAsia="Times New Roman" w:cs="Arial"/>
          <w:sz w:val="22"/>
          <w:vertAlign w:val="superscript"/>
          <w:lang w:eastAsia="fr-FR"/>
        </w:rPr>
        <w:t>me</w:t>
      </w:r>
      <w:r w:rsidR="00B07238">
        <w:rPr>
          <w:rFonts w:eastAsia="Times New Roman" w:cs="Arial"/>
          <w:sz w:val="22"/>
          <w:lang w:eastAsia="fr-FR"/>
        </w:rPr>
        <w:t xml:space="preserve"> Y</w:t>
      </w:r>
      <w:r w:rsidRPr="00D117F8">
        <w:rPr>
          <w:rFonts w:eastAsia="Times New Roman" w:cs="Arial"/>
          <w:sz w:val="22"/>
          <w:lang w:eastAsia="fr-FR"/>
        </w:rPr>
        <w:t xml:space="preserve">, non plus que celles de </w:t>
      </w:r>
      <w:r w:rsidR="00B07238">
        <w:rPr>
          <w:rFonts w:eastAsia="Times New Roman" w:cs="Arial"/>
          <w:sz w:val="22"/>
          <w:lang w:eastAsia="fr-FR"/>
        </w:rPr>
        <w:t>M</w:t>
      </w:r>
      <w:r w:rsidR="00B07238" w:rsidRPr="00D00A0E">
        <w:rPr>
          <w:rFonts w:eastAsia="Times New Roman" w:cs="Arial"/>
          <w:sz w:val="22"/>
          <w:vertAlign w:val="superscript"/>
          <w:lang w:eastAsia="fr-FR"/>
        </w:rPr>
        <w:t>me</w:t>
      </w:r>
      <w:r w:rsidR="00B07238">
        <w:rPr>
          <w:rFonts w:eastAsia="Times New Roman" w:cs="Arial"/>
          <w:sz w:val="22"/>
          <w:lang w:eastAsia="fr-FR"/>
        </w:rPr>
        <w:t xml:space="preserve"> Y</w:t>
      </w:r>
      <w:r w:rsidRPr="00D117F8">
        <w:rPr>
          <w:rFonts w:eastAsia="Times New Roman" w:cs="Arial"/>
          <w:sz w:val="22"/>
          <w:lang w:eastAsia="fr-FR"/>
        </w:rPr>
        <w:t xml:space="preserve">, de la même date, à </w:t>
      </w:r>
      <w:r w:rsidR="00B07238">
        <w:rPr>
          <w:rFonts w:eastAsia="Times New Roman" w:cs="Arial"/>
          <w:sz w:val="22"/>
          <w:lang w:eastAsia="fr-FR"/>
        </w:rPr>
        <w:t>M</w:t>
      </w:r>
      <w:r w:rsidR="00B07238" w:rsidRPr="00D00A0E">
        <w:rPr>
          <w:rFonts w:eastAsia="Times New Roman" w:cs="Arial"/>
          <w:sz w:val="22"/>
          <w:vertAlign w:val="superscript"/>
          <w:lang w:eastAsia="fr-FR"/>
        </w:rPr>
        <w:t>me</w:t>
      </w:r>
      <w:r w:rsidR="00B07238">
        <w:rPr>
          <w:rFonts w:eastAsia="Times New Roman" w:cs="Arial"/>
          <w:sz w:val="22"/>
          <w:lang w:eastAsia="fr-FR"/>
        </w:rPr>
        <w:t xml:space="preserve"> X</w:t>
      </w:r>
      <w:r w:rsidRPr="00D117F8">
        <w:rPr>
          <w:rFonts w:eastAsia="Times New Roman" w:cs="Arial"/>
          <w:sz w:val="22"/>
          <w:lang w:eastAsia="fr-FR"/>
        </w:rPr>
        <w:t>, pour le même motif que précédemment ; que cette pratique est</w:t>
      </w:r>
      <w:r w:rsidR="004A5786" w:rsidRPr="00D117F8">
        <w:rPr>
          <w:rFonts w:eastAsia="Times New Roman" w:cs="Arial"/>
          <w:sz w:val="22"/>
          <w:lang w:eastAsia="fr-FR"/>
        </w:rPr>
        <w:t>, pour les mêmes motifs,</w:t>
      </w:r>
      <w:r w:rsidRPr="00D117F8">
        <w:rPr>
          <w:rFonts w:eastAsia="Times New Roman" w:cs="Arial"/>
          <w:sz w:val="22"/>
          <w:lang w:eastAsia="fr-FR"/>
        </w:rPr>
        <w:t xml:space="preserve"> contraire aux dispositions de l’article R.272-75 du code des Juridictions financières, qui prévoient que «</w:t>
      </w:r>
      <w:r w:rsidR="00D00A0E">
        <w:rPr>
          <w:rFonts w:eastAsia="Times New Roman" w:cs="Arial"/>
          <w:sz w:val="22"/>
          <w:lang w:eastAsia="fr-FR"/>
        </w:rPr>
        <w:t> </w:t>
      </w:r>
      <w:r w:rsidRPr="00D117F8">
        <w:rPr>
          <w:rFonts w:eastAsia="Times New Roman" w:cs="Arial"/>
          <w:i/>
          <w:sz w:val="22"/>
          <w:lang w:eastAsia="fr-FR"/>
        </w:rPr>
        <w:t xml:space="preserve">si des observations ou des pièces sont produites par une partie entre la clôture de l’instruction et la mise en délibéré de l’affaire, elles sont communiquées au magistrat chargé </w:t>
      </w:r>
      <w:r w:rsidRPr="00D117F8">
        <w:rPr>
          <w:rFonts w:eastAsia="Times New Roman" w:cs="Arial"/>
          <w:i/>
          <w:sz w:val="22"/>
          <w:lang w:eastAsia="fr-FR"/>
        </w:rPr>
        <w:lastRenderedPageBreak/>
        <w:t xml:space="preserve">de l’instruction et au </w:t>
      </w:r>
      <w:r w:rsidR="004A5786" w:rsidRPr="00D117F8">
        <w:rPr>
          <w:rFonts w:eastAsia="Times New Roman" w:cs="Arial"/>
          <w:i/>
          <w:sz w:val="22"/>
          <w:lang w:eastAsia="fr-FR"/>
        </w:rPr>
        <w:t>m</w:t>
      </w:r>
      <w:r w:rsidRPr="00D117F8">
        <w:rPr>
          <w:rFonts w:eastAsia="Times New Roman" w:cs="Arial"/>
          <w:i/>
          <w:sz w:val="22"/>
          <w:lang w:eastAsia="fr-FR"/>
        </w:rPr>
        <w:t>inistère public. Les autres parties sont informées de la production de ces observations ou pièces nouvelles, ainsi que de la possibilité de les consulter.</w:t>
      </w:r>
      <w:r w:rsidRPr="00D117F8">
        <w:rPr>
          <w:rFonts w:eastAsia="Times New Roman" w:cs="Arial"/>
          <w:sz w:val="22"/>
          <w:lang w:eastAsia="fr-FR"/>
        </w:rPr>
        <w:t>»</w:t>
      </w:r>
      <w:r w:rsidR="00D00A0E">
        <w:rPr>
          <w:rFonts w:eastAsia="Times New Roman" w:cs="Arial"/>
          <w:sz w:val="22"/>
          <w:lang w:eastAsia="fr-FR"/>
        </w:rPr>
        <w:t>.</w:t>
      </w:r>
    </w:p>
    <w:p w:rsidR="00204650" w:rsidRPr="00D117F8" w:rsidRDefault="00204650" w:rsidP="00204650">
      <w:pPr>
        <w:spacing w:before="240" w:after="240" w:line="240" w:lineRule="auto"/>
        <w:jc w:val="both"/>
        <w:rPr>
          <w:rFonts w:eastAsia="Times New Roman" w:cs="Arial"/>
          <w:sz w:val="22"/>
          <w:lang w:eastAsia="fr-FR"/>
        </w:rPr>
      </w:pPr>
      <w:r w:rsidRPr="00D117F8">
        <w:rPr>
          <w:rFonts w:eastAsia="Times New Roman" w:cs="Arial"/>
          <w:sz w:val="22"/>
          <w:lang w:eastAsia="fr-FR"/>
        </w:rPr>
        <w:t>Attendu que</w:t>
      </w:r>
      <w:r w:rsidR="004A5786" w:rsidRPr="00D117F8">
        <w:rPr>
          <w:rFonts w:eastAsia="Times New Roman" w:cs="Arial"/>
          <w:sz w:val="22"/>
          <w:lang w:eastAsia="fr-FR"/>
        </w:rPr>
        <w:t xml:space="preserve"> le</w:t>
      </w:r>
      <w:r w:rsidRPr="00D117F8">
        <w:rPr>
          <w:rFonts w:eastAsia="Times New Roman" w:cs="Arial"/>
          <w:sz w:val="22"/>
          <w:lang w:eastAsia="fr-FR"/>
        </w:rPr>
        <w:t xml:space="preserve"> caractère contradictoire de </w:t>
      </w:r>
      <w:r w:rsidR="004A5786" w:rsidRPr="00D117F8">
        <w:rPr>
          <w:rFonts w:eastAsia="Times New Roman" w:cs="Arial"/>
          <w:sz w:val="22"/>
          <w:lang w:eastAsia="fr-FR"/>
        </w:rPr>
        <w:t>la</w:t>
      </w:r>
      <w:r w:rsidRPr="00D117F8">
        <w:rPr>
          <w:rFonts w:eastAsia="Times New Roman" w:cs="Arial"/>
          <w:sz w:val="22"/>
          <w:lang w:eastAsia="fr-FR"/>
        </w:rPr>
        <w:t xml:space="preserve"> procédure </w:t>
      </w:r>
      <w:r w:rsidR="004A5786" w:rsidRPr="00D117F8">
        <w:rPr>
          <w:rFonts w:eastAsia="Times New Roman" w:cs="Arial"/>
          <w:sz w:val="22"/>
          <w:lang w:eastAsia="fr-FR"/>
        </w:rPr>
        <w:t xml:space="preserve">au terme de laquelle a été rendu le jugement attaqué n’a donc pas été assuré ; </w:t>
      </w:r>
      <w:r w:rsidR="00487727" w:rsidRPr="00D117F8">
        <w:rPr>
          <w:rFonts w:eastAsia="Times New Roman" w:cs="Arial"/>
          <w:sz w:val="22"/>
          <w:lang w:eastAsia="fr-FR"/>
        </w:rPr>
        <w:t xml:space="preserve">que ce moyen doit être soulevé d’office par le juge d’appel ; </w:t>
      </w:r>
      <w:r w:rsidR="004A5786" w:rsidRPr="00D117F8">
        <w:rPr>
          <w:rFonts w:eastAsia="Times New Roman" w:cs="Arial"/>
          <w:sz w:val="22"/>
          <w:lang w:eastAsia="fr-FR"/>
        </w:rPr>
        <w:t>que, sans  qu’il soit besoin d’examiner les autres moyen</w:t>
      </w:r>
      <w:r w:rsidR="00487727" w:rsidRPr="00D117F8">
        <w:rPr>
          <w:rFonts w:eastAsia="Times New Roman" w:cs="Arial"/>
          <w:sz w:val="22"/>
          <w:lang w:eastAsia="fr-FR"/>
        </w:rPr>
        <w:t>s relatifs à la régularité du</w:t>
      </w:r>
      <w:r w:rsidR="004A5786" w:rsidRPr="00D117F8">
        <w:rPr>
          <w:rFonts w:eastAsia="Times New Roman" w:cs="Arial"/>
          <w:sz w:val="22"/>
          <w:lang w:eastAsia="fr-FR"/>
        </w:rPr>
        <w:t xml:space="preserve"> jugement</w:t>
      </w:r>
      <w:r w:rsidR="00487727" w:rsidRPr="00D117F8">
        <w:rPr>
          <w:rFonts w:eastAsia="Times New Roman" w:cs="Arial"/>
          <w:sz w:val="22"/>
          <w:lang w:eastAsia="fr-FR"/>
        </w:rPr>
        <w:t xml:space="preserve"> attaqué</w:t>
      </w:r>
      <w:r w:rsidR="004A5786" w:rsidRPr="00D117F8">
        <w:rPr>
          <w:rFonts w:eastAsia="Times New Roman" w:cs="Arial"/>
          <w:sz w:val="22"/>
          <w:lang w:eastAsia="fr-FR"/>
        </w:rPr>
        <w:t>, il</w:t>
      </w:r>
      <w:r w:rsidR="00D00A0E">
        <w:rPr>
          <w:rFonts w:eastAsia="Times New Roman" w:cs="Arial"/>
          <w:sz w:val="22"/>
          <w:lang w:eastAsia="fr-FR"/>
        </w:rPr>
        <w:t xml:space="preserve"> y a dès lors lieu de l’annuler</w:t>
      </w:r>
      <w:r w:rsidRPr="00D117F8">
        <w:rPr>
          <w:rFonts w:eastAsia="Times New Roman" w:cs="Arial"/>
          <w:sz w:val="22"/>
          <w:lang w:eastAsia="fr-FR"/>
        </w:rPr>
        <w:t> ;</w:t>
      </w:r>
    </w:p>
    <w:p w:rsidR="004A5786" w:rsidRPr="00D117F8" w:rsidRDefault="002F66D6" w:rsidP="004A5786">
      <w:pPr>
        <w:spacing w:before="240" w:after="240" w:line="240" w:lineRule="auto"/>
        <w:jc w:val="both"/>
        <w:rPr>
          <w:rFonts w:eastAsia="Times New Roman" w:cs="Arial"/>
          <w:i/>
          <w:sz w:val="22"/>
          <w:lang w:eastAsia="fr-FR"/>
        </w:rPr>
      </w:pPr>
      <w:r w:rsidRPr="00D117F8">
        <w:rPr>
          <w:rFonts w:eastAsia="Times New Roman" w:cs="Arial"/>
          <w:sz w:val="22"/>
          <w:lang w:eastAsia="fr-FR"/>
        </w:rPr>
        <w:t>Attendu que l’aff</w:t>
      </w:r>
      <w:r w:rsidR="00D117F8">
        <w:rPr>
          <w:rFonts w:eastAsia="Times New Roman" w:cs="Arial"/>
          <w:sz w:val="22"/>
          <w:lang w:eastAsia="fr-FR"/>
        </w:rPr>
        <w:t xml:space="preserve">aire est en état d’être jugée ; </w:t>
      </w:r>
      <w:r w:rsidRPr="00D117F8">
        <w:rPr>
          <w:rFonts w:eastAsia="Times New Roman" w:cs="Arial"/>
          <w:sz w:val="22"/>
          <w:lang w:eastAsia="fr-FR"/>
        </w:rPr>
        <w:t xml:space="preserve">qu’il y a lieu de l’évoquer et de statuer sur le réquisitoire du procureur financier du </w:t>
      </w:r>
      <w:r w:rsidR="00EE6497" w:rsidRPr="00D117F8">
        <w:rPr>
          <w:rFonts w:eastAsia="Times New Roman" w:cs="Arial"/>
          <w:sz w:val="22"/>
          <w:lang w:eastAsia="fr-FR"/>
        </w:rPr>
        <w:t>5 décembre 2013</w:t>
      </w:r>
      <w:r w:rsidR="00D00A0E">
        <w:rPr>
          <w:rFonts w:eastAsia="Times New Roman" w:cs="Arial"/>
          <w:sz w:val="22"/>
          <w:lang w:eastAsia="fr-FR"/>
        </w:rPr>
        <w:t> </w:t>
      </w:r>
      <w:r w:rsidR="00D00A0E">
        <w:rPr>
          <w:rFonts w:eastAsia="Times New Roman" w:cs="Arial"/>
          <w:i/>
          <w:sz w:val="22"/>
          <w:lang w:eastAsia="fr-FR"/>
        </w:rPr>
        <w:t>;</w:t>
      </w:r>
    </w:p>
    <w:p w:rsidR="000F7CE5" w:rsidRPr="00D117F8" w:rsidRDefault="000F7CE5" w:rsidP="004A5786">
      <w:pPr>
        <w:spacing w:before="240" w:after="240" w:line="240" w:lineRule="auto"/>
        <w:jc w:val="both"/>
        <w:rPr>
          <w:rFonts w:eastAsia="Times New Roman" w:cs="Arial"/>
          <w:b/>
          <w:i/>
          <w:sz w:val="22"/>
          <w:lang w:eastAsia="fr-FR"/>
        </w:rPr>
      </w:pPr>
    </w:p>
    <w:p w:rsidR="004A5786" w:rsidRPr="00D117F8" w:rsidRDefault="002F66D6" w:rsidP="004A5786">
      <w:pPr>
        <w:spacing w:before="240" w:after="240" w:line="240" w:lineRule="auto"/>
        <w:jc w:val="both"/>
        <w:rPr>
          <w:rFonts w:eastAsia="Times New Roman" w:cs="Arial"/>
          <w:b/>
          <w:i/>
          <w:sz w:val="22"/>
          <w:lang w:eastAsia="fr-FR"/>
        </w:rPr>
      </w:pPr>
      <w:r w:rsidRPr="00D117F8">
        <w:rPr>
          <w:rFonts w:eastAsia="Times New Roman" w:cs="Arial"/>
          <w:b/>
          <w:i/>
          <w:sz w:val="22"/>
          <w:lang w:eastAsia="fr-FR"/>
        </w:rPr>
        <w:t>Sur le fond</w:t>
      </w:r>
    </w:p>
    <w:p w:rsidR="000F7CE5" w:rsidRPr="00D117F8" w:rsidRDefault="000F7CE5" w:rsidP="000F7CE5">
      <w:pPr>
        <w:spacing w:before="240" w:after="240" w:line="240" w:lineRule="auto"/>
        <w:jc w:val="both"/>
        <w:rPr>
          <w:rFonts w:eastAsia="Times New Roman" w:cs="Arial"/>
          <w:sz w:val="22"/>
          <w:lang w:eastAsia="fr-FR"/>
        </w:rPr>
      </w:pPr>
      <w:r w:rsidRPr="00D117F8">
        <w:rPr>
          <w:rFonts w:eastAsia="Times New Roman" w:cs="Arial"/>
          <w:sz w:val="22"/>
          <w:lang w:eastAsia="fr-FR"/>
        </w:rPr>
        <w:t xml:space="preserve">Attendu que </w:t>
      </w:r>
      <w:r w:rsidR="00B07238">
        <w:rPr>
          <w:rFonts w:eastAsia="Times New Roman" w:cs="Arial"/>
          <w:sz w:val="22"/>
          <w:lang w:eastAsia="fr-FR"/>
        </w:rPr>
        <w:t>M</w:t>
      </w:r>
      <w:r w:rsidR="00B07238" w:rsidRPr="00D00A0E">
        <w:rPr>
          <w:rFonts w:eastAsia="Times New Roman" w:cs="Arial"/>
          <w:sz w:val="22"/>
          <w:vertAlign w:val="superscript"/>
          <w:lang w:eastAsia="fr-FR"/>
        </w:rPr>
        <w:t>me</w:t>
      </w:r>
      <w:r w:rsidR="00B07238">
        <w:rPr>
          <w:rFonts w:eastAsia="Times New Roman" w:cs="Arial"/>
          <w:sz w:val="22"/>
          <w:lang w:eastAsia="fr-FR"/>
        </w:rPr>
        <w:t xml:space="preserve"> X</w:t>
      </w:r>
      <w:r w:rsidRPr="00D117F8">
        <w:rPr>
          <w:rFonts w:eastAsia="Times New Roman" w:cs="Arial"/>
          <w:sz w:val="22"/>
          <w:lang w:eastAsia="fr-FR"/>
        </w:rPr>
        <w:t xml:space="preserve"> a été informée des productions de</w:t>
      </w:r>
      <w:r w:rsidR="00F73253" w:rsidRPr="00D117F8">
        <w:rPr>
          <w:rFonts w:eastAsia="Times New Roman" w:cs="Arial"/>
          <w:sz w:val="22"/>
          <w:vertAlign w:val="superscript"/>
          <w:lang w:eastAsia="fr-FR"/>
        </w:rPr>
        <w:t xml:space="preserve"> </w:t>
      </w:r>
      <w:r w:rsidR="00F73253" w:rsidRPr="00D117F8">
        <w:rPr>
          <w:rFonts w:eastAsia="Times New Roman" w:cs="Arial"/>
          <w:sz w:val="22"/>
          <w:lang w:eastAsia="fr-FR"/>
        </w:rPr>
        <w:t xml:space="preserve"> première</w:t>
      </w:r>
      <w:r w:rsidRPr="00D117F8">
        <w:rPr>
          <w:rFonts w:eastAsia="Times New Roman" w:cs="Arial"/>
          <w:sz w:val="22"/>
          <w:lang w:eastAsia="fr-FR"/>
        </w:rPr>
        <w:t xml:space="preserve"> instance de </w:t>
      </w:r>
      <w:r w:rsidR="00B07238">
        <w:rPr>
          <w:rFonts w:eastAsia="Times New Roman" w:cs="Arial"/>
          <w:sz w:val="22"/>
          <w:lang w:eastAsia="fr-FR"/>
        </w:rPr>
        <w:t>M</w:t>
      </w:r>
      <w:r w:rsidR="00B07238" w:rsidRPr="00D00A0E">
        <w:rPr>
          <w:rFonts w:eastAsia="Times New Roman" w:cs="Arial"/>
          <w:sz w:val="22"/>
          <w:vertAlign w:val="superscript"/>
          <w:lang w:eastAsia="fr-FR"/>
        </w:rPr>
        <w:t>me</w:t>
      </w:r>
      <w:r w:rsidR="00B07238">
        <w:rPr>
          <w:rFonts w:eastAsia="Times New Roman" w:cs="Arial"/>
          <w:sz w:val="22"/>
          <w:lang w:eastAsia="fr-FR"/>
        </w:rPr>
        <w:t xml:space="preserve"> Y</w:t>
      </w:r>
      <w:r w:rsidRPr="00D117F8">
        <w:rPr>
          <w:rFonts w:eastAsia="Times New Roman" w:cs="Arial"/>
          <w:sz w:val="22"/>
          <w:lang w:eastAsia="fr-FR"/>
        </w:rPr>
        <w:t xml:space="preserve"> par </w:t>
      </w:r>
      <w:r w:rsidR="00487727" w:rsidRPr="00D117F8">
        <w:rPr>
          <w:rFonts w:eastAsia="Times New Roman" w:cs="Arial"/>
          <w:sz w:val="22"/>
          <w:lang w:eastAsia="fr-FR"/>
        </w:rPr>
        <w:t>courriel</w:t>
      </w:r>
      <w:r w:rsidRPr="00D117F8">
        <w:rPr>
          <w:rFonts w:eastAsia="Times New Roman" w:cs="Arial"/>
          <w:sz w:val="22"/>
          <w:lang w:eastAsia="fr-FR"/>
        </w:rPr>
        <w:t xml:space="preserve"> du 22 juillet 2015 et </w:t>
      </w:r>
      <w:r w:rsidR="00B07238">
        <w:rPr>
          <w:rFonts w:eastAsia="Times New Roman" w:cs="Arial"/>
          <w:sz w:val="22"/>
          <w:lang w:eastAsia="fr-FR"/>
        </w:rPr>
        <w:t>M</w:t>
      </w:r>
      <w:r w:rsidR="00B07238" w:rsidRPr="00D00A0E">
        <w:rPr>
          <w:rFonts w:eastAsia="Times New Roman" w:cs="Arial"/>
          <w:sz w:val="22"/>
          <w:vertAlign w:val="superscript"/>
          <w:lang w:eastAsia="fr-FR"/>
        </w:rPr>
        <w:t>me</w:t>
      </w:r>
      <w:r w:rsidR="00B07238">
        <w:rPr>
          <w:rFonts w:eastAsia="Times New Roman" w:cs="Arial"/>
          <w:sz w:val="22"/>
          <w:lang w:eastAsia="fr-FR"/>
        </w:rPr>
        <w:t xml:space="preserve"> Y</w:t>
      </w:r>
      <w:r w:rsidRPr="00D117F8">
        <w:rPr>
          <w:rFonts w:eastAsia="Times New Roman" w:cs="Arial"/>
          <w:sz w:val="22"/>
          <w:lang w:eastAsia="fr-FR"/>
        </w:rPr>
        <w:t xml:space="preserve"> de celles de </w:t>
      </w:r>
      <w:r w:rsidR="00B07238">
        <w:rPr>
          <w:rFonts w:eastAsia="Times New Roman" w:cs="Arial"/>
          <w:sz w:val="22"/>
          <w:lang w:eastAsia="fr-FR"/>
        </w:rPr>
        <w:t>M</w:t>
      </w:r>
      <w:r w:rsidR="00B07238" w:rsidRPr="00D00A0E">
        <w:rPr>
          <w:rFonts w:eastAsia="Times New Roman" w:cs="Arial"/>
          <w:sz w:val="22"/>
          <w:vertAlign w:val="superscript"/>
          <w:lang w:eastAsia="fr-FR"/>
        </w:rPr>
        <w:t>me</w:t>
      </w:r>
      <w:r w:rsidR="00B07238">
        <w:rPr>
          <w:rFonts w:eastAsia="Times New Roman" w:cs="Arial"/>
          <w:sz w:val="22"/>
          <w:lang w:eastAsia="fr-FR"/>
        </w:rPr>
        <w:t xml:space="preserve"> X</w:t>
      </w:r>
      <w:r w:rsidRPr="00D117F8">
        <w:rPr>
          <w:rFonts w:eastAsia="Times New Roman" w:cs="Arial"/>
          <w:sz w:val="22"/>
          <w:lang w:eastAsia="fr-FR"/>
        </w:rPr>
        <w:t xml:space="preserve"> par </w:t>
      </w:r>
      <w:r w:rsidR="00487727" w:rsidRPr="00D117F8">
        <w:rPr>
          <w:rFonts w:eastAsia="Times New Roman" w:cs="Arial"/>
          <w:sz w:val="22"/>
          <w:lang w:eastAsia="fr-FR"/>
        </w:rPr>
        <w:t>courriel</w:t>
      </w:r>
      <w:r w:rsidRPr="00D117F8">
        <w:rPr>
          <w:rFonts w:eastAsia="Times New Roman" w:cs="Arial"/>
          <w:sz w:val="22"/>
          <w:lang w:eastAsia="fr-FR"/>
        </w:rPr>
        <w:t xml:space="preserve"> du 23 juillet 2015 ; que </w:t>
      </w:r>
      <w:r w:rsidR="00B07238">
        <w:rPr>
          <w:rFonts w:eastAsia="Times New Roman" w:cs="Arial"/>
          <w:sz w:val="22"/>
          <w:lang w:eastAsia="fr-FR"/>
        </w:rPr>
        <w:t>M</w:t>
      </w:r>
      <w:r w:rsidR="00B07238" w:rsidRPr="00D00A0E">
        <w:rPr>
          <w:rFonts w:eastAsia="Times New Roman" w:cs="Arial"/>
          <w:sz w:val="22"/>
          <w:vertAlign w:val="superscript"/>
          <w:lang w:eastAsia="fr-FR"/>
        </w:rPr>
        <w:t>me</w:t>
      </w:r>
      <w:r w:rsidR="00B07238">
        <w:rPr>
          <w:rFonts w:eastAsia="Times New Roman" w:cs="Arial"/>
          <w:sz w:val="22"/>
          <w:lang w:eastAsia="fr-FR"/>
        </w:rPr>
        <w:t xml:space="preserve"> X</w:t>
      </w:r>
      <w:r w:rsidRPr="00D117F8">
        <w:rPr>
          <w:rFonts w:eastAsia="Times New Roman" w:cs="Arial"/>
          <w:sz w:val="22"/>
          <w:lang w:eastAsia="fr-FR"/>
        </w:rPr>
        <w:t xml:space="preserve"> et </w:t>
      </w:r>
      <w:r w:rsidR="00B07238">
        <w:rPr>
          <w:rFonts w:eastAsia="Times New Roman" w:cs="Arial"/>
          <w:sz w:val="22"/>
          <w:lang w:eastAsia="fr-FR"/>
        </w:rPr>
        <w:t>M</w:t>
      </w:r>
      <w:r w:rsidR="00B07238" w:rsidRPr="00D00A0E">
        <w:rPr>
          <w:rFonts w:eastAsia="Times New Roman" w:cs="Arial"/>
          <w:sz w:val="22"/>
          <w:vertAlign w:val="superscript"/>
          <w:lang w:eastAsia="fr-FR"/>
        </w:rPr>
        <w:t>me</w:t>
      </w:r>
      <w:r w:rsidR="00B07238">
        <w:rPr>
          <w:rFonts w:eastAsia="Times New Roman" w:cs="Arial"/>
          <w:sz w:val="22"/>
          <w:lang w:eastAsia="fr-FR"/>
        </w:rPr>
        <w:t xml:space="preserve"> Y</w:t>
      </w:r>
      <w:r w:rsidRPr="00D117F8">
        <w:rPr>
          <w:rFonts w:eastAsia="Times New Roman" w:cs="Arial"/>
          <w:sz w:val="22"/>
          <w:lang w:eastAsia="fr-FR"/>
        </w:rPr>
        <w:t xml:space="preserve"> ont répondu le 23 juillet 201</w:t>
      </w:r>
      <w:r w:rsidR="00487727" w:rsidRPr="00D117F8">
        <w:rPr>
          <w:rFonts w:eastAsia="Times New Roman" w:cs="Arial"/>
          <w:sz w:val="22"/>
          <w:lang w:eastAsia="fr-FR"/>
        </w:rPr>
        <w:t>5</w:t>
      </w:r>
      <w:r w:rsidRPr="00D117F8">
        <w:rPr>
          <w:rFonts w:eastAsia="Times New Roman" w:cs="Arial"/>
          <w:sz w:val="22"/>
          <w:lang w:eastAsia="fr-FR"/>
        </w:rPr>
        <w:t> ; que eu égard à l</w:t>
      </w:r>
      <w:r w:rsidR="00F73253" w:rsidRPr="00D117F8">
        <w:rPr>
          <w:rFonts w:eastAsia="Times New Roman" w:cs="Arial"/>
          <w:sz w:val="22"/>
          <w:lang w:eastAsia="fr-FR"/>
        </w:rPr>
        <w:t>a</w:t>
      </w:r>
      <w:r w:rsidRPr="00D117F8">
        <w:rPr>
          <w:rFonts w:eastAsia="Times New Roman" w:cs="Arial"/>
          <w:sz w:val="22"/>
          <w:lang w:eastAsia="fr-FR"/>
        </w:rPr>
        <w:t xml:space="preserve"> nature d</w:t>
      </w:r>
      <w:r w:rsidR="00F73253" w:rsidRPr="00D117F8">
        <w:rPr>
          <w:rFonts w:eastAsia="Times New Roman" w:cs="Arial"/>
          <w:sz w:val="22"/>
          <w:lang w:eastAsia="fr-FR"/>
        </w:rPr>
        <w:t xml:space="preserve">e simple </w:t>
      </w:r>
      <w:r w:rsidRPr="00D117F8">
        <w:rPr>
          <w:rFonts w:eastAsia="Times New Roman" w:cs="Arial"/>
          <w:sz w:val="22"/>
          <w:lang w:eastAsia="fr-FR"/>
        </w:rPr>
        <w:t>accusé de réception</w:t>
      </w:r>
      <w:r w:rsidR="00F73253" w:rsidRPr="00D117F8">
        <w:rPr>
          <w:rFonts w:eastAsia="Times New Roman" w:cs="Arial"/>
          <w:sz w:val="22"/>
          <w:lang w:eastAsia="fr-FR"/>
        </w:rPr>
        <w:t xml:space="preserve"> de ces réponses</w:t>
      </w:r>
      <w:r w:rsidRPr="00D117F8">
        <w:rPr>
          <w:rFonts w:eastAsia="Times New Roman" w:cs="Arial"/>
          <w:sz w:val="22"/>
          <w:lang w:eastAsia="fr-FR"/>
        </w:rPr>
        <w:t xml:space="preserve">, </w:t>
      </w:r>
      <w:r w:rsidR="00F73253" w:rsidRPr="00D117F8">
        <w:rPr>
          <w:rFonts w:eastAsia="Times New Roman" w:cs="Arial"/>
          <w:sz w:val="22"/>
          <w:lang w:eastAsia="fr-FR"/>
        </w:rPr>
        <w:t>elles n’ont pas été transmises aux</w:t>
      </w:r>
      <w:r w:rsidRPr="00D117F8">
        <w:rPr>
          <w:rFonts w:eastAsia="Times New Roman" w:cs="Arial"/>
          <w:sz w:val="22"/>
          <w:lang w:eastAsia="fr-FR"/>
        </w:rPr>
        <w:t xml:space="preserve"> autres parties ; que ces communications ont été renouvelées par lettres </w:t>
      </w:r>
      <w:r w:rsidR="00F73253" w:rsidRPr="00D117F8">
        <w:rPr>
          <w:rFonts w:eastAsia="Times New Roman" w:cs="Arial"/>
          <w:sz w:val="22"/>
          <w:lang w:eastAsia="fr-FR"/>
        </w:rPr>
        <w:t xml:space="preserve">recommandées avec accusé de réception </w:t>
      </w:r>
      <w:r w:rsidRPr="00D117F8">
        <w:rPr>
          <w:rFonts w:eastAsia="Times New Roman" w:cs="Arial"/>
          <w:sz w:val="22"/>
          <w:lang w:eastAsia="fr-FR"/>
        </w:rPr>
        <w:t xml:space="preserve">(LRAR) du 27 juillet 2015 ; que </w:t>
      </w:r>
      <w:r w:rsidR="00B07238">
        <w:rPr>
          <w:rFonts w:eastAsia="Times New Roman" w:cs="Arial"/>
          <w:sz w:val="22"/>
          <w:lang w:eastAsia="fr-FR"/>
        </w:rPr>
        <w:t>M</w:t>
      </w:r>
      <w:r w:rsidR="00B07238" w:rsidRPr="00D00A0E">
        <w:rPr>
          <w:rFonts w:eastAsia="Times New Roman" w:cs="Arial"/>
          <w:sz w:val="22"/>
          <w:vertAlign w:val="superscript"/>
          <w:lang w:eastAsia="fr-FR"/>
        </w:rPr>
        <w:t>me</w:t>
      </w:r>
      <w:r w:rsidR="00B07238">
        <w:rPr>
          <w:rFonts w:eastAsia="Times New Roman" w:cs="Arial"/>
          <w:sz w:val="22"/>
          <w:lang w:eastAsia="fr-FR"/>
        </w:rPr>
        <w:t xml:space="preserve"> Y</w:t>
      </w:r>
      <w:r w:rsidRPr="00D117F8">
        <w:rPr>
          <w:rFonts w:eastAsia="Times New Roman" w:cs="Arial"/>
          <w:sz w:val="22"/>
          <w:lang w:eastAsia="fr-FR"/>
        </w:rPr>
        <w:t xml:space="preserve"> en a accusé réception le 30 juillet 2015 et </w:t>
      </w:r>
      <w:r w:rsidR="00B07238">
        <w:rPr>
          <w:rFonts w:eastAsia="Times New Roman" w:cs="Arial"/>
          <w:sz w:val="22"/>
          <w:lang w:eastAsia="fr-FR"/>
        </w:rPr>
        <w:t>M</w:t>
      </w:r>
      <w:r w:rsidR="00B07238" w:rsidRPr="00D00A0E">
        <w:rPr>
          <w:rFonts w:eastAsia="Times New Roman" w:cs="Arial"/>
          <w:sz w:val="22"/>
          <w:vertAlign w:val="superscript"/>
          <w:lang w:eastAsia="fr-FR"/>
        </w:rPr>
        <w:t>me</w:t>
      </w:r>
      <w:r w:rsidR="00B07238">
        <w:rPr>
          <w:rFonts w:eastAsia="Times New Roman" w:cs="Arial"/>
          <w:sz w:val="22"/>
          <w:lang w:eastAsia="fr-FR"/>
        </w:rPr>
        <w:t xml:space="preserve"> X</w:t>
      </w:r>
      <w:r w:rsidRPr="00D117F8">
        <w:rPr>
          <w:rFonts w:eastAsia="Times New Roman" w:cs="Arial"/>
          <w:sz w:val="22"/>
          <w:lang w:eastAsia="fr-FR"/>
        </w:rPr>
        <w:t>, le 31 juillet 2015 ; qu’aucune réponse n’est parvenue</w:t>
      </w:r>
      <w:r w:rsidR="00F73253" w:rsidRPr="00D117F8">
        <w:rPr>
          <w:rFonts w:eastAsia="Times New Roman" w:cs="Arial"/>
          <w:sz w:val="22"/>
          <w:lang w:eastAsia="fr-FR"/>
        </w:rPr>
        <w:t xml:space="preserve"> à la Cour</w:t>
      </w:r>
      <w:r w:rsidRPr="00D117F8">
        <w:rPr>
          <w:rFonts w:eastAsia="Times New Roman" w:cs="Arial"/>
          <w:sz w:val="22"/>
          <w:lang w:eastAsia="fr-FR"/>
        </w:rPr>
        <w:t xml:space="preserve">, </w:t>
      </w:r>
      <w:r w:rsidR="00F73253" w:rsidRPr="00D117F8">
        <w:rPr>
          <w:rFonts w:eastAsia="Times New Roman" w:cs="Arial"/>
          <w:sz w:val="22"/>
          <w:lang w:eastAsia="fr-FR"/>
        </w:rPr>
        <w:t>à l’exception</w:t>
      </w:r>
      <w:r w:rsidRPr="00D117F8">
        <w:rPr>
          <w:rFonts w:eastAsia="Times New Roman" w:cs="Arial"/>
          <w:sz w:val="22"/>
          <w:lang w:eastAsia="fr-FR"/>
        </w:rPr>
        <w:t xml:space="preserve"> d’un </w:t>
      </w:r>
      <w:r w:rsidR="00487727" w:rsidRPr="00D117F8">
        <w:rPr>
          <w:rFonts w:eastAsia="Times New Roman" w:cs="Arial"/>
          <w:sz w:val="22"/>
          <w:lang w:eastAsia="fr-FR"/>
        </w:rPr>
        <w:t>courriel</w:t>
      </w:r>
      <w:r w:rsidRPr="00D117F8">
        <w:rPr>
          <w:rFonts w:eastAsia="Times New Roman" w:cs="Arial"/>
          <w:sz w:val="22"/>
          <w:lang w:eastAsia="fr-FR"/>
        </w:rPr>
        <w:t xml:space="preserve"> de </w:t>
      </w:r>
      <w:r w:rsidR="00B07238">
        <w:rPr>
          <w:rFonts w:eastAsia="Times New Roman" w:cs="Arial"/>
          <w:sz w:val="22"/>
          <w:lang w:eastAsia="fr-FR"/>
        </w:rPr>
        <w:t>M</w:t>
      </w:r>
      <w:r w:rsidR="00B07238" w:rsidRPr="00D00A0E">
        <w:rPr>
          <w:rFonts w:eastAsia="Times New Roman" w:cs="Arial"/>
          <w:sz w:val="22"/>
          <w:vertAlign w:val="superscript"/>
          <w:lang w:eastAsia="fr-FR"/>
        </w:rPr>
        <w:t>me</w:t>
      </w:r>
      <w:r w:rsidR="00D00A0E">
        <w:rPr>
          <w:rFonts w:eastAsia="Times New Roman" w:cs="Arial"/>
          <w:sz w:val="22"/>
          <w:lang w:eastAsia="fr-FR"/>
        </w:rPr>
        <w:t> </w:t>
      </w:r>
      <w:r w:rsidR="00B07238">
        <w:rPr>
          <w:rFonts w:eastAsia="Times New Roman" w:cs="Arial"/>
          <w:sz w:val="22"/>
          <w:lang w:eastAsia="fr-FR"/>
        </w:rPr>
        <w:t>X</w:t>
      </w:r>
      <w:r w:rsidRPr="00D117F8">
        <w:rPr>
          <w:rFonts w:eastAsia="Times New Roman" w:cs="Arial"/>
          <w:sz w:val="22"/>
          <w:lang w:eastAsia="fr-FR"/>
        </w:rPr>
        <w:t xml:space="preserve"> indiquant qu’elle ne souhaitait pas </w:t>
      </w:r>
      <w:proofErr w:type="spellStart"/>
      <w:r w:rsidRPr="00D117F8">
        <w:rPr>
          <w:rFonts w:eastAsia="Times New Roman" w:cs="Arial"/>
          <w:sz w:val="22"/>
          <w:lang w:eastAsia="fr-FR"/>
        </w:rPr>
        <w:t>apporter</w:t>
      </w:r>
      <w:proofErr w:type="spellEnd"/>
      <w:r w:rsidRPr="00D117F8">
        <w:rPr>
          <w:rFonts w:eastAsia="Times New Roman" w:cs="Arial"/>
          <w:sz w:val="22"/>
          <w:lang w:eastAsia="fr-FR"/>
        </w:rPr>
        <w:t xml:space="preserve"> d’éléments complémentaires ;</w:t>
      </w:r>
    </w:p>
    <w:p w:rsidR="000F7CE5" w:rsidRPr="00D117F8" w:rsidRDefault="000F7CE5" w:rsidP="000F7CE5">
      <w:pPr>
        <w:spacing w:before="240" w:after="240" w:line="240" w:lineRule="auto"/>
        <w:jc w:val="both"/>
        <w:rPr>
          <w:rFonts w:eastAsia="Times New Roman" w:cs="Arial"/>
          <w:sz w:val="22"/>
          <w:lang w:eastAsia="fr-FR"/>
        </w:rPr>
      </w:pPr>
      <w:r w:rsidRPr="00D117F8">
        <w:rPr>
          <w:rFonts w:eastAsia="Times New Roman" w:cs="Arial"/>
          <w:sz w:val="22"/>
          <w:lang w:eastAsia="fr-FR"/>
        </w:rPr>
        <w:t xml:space="preserve">Attendu, par ailleurs, que </w:t>
      </w:r>
      <w:r w:rsidR="00DA69AC" w:rsidRPr="00D117F8">
        <w:rPr>
          <w:rFonts w:eastAsia="Times New Roman" w:cs="Arial"/>
          <w:sz w:val="22"/>
          <w:lang w:eastAsia="fr-FR"/>
        </w:rPr>
        <w:t>la</w:t>
      </w:r>
      <w:r w:rsidRPr="00D117F8">
        <w:rPr>
          <w:rFonts w:eastAsia="Times New Roman" w:cs="Arial"/>
          <w:sz w:val="22"/>
          <w:lang w:eastAsia="fr-FR"/>
        </w:rPr>
        <w:t xml:space="preserve"> requête en appel de chacun</w:t>
      </w:r>
      <w:r w:rsidR="00F73253" w:rsidRPr="00D117F8">
        <w:rPr>
          <w:rFonts w:eastAsia="Times New Roman" w:cs="Arial"/>
          <w:sz w:val="22"/>
          <w:lang w:eastAsia="fr-FR"/>
        </w:rPr>
        <w:t>e</w:t>
      </w:r>
      <w:r w:rsidRPr="00D117F8">
        <w:rPr>
          <w:rFonts w:eastAsia="Times New Roman" w:cs="Arial"/>
          <w:sz w:val="22"/>
          <w:lang w:eastAsia="fr-FR"/>
        </w:rPr>
        <w:t xml:space="preserve"> des comptables </w:t>
      </w:r>
      <w:r w:rsidR="00DA69AC" w:rsidRPr="00D117F8">
        <w:rPr>
          <w:rFonts w:eastAsia="Times New Roman" w:cs="Arial"/>
          <w:sz w:val="22"/>
          <w:lang w:eastAsia="fr-FR"/>
        </w:rPr>
        <w:t xml:space="preserve">a été communiquée </w:t>
      </w:r>
      <w:r w:rsidRPr="00D117F8">
        <w:rPr>
          <w:rFonts w:eastAsia="Times New Roman" w:cs="Arial"/>
          <w:sz w:val="22"/>
          <w:lang w:eastAsia="fr-FR"/>
        </w:rPr>
        <w:t xml:space="preserve">à l’autre par </w:t>
      </w:r>
      <w:r w:rsidR="00487727" w:rsidRPr="00D117F8">
        <w:rPr>
          <w:rFonts w:eastAsia="Times New Roman" w:cs="Arial"/>
          <w:sz w:val="22"/>
          <w:lang w:eastAsia="fr-FR"/>
        </w:rPr>
        <w:t xml:space="preserve">courriel </w:t>
      </w:r>
      <w:r w:rsidRPr="00D117F8">
        <w:rPr>
          <w:rFonts w:eastAsia="Times New Roman" w:cs="Arial"/>
          <w:sz w:val="22"/>
          <w:lang w:eastAsia="fr-FR"/>
        </w:rPr>
        <w:t>des 22 et 27 juillet 2015, puis par LRAR du 27 juillet 2015</w:t>
      </w:r>
      <w:r w:rsidR="00323B13">
        <w:rPr>
          <w:rFonts w:eastAsia="Times New Roman" w:cs="Arial"/>
          <w:sz w:val="22"/>
          <w:lang w:eastAsia="fr-FR"/>
        </w:rPr>
        <w:t> </w:t>
      </w:r>
      <w:r w:rsidRPr="00D117F8">
        <w:rPr>
          <w:rFonts w:eastAsia="Times New Roman" w:cs="Arial"/>
          <w:sz w:val="22"/>
          <w:lang w:eastAsia="fr-FR"/>
        </w:rPr>
        <w:t xml:space="preserve">; que </w:t>
      </w:r>
      <w:r w:rsidR="00B07238">
        <w:rPr>
          <w:rFonts w:eastAsia="Times New Roman" w:cs="Arial"/>
          <w:sz w:val="22"/>
          <w:lang w:eastAsia="fr-FR"/>
        </w:rPr>
        <w:t>M</w:t>
      </w:r>
      <w:r w:rsidR="00B07238" w:rsidRPr="00D00A0E">
        <w:rPr>
          <w:rFonts w:eastAsia="Times New Roman" w:cs="Arial"/>
          <w:sz w:val="22"/>
          <w:vertAlign w:val="superscript"/>
          <w:lang w:eastAsia="fr-FR"/>
        </w:rPr>
        <w:t>me</w:t>
      </w:r>
      <w:r w:rsidR="00B07238">
        <w:rPr>
          <w:rFonts w:eastAsia="Times New Roman" w:cs="Arial"/>
          <w:sz w:val="22"/>
          <w:lang w:eastAsia="fr-FR"/>
        </w:rPr>
        <w:t xml:space="preserve"> Y</w:t>
      </w:r>
      <w:r w:rsidRPr="00D117F8">
        <w:rPr>
          <w:rFonts w:eastAsia="Times New Roman" w:cs="Arial"/>
          <w:sz w:val="22"/>
          <w:lang w:eastAsia="fr-FR"/>
        </w:rPr>
        <w:t xml:space="preserve"> en a accusé réception le 30 juillet 2015 et </w:t>
      </w:r>
      <w:r w:rsidR="00B07238">
        <w:rPr>
          <w:rFonts w:eastAsia="Times New Roman" w:cs="Arial"/>
          <w:sz w:val="22"/>
          <w:lang w:eastAsia="fr-FR"/>
        </w:rPr>
        <w:t>M</w:t>
      </w:r>
      <w:r w:rsidR="00B07238" w:rsidRPr="00D00A0E">
        <w:rPr>
          <w:rFonts w:eastAsia="Times New Roman" w:cs="Arial"/>
          <w:sz w:val="22"/>
          <w:vertAlign w:val="superscript"/>
          <w:lang w:eastAsia="fr-FR"/>
        </w:rPr>
        <w:t>me</w:t>
      </w:r>
      <w:r w:rsidR="00B07238">
        <w:rPr>
          <w:rFonts w:eastAsia="Times New Roman" w:cs="Arial"/>
          <w:sz w:val="22"/>
          <w:lang w:eastAsia="fr-FR"/>
        </w:rPr>
        <w:t xml:space="preserve"> X</w:t>
      </w:r>
      <w:r w:rsidRPr="00D117F8">
        <w:rPr>
          <w:rFonts w:eastAsia="Times New Roman" w:cs="Arial"/>
          <w:sz w:val="22"/>
          <w:lang w:eastAsia="fr-FR"/>
        </w:rPr>
        <w:t>, le 31 juillet 2015 ; qu’aucune réponse n’est parvenue</w:t>
      </w:r>
      <w:r w:rsidR="00F73253" w:rsidRPr="00D117F8">
        <w:rPr>
          <w:rFonts w:eastAsia="Times New Roman" w:cs="Arial"/>
          <w:sz w:val="22"/>
          <w:lang w:eastAsia="fr-FR"/>
        </w:rPr>
        <w:t xml:space="preserve"> à la Cour</w:t>
      </w:r>
      <w:r w:rsidRPr="00D117F8">
        <w:rPr>
          <w:rFonts w:eastAsia="Times New Roman" w:cs="Arial"/>
          <w:sz w:val="22"/>
          <w:lang w:eastAsia="fr-FR"/>
        </w:rPr>
        <w:t>,</w:t>
      </w:r>
      <w:r w:rsidR="00F73253" w:rsidRPr="00D117F8">
        <w:rPr>
          <w:rFonts w:eastAsia="Times New Roman" w:cs="Arial"/>
          <w:sz w:val="22"/>
          <w:lang w:eastAsia="fr-FR"/>
        </w:rPr>
        <w:t xml:space="preserve"> à l’exception</w:t>
      </w:r>
      <w:r w:rsidRPr="00D117F8">
        <w:rPr>
          <w:rFonts w:eastAsia="Times New Roman" w:cs="Arial"/>
          <w:sz w:val="22"/>
          <w:lang w:eastAsia="fr-FR"/>
        </w:rPr>
        <w:t xml:space="preserve"> d’un </w:t>
      </w:r>
      <w:r w:rsidR="00487727" w:rsidRPr="00D117F8">
        <w:rPr>
          <w:rFonts w:eastAsia="Times New Roman" w:cs="Arial"/>
          <w:sz w:val="22"/>
          <w:lang w:eastAsia="fr-FR"/>
        </w:rPr>
        <w:t>courriel</w:t>
      </w:r>
      <w:r w:rsidRPr="00D117F8">
        <w:rPr>
          <w:rFonts w:eastAsia="Times New Roman" w:cs="Arial"/>
          <w:sz w:val="22"/>
          <w:lang w:eastAsia="fr-FR"/>
        </w:rPr>
        <w:t xml:space="preserve"> de </w:t>
      </w:r>
      <w:r w:rsidR="00B07238">
        <w:rPr>
          <w:rFonts w:eastAsia="Times New Roman" w:cs="Arial"/>
          <w:sz w:val="22"/>
          <w:lang w:eastAsia="fr-FR"/>
        </w:rPr>
        <w:t>M</w:t>
      </w:r>
      <w:r w:rsidR="00B07238" w:rsidRPr="00D00A0E">
        <w:rPr>
          <w:rFonts w:eastAsia="Times New Roman" w:cs="Arial"/>
          <w:sz w:val="22"/>
          <w:vertAlign w:val="superscript"/>
          <w:lang w:eastAsia="fr-FR"/>
        </w:rPr>
        <w:t>me</w:t>
      </w:r>
      <w:r w:rsidR="00B07238">
        <w:rPr>
          <w:rFonts w:eastAsia="Times New Roman" w:cs="Arial"/>
          <w:sz w:val="22"/>
          <w:lang w:eastAsia="fr-FR"/>
        </w:rPr>
        <w:t xml:space="preserve"> X</w:t>
      </w:r>
      <w:r w:rsidRPr="00D117F8">
        <w:rPr>
          <w:rFonts w:eastAsia="Times New Roman" w:cs="Arial"/>
          <w:sz w:val="22"/>
          <w:lang w:eastAsia="fr-FR"/>
        </w:rPr>
        <w:t xml:space="preserve"> indiqua</w:t>
      </w:r>
      <w:r w:rsidR="005F1EA9" w:rsidRPr="00D117F8">
        <w:rPr>
          <w:rFonts w:eastAsia="Times New Roman" w:cs="Arial"/>
          <w:sz w:val="22"/>
          <w:lang w:eastAsia="fr-FR"/>
        </w:rPr>
        <w:t>nt qu’elle ne souhaitait pas app</w:t>
      </w:r>
      <w:r w:rsidRPr="00D117F8">
        <w:rPr>
          <w:rFonts w:eastAsia="Times New Roman" w:cs="Arial"/>
          <w:sz w:val="22"/>
          <w:lang w:eastAsia="fr-FR"/>
        </w:rPr>
        <w:t>o</w:t>
      </w:r>
      <w:r w:rsidR="005F1EA9" w:rsidRPr="00D117F8">
        <w:rPr>
          <w:rFonts w:eastAsia="Times New Roman" w:cs="Arial"/>
          <w:sz w:val="22"/>
          <w:lang w:eastAsia="fr-FR"/>
        </w:rPr>
        <w:t>rter</w:t>
      </w:r>
      <w:r w:rsidRPr="00D117F8">
        <w:rPr>
          <w:rFonts w:eastAsia="Times New Roman" w:cs="Arial"/>
          <w:sz w:val="22"/>
          <w:lang w:eastAsia="fr-FR"/>
        </w:rPr>
        <w:t xml:space="preserve"> d’éléments complémentaires ;</w:t>
      </w:r>
    </w:p>
    <w:p w:rsidR="00DA69AC" w:rsidRPr="00D117F8" w:rsidRDefault="00DA69AC" w:rsidP="000F7CE5">
      <w:pPr>
        <w:spacing w:before="240" w:after="240" w:line="240" w:lineRule="auto"/>
        <w:jc w:val="both"/>
        <w:rPr>
          <w:rFonts w:eastAsia="Times New Roman" w:cs="Arial"/>
          <w:sz w:val="22"/>
          <w:lang w:eastAsia="fr-FR"/>
        </w:rPr>
      </w:pPr>
      <w:r w:rsidRPr="00D117F8">
        <w:rPr>
          <w:rFonts w:eastAsia="Times New Roman" w:cs="Arial"/>
          <w:sz w:val="22"/>
          <w:lang w:eastAsia="fr-FR"/>
        </w:rPr>
        <w:t xml:space="preserve">Attendu que les réquisitions susvisées du procureur financier estiment que </w:t>
      </w:r>
      <w:r w:rsidR="00B07238">
        <w:rPr>
          <w:rFonts w:eastAsia="Times New Roman" w:cs="Arial"/>
          <w:sz w:val="22"/>
          <w:lang w:eastAsia="fr-FR"/>
        </w:rPr>
        <w:t>M</w:t>
      </w:r>
      <w:r w:rsidR="00B07238" w:rsidRPr="00D00A0E">
        <w:rPr>
          <w:rFonts w:eastAsia="Times New Roman" w:cs="Arial"/>
          <w:sz w:val="22"/>
          <w:vertAlign w:val="superscript"/>
          <w:lang w:eastAsia="fr-FR"/>
        </w:rPr>
        <w:t>mes</w:t>
      </w:r>
      <w:r w:rsidR="00B07238">
        <w:rPr>
          <w:rFonts w:eastAsia="Times New Roman" w:cs="Arial"/>
          <w:sz w:val="22"/>
          <w:lang w:eastAsia="fr-FR"/>
        </w:rPr>
        <w:t xml:space="preserve"> X</w:t>
      </w:r>
      <w:r w:rsidRPr="00D117F8">
        <w:rPr>
          <w:rFonts w:eastAsia="Times New Roman" w:cs="Arial"/>
          <w:sz w:val="22"/>
          <w:lang w:eastAsia="fr-FR"/>
        </w:rPr>
        <w:t xml:space="preserve"> et </w:t>
      </w:r>
      <w:r w:rsidR="00B07238">
        <w:rPr>
          <w:rFonts w:eastAsia="Times New Roman" w:cs="Arial"/>
          <w:sz w:val="22"/>
          <w:lang w:eastAsia="fr-FR"/>
        </w:rPr>
        <w:t>Y</w:t>
      </w:r>
      <w:r w:rsidRPr="00D117F8">
        <w:rPr>
          <w:rFonts w:eastAsia="Times New Roman" w:cs="Arial"/>
          <w:sz w:val="22"/>
          <w:lang w:eastAsia="fr-FR"/>
        </w:rPr>
        <w:t xml:space="preserve"> sont susceptibles d’avoir engagé leur responsabilité personnelle et pécuniaire en payant irrégulièrement des factures de téléphonie mobile t</w:t>
      </w:r>
      <w:r w:rsidR="008C0748" w:rsidRPr="00D117F8">
        <w:rPr>
          <w:rFonts w:eastAsia="Times New Roman" w:cs="Arial"/>
          <w:sz w:val="22"/>
          <w:lang w:eastAsia="fr-FR"/>
        </w:rPr>
        <w:t>out au long des exercices 2008 à 2011</w:t>
      </w:r>
      <w:r w:rsidRPr="00D117F8">
        <w:rPr>
          <w:rFonts w:eastAsia="Times New Roman" w:cs="Arial"/>
          <w:sz w:val="22"/>
          <w:lang w:eastAsia="fr-FR"/>
        </w:rPr>
        <w:t xml:space="preserve">, </w:t>
      </w:r>
      <w:r w:rsidR="008C0748" w:rsidRPr="00D117F8">
        <w:rPr>
          <w:rFonts w:eastAsia="Times New Roman" w:cs="Arial"/>
          <w:sz w:val="22"/>
          <w:lang w:eastAsia="fr-FR"/>
        </w:rPr>
        <w:t xml:space="preserve">période </w:t>
      </w:r>
      <w:r w:rsidRPr="00D117F8">
        <w:rPr>
          <w:rFonts w:eastAsia="Times New Roman" w:cs="Arial"/>
          <w:sz w:val="22"/>
          <w:lang w:eastAsia="fr-FR"/>
        </w:rPr>
        <w:t>au cours de</w:t>
      </w:r>
      <w:r w:rsidR="008C0748" w:rsidRPr="00D117F8">
        <w:rPr>
          <w:rFonts w:eastAsia="Times New Roman" w:cs="Arial"/>
          <w:sz w:val="22"/>
          <w:lang w:eastAsia="fr-FR"/>
        </w:rPr>
        <w:t xml:space="preserve"> laquelle elles ont été successivement comptable</w:t>
      </w:r>
      <w:r w:rsidR="00323B13">
        <w:rPr>
          <w:rFonts w:eastAsia="Times New Roman" w:cs="Arial"/>
          <w:sz w:val="22"/>
          <w:lang w:eastAsia="fr-FR"/>
        </w:rPr>
        <w:t>s</w:t>
      </w:r>
      <w:r w:rsidR="008C0748" w:rsidRPr="00D117F8">
        <w:rPr>
          <w:rFonts w:eastAsia="Times New Roman" w:cs="Arial"/>
          <w:sz w:val="22"/>
          <w:lang w:eastAsia="fr-FR"/>
        </w:rPr>
        <w:t xml:space="preserve"> du centre hospitalier de la Polynésie française, </w:t>
      </w:r>
      <w:r w:rsidR="00B07238">
        <w:rPr>
          <w:rFonts w:eastAsia="Times New Roman" w:cs="Arial"/>
          <w:sz w:val="22"/>
          <w:lang w:eastAsia="fr-FR"/>
        </w:rPr>
        <w:t>M</w:t>
      </w:r>
      <w:r w:rsidR="00B07238" w:rsidRPr="00D00A0E">
        <w:rPr>
          <w:rFonts w:eastAsia="Times New Roman" w:cs="Arial"/>
          <w:sz w:val="22"/>
          <w:vertAlign w:val="superscript"/>
          <w:lang w:eastAsia="fr-FR"/>
        </w:rPr>
        <w:t>me</w:t>
      </w:r>
      <w:r w:rsidR="00B07238">
        <w:rPr>
          <w:rFonts w:eastAsia="Times New Roman" w:cs="Arial"/>
          <w:sz w:val="22"/>
          <w:lang w:eastAsia="fr-FR"/>
        </w:rPr>
        <w:t xml:space="preserve"> X</w:t>
      </w:r>
      <w:r w:rsidR="008C0748" w:rsidRPr="00D117F8">
        <w:rPr>
          <w:rFonts w:eastAsia="Times New Roman" w:cs="Arial"/>
          <w:sz w:val="22"/>
          <w:lang w:eastAsia="fr-FR"/>
        </w:rPr>
        <w:t xml:space="preserve"> du 1</w:t>
      </w:r>
      <w:r w:rsidR="008C0748" w:rsidRPr="00D117F8">
        <w:rPr>
          <w:rFonts w:eastAsia="Times New Roman" w:cs="Arial"/>
          <w:sz w:val="22"/>
          <w:vertAlign w:val="superscript"/>
          <w:lang w:eastAsia="fr-FR"/>
        </w:rPr>
        <w:t>er</w:t>
      </w:r>
      <w:r w:rsidR="008C0748" w:rsidRPr="00D117F8">
        <w:rPr>
          <w:rFonts w:eastAsia="Times New Roman" w:cs="Arial"/>
          <w:sz w:val="22"/>
          <w:lang w:eastAsia="fr-FR"/>
        </w:rPr>
        <w:t xml:space="preserve"> janvier 2008 au 31 août 2009 et </w:t>
      </w:r>
      <w:r w:rsidR="00B07238">
        <w:rPr>
          <w:rFonts w:eastAsia="Times New Roman" w:cs="Arial"/>
          <w:sz w:val="22"/>
          <w:lang w:eastAsia="fr-FR"/>
        </w:rPr>
        <w:t>M</w:t>
      </w:r>
      <w:r w:rsidR="00B07238" w:rsidRPr="00D00A0E">
        <w:rPr>
          <w:rFonts w:eastAsia="Times New Roman" w:cs="Arial"/>
          <w:sz w:val="22"/>
          <w:vertAlign w:val="superscript"/>
          <w:lang w:eastAsia="fr-FR"/>
        </w:rPr>
        <w:t>me</w:t>
      </w:r>
      <w:r w:rsidR="00B07238">
        <w:rPr>
          <w:rFonts w:eastAsia="Times New Roman" w:cs="Arial"/>
          <w:sz w:val="22"/>
          <w:lang w:eastAsia="fr-FR"/>
        </w:rPr>
        <w:t xml:space="preserve"> Y</w:t>
      </w:r>
      <w:r w:rsidR="008C0748" w:rsidRPr="00D117F8">
        <w:rPr>
          <w:rFonts w:eastAsia="Times New Roman" w:cs="Arial"/>
          <w:sz w:val="22"/>
          <w:lang w:eastAsia="fr-FR"/>
        </w:rPr>
        <w:t>, du 1</w:t>
      </w:r>
      <w:r w:rsidR="008C0748" w:rsidRPr="00D117F8">
        <w:rPr>
          <w:rFonts w:eastAsia="Times New Roman" w:cs="Arial"/>
          <w:sz w:val="22"/>
          <w:vertAlign w:val="superscript"/>
          <w:lang w:eastAsia="fr-FR"/>
        </w:rPr>
        <w:t>er</w:t>
      </w:r>
      <w:r w:rsidR="00D00A0E">
        <w:rPr>
          <w:rFonts w:eastAsia="Times New Roman" w:cs="Arial"/>
          <w:sz w:val="22"/>
          <w:lang w:eastAsia="fr-FR"/>
        </w:rPr>
        <w:t> </w:t>
      </w:r>
      <w:r w:rsidR="008C0748" w:rsidRPr="00D117F8">
        <w:rPr>
          <w:rFonts w:eastAsia="Times New Roman" w:cs="Arial"/>
          <w:sz w:val="22"/>
          <w:lang w:eastAsia="fr-FR"/>
        </w:rPr>
        <w:t>septembre 2009 au 31 décembre 2011 ;</w:t>
      </w:r>
    </w:p>
    <w:p w:rsidR="008C0748" w:rsidRPr="00D117F8" w:rsidRDefault="008C0748" w:rsidP="000F7CE5">
      <w:pPr>
        <w:spacing w:before="240" w:after="240" w:line="240" w:lineRule="auto"/>
        <w:jc w:val="both"/>
        <w:rPr>
          <w:rFonts w:eastAsia="Times New Roman" w:cs="Arial"/>
          <w:sz w:val="22"/>
          <w:lang w:eastAsia="fr-FR"/>
        </w:rPr>
      </w:pPr>
      <w:r w:rsidRPr="00D117F8">
        <w:rPr>
          <w:rFonts w:eastAsia="Times New Roman" w:cs="Arial"/>
          <w:sz w:val="22"/>
          <w:lang w:eastAsia="fr-FR"/>
        </w:rPr>
        <w:t>Attendu que, selon le réquisitoire, l’irrégularité desdits paiements résulterait de ce que les comptables auraient dû être en possession d’une délibération du conseil d’administration du centre hospitalier autorisant expressément la prise en charge de ces factures par l’établissement, ce qui n’était le cas que pour les personnels limitativement énumérés dans la délibération n° 12/00/CHT du 4 avril 2000 dudit conseil, c’est-à-dire le directeur de garde, le médecin du SMUR, la surveillante générale et le chef des se</w:t>
      </w:r>
      <w:r w:rsidR="00487727" w:rsidRPr="00D117F8">
        <w:rPr>
          <w:rFonts w:eastAsia="Times New Roman" w:cs="Arial"/>
          <w:sz w:val="22"/>
          <w:lang w:eastAsia="fr-FR"/>
        </w:rPr>
        <w:t>rvices économiques et techniques</w:t>
      </w:r>
      <w:r w:rsidRPr="00D117F8">
        <w:rPr>
          <w:rFonts w:eastAsia="Times New Roman" w:cs="Arial"/>
          <w:sz w:val="22"/>
          <w:lang w:eastAsia="fr-FR"/>
        </w:rPr>
        <w:t> ;</w:t>
      </w:r>
    </w:p>
    <w:p w:rsidR="008C0748" w:rsidRPr="00D117F8" w:rsidRDefault="008C0748" w:rsidP="000F7CE5">
      <w:pPr>
        <w:spacing w:before="240" w:after="240" w:line="240" w:lineRule="auto"/>
        <w:jc w:val="both"/>
        <w:rPr>
          <w:rFonts w:eastAsia="Times New Roman" w:cs="Arial"/>
          <w:sz w:val="22"/>
          <w:lang w:eastAsia="fr-FR"/>
        </w:rPr>
      </w:pPr>
      <w:r w:rsidRPr="00D117F8">
        <w:rPr>
          <w:rFonts w:eastAsia="Times New Roman" w:cs="Arial"/>
          <w:sz w:val="22"/>
          <w:lang w:eastAsia="fr-FR"/>
        </w:rPr>
        <w:t xml:space="preserve">Attendu que, selon ce même réquisitoire, </w:t>
      </w:r>
      <w:r w:rsidR="00D00A0E">
        <w:rPr>
          <w:rFonts w:eastAsia="Times New Roman" w:cs="Arial"/>
          <w:sz w:val="22"/>
          <w:lang w:eastAsia="fr-FR"/>
        </w:rPr>
        <w:t xml:space="preserve">l’obligation pour le comptable </w:t>
      </w:r>
      <w:r w:rsidRPr="00D117F8">
        <w:rPr>
          <w:rFonts w:eastAsia="Times New Roman" w:cs="Arial"/>
          <w:sz w:val="22"/>
          <w:lang w:eastAsia="fr-FR"/>
        </w:rPr>
        <w:t xml:space="preserve">de disposer d’une telle délibération au moment des paiements découlerait des articles 76 et 77 de la délibération susvisée </w:t>
      </w:r>
      <w:r w:rsidR="00165384" w:rsidRPr="00D117F8">
        <w:rPr>
          <w:rFonts w:eastAsia="Times New Roman" w:cs="Arial"/>
          <w:sz w:val="22"/>
          <w:lang w:eastAsia="fr-FR"/>
        </w:rPr>
        <w:t>n° 95-205 AT du 23 novembre 1995 qui exige</w:t>
      </w:r>
      <w:r w:rsidR="006D1358" w:rsidRPr="00D117F8">
        <w:rPr>
          <w:rFonts w:eastAsia="Times New Roman" w:cs="Arial"/>
          <w:sz w:val="22"/>
          <w:lang w:eastAsia="fr-FR"/>
        </w:rPr>
        <w:t>raie</w:t>
      </w:r>
      <w:r w:rsidR="00165384" w:rsidRPr="00D117F8">
        <w:rPr>
          <w:rFonts w:eastAsia="Times New Roman" w:cs="Arial"/>
          <w:sz w:val="22"/>
          <w:lang w:eastAsia="fr-FR"/>
        </w:rPr>
        <w:t>nt que les comptables de la Polynésie française et de ses établissements publics, au nombre desquels figure le centre hospitalier, exercent le</w:t>
      </w:r>
      <w:r w:rsidR="00323B13">
        <w:rPr>
          <w:rFonts w:eastAsia="Times New Roman" w:cs="Arial"/>
          <w:sz w:val="22"/>
          <w:lang w:eastAsia="fr-FR"/>
        </w:rPr>
        <w:t>s</w:t>
      </w:r>
      <w:r w:rsidR="00165384" w:rsidRPr="00D117F8">
        <w:rPr>
          <w:rFonts w:eastAsia="Times New Roman" w:cs="Arial"/>
          <w:sz w:val="22"/>
          <w:lang w:eastAsia="fr-FR"/>
        </w:rPr>
        <w:t xml:space="preserve"> contrôle</w:t>
      </w:r>
      <w:r w:rsidR="00323B13">
        <w:rPr>
          <w:rFonts w:eastAsia="Times New Roman" w:cs="Arial"/>
          <w:sz w:val="22"/>
          <w:lang w:eastAsia="fr-FR"/>
        </w:rPr>
        <w:t>s</w:t>
      </w:r>
      <w:r w:rsidR="00165384" w:rsidRPr="00D117F8">
        <w:rPr>
          <w:rFonts w:eastAsia="Times New Roman" w:cs="Arial"/>
          <w:sz w:val="22"/>
          <w:lang w:eastAsia="fr-FR"/>
        </w:rPr>
        <w:t xml:space="preserve"> de la validité de la créance et de la production des pièces justificatives, combinés avec les dispositions de l’arrêté n° 463 CM du 28 mars 2007 modifié portant établissement de la liste des pièces justificatives des dépenses du pays et de ses établissements publics qui prévoiraient la production d’une délibération du conseil d’administration à l’appui de paiements de cette nature ;</w:t>
      </w:r>
    </w:p>
    <w:p w:rsidR="00165384" w:rsidRPr="00D117F8" w:rsidRDefault="00165384" w:rsidP="000F7CE5">
      <w:pPr>
        <w:spacing w:before="240" w:after="240" w:line="240" w:lineRule="auto"/>
        <w:jc w:val="both"/>
        <w:rPr>
          <w:rFonts w:eastAsia="Times New Roman" w:cs="Arial"/>
          <w:sz w:val="22"/>
          <w:lang w:eastAsia="fr-FR"/>
        </w:rPr>
      </w:pPr>
      <w:r w:rsidRPr="00D117F8">
        <w:rPr>
          <w:rFonts w:eastAsia="Times New Roman" w:cs="Arial"/>
          <w:sz w:val="22"/>
          <w:lang w:eastAsia="fr-FR"/>
        </w:rPr>
        <w:t xml:space="preserve">Attendu que c’est à bon droit que </w:t>
      </w:r>
      <w:r w:rsidR="00B07238">
        <w:rPr>
          <w:rFonts w:eastAsia="Times New Roman" w:cs="Arial"/>
          <w:sz w:val="22"/>
          <w:lang w:eastAsia="fr-FR"/>
        </w:rPr>
        <w:t>M</w:t>
      </w:r>
      <w:r w:rsidR="00B07238" w:rsidRPr="00D00A0E">
        <w:rPr>
          <w:rFonts w:eastAsia="Times New Roman" w:cs="Arial"/>
          <w:sz w:val="22"/>
          <w:vertAlign w:val="superscript"/>
          <w:lang w:eastAsia="fr-FR"/>
        </w:rPr>
        <w:t>mes</w:t>
      </w:r>
      <w:r w:rsidR="00B07238">
        <w:rPr>
          <w:rFonts w:eastAsia="Times New Roman" w:cs="Arial"/>
          <w:sz w:val="22"/>
          <w:lang w:eastAsia="fr-FR"/>
        </w:rPr>
        <w:t xml:space="preserve"> X</w:t>
      </w:r>
      <w:r w:rsidRPr="00D117F8">
        <w:rPr>
          <w:rFonts w:eastAsia="Times New Roman" w:cs="Arial"/>
          <w:sz w:val="22"/>
          <w:lang w:eastAsia="fr-FR"/>
        </w:rPr>
        <w:t xml:space="preserve"> et </w:t>
      </w:r>
      <w:r w:rsidR="00B07238">
        <w:rPr>
          <w:rFonts w:eastAsia="Times New Roman" w:cs="Arial"/>
          <w:sz w:val="22"/>
          <w:lang w:eastAsia="fr-FR"/>
        </w:rPr>
        <w:t>Y</w:t>
      </w:r>
      <w:r w:rsidRPr="00D117F8">
        <w:rPr>
          <w:rFonts w:eastAsia="Times New Roman" w:cs="Arial"/>
          <w:sz w:val="22"/>
          <w:lang w:eastAsia="fr-FR"/>
        </w:rPr>
        <w:t xml:space="preserve"> ont soutenu, tant en première instance que dans leurs requêtes en appel, que l’arrêté précité du 28 mars 2007 ne comporte aucune </w:t>
      </w:r>
      <w:r w:rsidRPr="00D117F8">
        <w:rPr>
          <w:rFonts w:eastAsia="Times New Roman" w:cs="Arial"/>
          <w:sz w:val="22"/>
          <w:lang w:eastAsia="fr-FR"/>
        </w:rPr>
        <w:lastRenderedPageBreak/>
        <w:t>disposition spécifique relative aux dépenses téléphoniques ; que le réquisitoire est donc erroné sur ce point ;</w:t>
      </w:r>
    </w:p>
    <w:p w:rsidR="00165384" w:rsidRPr="00D117F8" w:rsidRDefault="00165384" w:rsidP="000F7CE5">
      <w:pPr>
        <w:spacing w:before="240" w:after="240" w:line="240" w:lineRule="auto"/>
        <w:jc w:val="both"/>
        <w:rPr>
          <w:rFonts w:eastAsia="Times New Roman" w:cs="Arial"/>
          <w:sz w:val="22"/>
          <w:lang w:eastAsia="fr-FR"/>
        </w:rPr>
      </w:pPr>
      <w:r w:rsidRPr="00D117F8">
        <w:rPr>
          <w:rFonts w:eastAsia="Times New Roman" w:cs="Arial"/>
          <w:sz w:val="22"/>
          <w:lang w:eastAsia="fr-FR"/>
        </w:rPr>
        <w:t>Attendu cependant que la délibération précitée du 23 novembre 1995 vise l’arrêté n° 999/CM du 12 septembre 1988 relatif à l’organisation, au fonctionnement, aux règles financières, budgétaires et comptables du centre hospitalier de la Polynésie fran</w:t>
      </w:r>
      <w:r w:rsidR="008B4AE0" w:rsidRPr="00D117F8">
        <w:rPr>
          <w:rFonts w:eastAsia="Times New Roman" w:cs="Arial"/>
          <w:sz w:val="22"/>
          <w:lang w:eastAsia="fr-FR"/>
        </w:rPr>
        <w:t>çaise, arrêté auquel les comptables se sont au demeurant référées dans leurs diverses productions, que ce soit en première instance ou en appel ;</w:t>
      </w:r>
    </w:p>
    <w:p w:rsidR="008B4AE0" w:rsidRPr="00D117F8" w:rsidRDefault="008B4AE0" w:rsidP="000F7CE5">
      <w:pPr>
        <w:spacing w:before="240" w:after="240" w:line="240" w:lineRule="auto"/>
        <w:jc w:val="both"/>
        <w:rPr>
          <w:rFonts w:eastAsia="Times New Roman" w:cs="Arial"/>
          <w:sz w:val="22"/>
          <w:lang w:eastAsia="fr-FR"/>
        </w:rPr>
      </w:pPr>
      <w:r w:rsidRPr="00D117F8">
        <w:rPr>
          <w:rFonts w:eastAsia="Times New Roman" w:cs="Arial"/>
          <w:sz w:val="22"/>
          <w:lang w:eastAsia="fr-FR"/>
        </w:rPr>
        <w:t>Attendu que l’article 77 de cet arrêté précise les cas dans lesquels le comptable du centre hospitalier doit suspendre le paiement d’un mandat ; que l’un de ces cas, prévu au point 6, est celui dans lequel</w:t>
      </w:r>
      <w:r w:rsidR="00D267BF" w:rsidRPr="00D117F8">
        <w:rPr>
          <w:rFonts w:eastAsia="Times New Roman" w:cs="Arial"/>
          <w:sz w:val="22"/>
          <w:lang w:eastAsia="fr-FR"/>
        </w:rPr>
        <w:t xml:space="preserve"> </w:t>
      </w:r>
      <w:r w:rsidRPr="00D117F8">
        <w:rPr>
          <w:rFonts w:eastAsia="Times New Roman" w:cs="Arial"/>
          <w:sz w:val="22"/>
          <w:lang w:eastAsia="fr-FR"/>
        </w:rPr>
        <w:t>le comptable constate la non-observation des formalités prescrites par les lois et règlements ;</w:t>
      </w:r>
    </w:p>
    <w:p w:rsidR="008B4AE0" w:rsidRPr="00D117F8" w:rsidRDefault="008B4AE0" w:rsidP="000F7CE5">
      <w:pPr>
        <w:spacing w:before="240" w:after="240" w:line="240" w:lineRule="auto"/>
        <w:jc w:val="both"/>
        <w:rPr>
          <w:rFonts w:eastAsia="Times New Roman" w:cs="Arial"/>
          <w:sz w:val="22"/>
          <w:lang w:eastAsia="fr-FR"/>
        </w:rPr>
      </w:pPr>
      <w:r w:rsidRPr="00D117F8">
        <w:rPr>
          <w:rFonts w:eastAsia="Times New Roman" w:cs="Arial"/>
          <w:sz w:val="22"/>
          <w:lang w:eastAsia="fr-FR"/>
        </w:rPr>
        <w:t>Attendu qu’en vertu des règles institutionnelles qui prévalent en Polynésie française, conformément notamment aux dispositions statutaires prévues par la loi organique susvisée du 27 février 2004, les délibérations de l</w:t>
      </w:r>
      <w:r w:rsidR="006D1358" w:rsidRPr="00D117F8">
        <w:rPr>
          <w:rFonts w:eastAsia="Times New Roman" w:cs="Arial"/>
          <w:sz w:val="22"/>
          <w:lang w:eastAsia="fr-FR"/>
        </w:rPr>
        <w:t xml:space="preserve">’assemblée </w:t>
      </w:r>
      <w:r w:rsidRPr="00D117F8">
        <w:rPr>
          <w:rFonts w:eastAsia="Times New Roman" w:cs="Arial"/>
          <w:sz w:val="22"/>
          <w:lang w:eastAsia="fr-FR"/>
        </w:rPr>
        <w:t xml:space="preserve">et </w:t>
      </w:r>
      <w:r w:rsidR="006D1358" w:rsidRPr="00D117F8">
        <w:rPr>
          <w:rFonts w:eastAsia="Times New Roman" w:cs="Arial"/>
          <w:sz w:val="22"/>
          <w:lang w:eastAsia="fr-FR"/>
        </w:rPr>
        <w:t xml:space="preserve">les </w:t>
      </w:r>
      <w:r w:rsidRPr="00D117F8">
        <w:rPr>
          <w:rFonts w:eastAsia="Times New Roman" w:cs="Arial"/>
          <w:sz w:val="22"/>
          <w:lang w:eastAsia="fr-FR"/>
        </w:rPr>
        <w:t>arrêtés du conseil des ministres de la Polynésie française ont valeur de lois et règlements dans les domaines où la Polynésie française est compétente ; que ces domaines incluent la réglementation budgétaire, comptable et financière ainsi que les obligations des comptables de la Polynésie française et de ses établissements publics ;</w:t>
      </w:r>
    </w:p>
    <w:p w:rsidR="00A75FB2" w:rsidRDefault="008B4AE0" w:rsidP="000F7CE5">
      <w:pPr>
        <w:spacing w:before="240" w:after="240" w:line="240" w:lineRule="auto"/>
        <w:jc w:val="both"/>
        <w:rPr>
          <w:rFonts w:eastAsia="Times New Roman" w:cs="Arial"/>
          <w:sz w:val="22"/>
          <w:lang w:eastAsia="fr-FR"/>
        </w:rPr>
      </w:pPr>
      <w:r w:rsidRPr="00D117F8">
        <w:rPr>
          <w:rFonts w:eastAsia="Times New Roman" w:cs="Arial"/>
          <w:sz w:val="22"/>
          <w:lang w:eastAsia="fr-FR"/>
        </w:rPr>
        <w:t>Attendu que l’arrêté n° 1413 CM du 30 décembre 1994 modifié réglemente la prise en charge des frais d’installation, d’entretien, d’abonnement et des taxes de communication dans les établissements publics territoriaux</w:t>
      </w:r>
      <w:r w:rsidR="00D267BF" w:rsidRPr="00D117F8">
        <w:rPr>
          <w:rFonts w:eastAsia="Times New Roman" w:cs="Arial"/>
          <w:sz w:val="22"/>
          <w:lang w:eastAsia="fr-FR"/>
        </w:rPr>
        <w:t xml:space="preserve"> ; qu’il a été régulièrement publié au </w:t>
      </w:r>
      <w:r w:rsidR="00D267BF" w:rsidRPr="00D00A0E">
        <w:rPr>
          <w:rFonts w:eastAsia="Times New Roman" w:cs="Arial"/>
          <w:i/>
          <w:sz w:val="22"/>
          <w:lang w:eastAsia="fr-FR"/>
        </w:rPr>
        <w:t>Journal officiel de la Polynésie française</w:t>
      </w:r>
      <w:r w:rsidR="00D267BF" w:rsidRPr="00D117F8">
        <w:rPr>
          <w:rFonts w:eastAsia="Times New Roman" w:cs="Arial"/>
          <w:sz w:val="22"/>
          <w:lang w:eastAsia="fr-FR"/>
        </w:rPr>
        <w:t xml:space="preserve"> et que les comptables du centre hospitalier sont ainsi présumés en avoir eu connaissance ; </w:t>
      </w:r>
    </w:p>
    <w:p w:rsidR="00D267BF" w:rsidRPr="00D117F8" w:rsidRDefault="005A1A72" w:rsidP="000F7CE5">
      <w:pPr>
        <w:spacing w:before="240" w:after="240" w:line="240" w:lineRule="auto"/>
        <w:jc w:val="both"/>
        <w:rPr>
          <w:rFonts w:eastAsia="Times New Roman" w:cs="Arial"/>
          <w:sz w:val="22"/>
          <w:lang w:eastAsia="fr-FR"/>
        </w:rPr>
      </w:pPr>
      <w:r w:rsidRPr="00D117F8">
        <w:rPr>
          <w:rFonts w:eastAsia="Times New Roman" w:cs="Arial"/>
          <w:sz w:val="22"/>
          <w:lang w:eastAsia="fr-FR"/>
        </w:rPr>
        <w:t>Attendu que l’article 5</w:t>
      </w:r>
      <w:r w:rsidR="00D267BF" w:rsidRPr="00D117F8">
        <w:rPr>
          <w:rFonts w:eastAsia="Times New Roman" w:cs="Arial"/>
          <w:sz w:val="22"/>
          <w:lang w:eastAsia="fr-FR"/>
        </w:rPr>
        <w:t xml:space="preserve"> de ce</w:t>
      </w:r>
      <w:r w:rsidRPr="00D117F8">
        <w:rPr>
          <w:rFonts w:eastAsia="Times New Roman" w:cs="Arial"/>
          <w:sz w:val="22"/>
          <w:lang w:eastAsia="fr-FR"/>
        </w:rPr>
        <w:t>t</w:t>
      </w:r>
      <w:r w:rsidR="00D267BF" w:rsidRPr="00D117F8">
        <w:rPr>
          <w:rFonts w:eastAsia="Times New Roman" w:cs="Arial"/>
          <w:sz w:val="22"/>
          <w:lang w:eastAsia="fr-FR"/>
        </w:rPr>
        <w:t xml:space="preserve"> arrêté prévoit que le directeur de l’établissement est autorisé à acquérir un poste téléphonique portable ;</w:t>
      </w:r>
      <w:r w:rsidR="00323B13">
        <w:rPr>
          <w:rFonts w:eastAsia="Times New Roman" w:cs="Arial"/>
          <w:sz w:val="22"/>
          <w:lang w:eastAsia="fr-FR"/>
        </w:rPr>
        <w:t xml:space="preserve"> </w:t>
      </w:r>
      <w:r w:rsidR="00D267BF" w:rsidRPr="00D117F8">
        <w:rPr>
          <w:rFonts w:eastAsia="Times New Roman" w:cs="Arial"/>
          <w:sz w:val="22"/>
          <w:lang w:eastAsia="fr-FR"/>
        </w:rPr>
        <w:t xml:space="preserve">qu’il ne peut, en revanche, être attribué plus d’un poste par établissement, sauf dérogation exceptionnelle à cette limitation décidée par délibération du conseil d’administration ; que </w:t>
      </w:r>
      <w:r w:rsidRPr="00D117F8">
        <w:rPr>
          <w:rFonts w:eastAsia="Times New Roman" w:cs="Arial"/>
          <w:sz w:val="22"/>
          <w:lang w:eastAsia="fr-FR"/>
        </w:rPr>
        <w:t>l’article 6 précise qu’ « </w:t>
      </w:r>
      <w:r w:rsidRPr="00A50188">
        <w:rPr>
          <w:rFonts w:eastAsia="Times New Roman" w:cs="Arial"/>
          <w:i/>
          <w:sz w:val="22"/>
          <w:lang w:eastAsia="fr-FR"/>
        </w:rPr>
        <w:t>En cas de dérogation, la prise en charge par le budget de l’établissement public des frais d’installation, d’entretien et d’abonnement des postes téléphoniques portables ainsi que des taxes de communication afférentes se fait sur présentation de la décision du conseil d’administration</w:t>
      </w:r>
      <w:r w:rsidR="00487727" w:rsidRPr="00D117F8">
        <w:rPr>
          <w:rFonts w:eastAsia="Times New Roman" w:cs="Arial"/>
          <w:sz w:val="22"/>
          <w:lang w:eastAsia="fr-FR"/>
        </w:rPr>
        <w:t> »</w:t>
      </w:r>
      <w:r w:rsidR="00046F89">
        <w:rPr>
          <w:rFonts w:eastAsia="Times New Roman" w:cs="Arial"/>
          <w:sz w:val="22"/>
          <w:lang w:eastAsia="fr-FR"/>
        </w:rPr>
        <w:t> </w:t>
      </w:r>
      <w:r w:rsidRPr="00D117F8">
        <w:rPr>
          <w:rFonts w:eastAsia="Times New Roman" w:cs="Arial"/>
          <w:sz w:val="22"/>
          <w:lang w:eastAsia="fr-FR"/>
        </w:rPr>
        <w:t>; que le</w:t>
      </w:r>
      <w:r w:rsidR="00D267BF" w:rsidRPr="00D117F8">
        <w:rPr>
          <w:rFonts w:eastAsia="Times New Roman" w:cs="Arial"/>
          <w:sz w:val="22"/>
          <w:lang w:eastAsia="fr-FR"/>
        </w:rPr>
        <w:t xml:space="preserve"> directeur général</w:t>
      </w:r>
      <w:r w:rsidR="00046F89">
        <w:rPr>
          <w:rFonts w:eastAsia="Times New Roman" w:cs="Arial"/>
          <w:sz w:val="22"/>
          <w:lang w:eastAsia="fr-FR"/>
        </w:rPr>
        <w:t xml:space="preserve"> </w:t>
      </w:r>
      <w:r w:rsidRPr="00D117F8">
        <w:rPr>
          <w:rFonts w:eastAsia="Times New Roman" w:cs="Arial"/>
          <w:sz w:val="22"/>
          <w:lang w:eastAsia="fr-FR"/>
        </w:rPr>
        <w:t>n’est donc pas compétent pour décider seul de telles prises en charge dans le cadre de ses pouvoirs d’ordonnateur</w:t>
      </w:r>
      <w:r w:rsidR="00046F89">
        <w:rPr>
          <w:rFonts w:eastAsia="Times New Roman" w:cs="Arial"/>
          <w:sz w:val="22"/>
          <w:lang w:eastAsia="fr-FR"/>
        </w:rPr>
        <w:t> </w:t>
      </w:r>
      <w:r w:rsidR="00D267BF" w:rsidRPr="00D117F8">
        <w:rPr>
          <w:rFonts w:eastAsia="Times New Roman" w:cs="Arial"/>
          <w:sz w:val="22"/>
          <w:lang w:eastAsia="fr-FR"/>
        </w:rPr>
        <w:t>; que le conseil d’administration du centre hospitali</w:t>
      </w:r>
      <w:r w:rsidRPr="00D117F8">
        <w:rPr>
          <w:rFonts w:eastAsia="Times New Roman" w:cs="Arial"/>
          <w:sz w:val="22"/>
          <w:lang w:eastAsia="fr-FR"/>
        </w:rPr>
        <w:t>er a, au demeurant, exercé sa</w:t>
      </w:r>
      <w:r w:rsidR="00D267BF" w:rsidRPr="00D117F8">
        <w:rPr>
          <w:rFonts w:eastAsia="Times New Roman" w:cs="Arial"/>
          <w:sz w:val="22"/>
          <w:lang w:eastAsia="fr-FR"/>
        </w:rPr>
        <w:t xml:space="preserve"> compétence en décidant, par la délibération précitée du 4 avril 2000, d’accorder quatre dérogations ;</w:t>
      </w:r>
    </w:p>
    <w:p w:rsidR="00D267BF" w:rsidRPr="00D117F8" w:rsidRDefault="00D267BF" w:rsidP="000F7CE5">
      <w:pPr>
        <w:spacing w:before="240" w:after="240" w:line="240" w:lineRule="auto"/>
        <w:jc w:val="both"/>
        <w:rPr>
          <w:rFonts w:eastAsia="Times New Roman" w:cs="Arial"/>
          <w:sz w:val="22"/>
          <w:lang w:eastAsia="fr-FR"/>
        </w:rPr>
      </w:pPr>
      <w:r w:rsidRPr="00D117F8">
        <w:rPr>
          <w:rFonts w:eastAsia="Times New Roman" w:cs="Arial"/>
          <w:sz w:val="22"/>
          <w:lang w:eastAsia="fr-FR"/>
        </w:rPr>
        <w:t>Attendu dès lors que la prise en charge par le centre hospitalier de dépenses liées à l’utilisation de téléphones portables nécessite, hormis le cas du directeur général, non seulement l’existence de crédits budgétaires disponibles permettant de les régler, mais une dérogation ex</w:t>
      </w:r>
      <w:r w:rsidR="0049266B" w:rsidRPr="00D117F8">
        <w:rPr>
          <w:rFonts w:eastAsia="Times New Roman" w:cs="Arial"/>
          <w:sz w:val="22"/>
          <w:lang w:eastAsia="fr-FR"/>
        </w:rPr>
        <w:t>presse décidée</w:t>
      </w:r>
      <w:r w:rsidRPr="00D117F8">
        <w:rPr>
          <w:rFonts w:eastAsia="Times New Roman" w:cs="Arial"/>
          <w:sz w:val="22"/>
          <w:lang w:eastAsia="fr-FR"/>
        </w:rPr>
        <w:t xml:space="preserve"> par le conseil d’administration ; qu’il appartient, en conséquence, </w:t>
      </w:r>
      <w:r w:rsidR="0049266B" w:rsidRPr="00D117F8">
        <w:rPr>
          <w:rFonts w:eastAsia="Times New Roman" w:cs="Arial"/>
          <w:sz w:val="22"/>
          <w:lang w:eastAsia="fr-FR"/>
        </w:rPr>
        <w:t xml:space="preserve">au comptable de s’assurer du respect de cette formalité préalable prescrite par les lois et règlements de la Polynésie française en exigeant la production d’une délibération ; qu’à défaut, il manque à ses obligations et engage sa responsabilité personnelle et pécuniaire </w:t>
      </w:r>
      <w:r w:rsidR="00B52183" w:rsidRPr="00D117F8">
        <w:rPr>
          <w:rFonts w:eastAsia="Times New Roman" w:cs="Arial"/>
          <w:sz w:val="22"/>
          <w:lang w:eastAsia="fr-FR"/>
        </w:rPr>
        <w:t xml:space="preserve">dans les conditions prévues par l’article 60 susvisé de la loi de finances du 23 février 1963, </w:t>
      </w:r>
      <w:r w:rsidR="0049266B" w:rsidRPr="00D117F8">
        <w:rPr>
          <w:rFonts w:eastAsia="Times New Roman" w:cs="Arial"/>
          <w:sz w:val="22"/>
          <w:lang w:eastAsia="fr-FR"/>
        </w:rPr>
        <w:t>en payant irrégulièrement des dépenses ;</w:t>
      </w:r>
      <w:r w:rsidRPr="00D117F8">
        <w:rPr>
          <w:rFonts w:eastAsia="Times New Roman" w:cs="Arial"/>
          <w:sz w:val="22"/>
          <w:lang w:eastAsia="fr-FR"/>
        </w:rPr>
        <w:t xml:space="preserve"> </w:t>
      </w:r>
    </w:p>
    <w:p w:rsidR="00160190" w:rsidRPr="00D117F8" w:rsidRDefault="00505003" w:rsidP="00160190">
      <w:pPr>
        <w:spacing w:before="240" w:after="240" w:line="240" w:lineRule="auto"/>
        <w:jc w:val="both"/>
        <w:rPr>
          <w:rFonts w:eastAsia="Times New Roman" w:cs="Arial"/>
          <w:sz w:val="22"/>
          <w:lang w:eastAsia="fr-FR"/>
        </w:rPr>
      </w:pPr>
      <w:r w:rsidRPr="00D117F8">
        <w:rPr>
          <w:rFonts w:eastAsia="Times New Roman" w:cs="Arial"/>
          <w:sz w:val="22"/>
          <w:lang w:eastAsia="fr-FR"/>
        </w:rPr>
        <w:t>Attendu qu’i</w:t>
      </w:r>
      <w:r w:rsidR="00160190" w:rsidRPr="00D117F8">
        <w:rPr>
          <w:rFonts w:eastAsia="Times New Roman" w:cs="Arial"/>
          <w:sz w:val="22"/>
          <w:lang w:eastAsia="fr-FR"/>
        </w:rPr>
        <w:t xml:space="preserve">l ne peut être admis que l’arrêté portant liste des pièces justificatives du </w:t>
      </w:r>
      <w:r w:rsidR="00323B13">
        <w:rPr>
          <w:rFonts w:eastAsia="Times New Roman" w:cs="Arial"/>
          <w:sz w:val="22"/>
          <w:lang w:eastAsia="fr-FR"/>
        </w:rPr>
        <w:t>28</w:t>
      </w:r>
      <w:r w:rsidR="00323B13" w:rsidRPr="00D117F8">
        <w:rPr>
          <w:rFonts w:eastAsia="Times New Roman" w:cs="Arial"/>
          <w:sz w:val="22"/>
          <w:lang w:eastAsia="fr-FR"/>
        </w:rPr>
        <w:t xml:space="preserve"> </w:t>
      </w:r>
      <w:r w:rsidR="00160190" w:rsidRPr="00D117F8">
        <w:rPr>
          <w:rFonts w:eastAsia="Times New Roman" w:cs="Arial"/>
          <w:sz w:val="22"/>
          <w:lang w:eastAsia="fr-FR"/>
        </w:rPr>
        <w:t xml:space="preserve">mars 2007 se serait substitué </w:t>
      </w:r>
      <w:r w:rsidRPr="00D117F8">
        <w:rPr>
          <w:rFonts w:eastAsia="Times New Roman" w:cs="Arial"/>
          <w:sz w:val="22"/>
          <w:lang w:eastAsia="fr-FR"/>
        </w:rPr>
        <w:t xml:space="preserve">à </w:t>
      </w:r>
      <w:r w:rsidR="00160190" w:rsidRPr="00D117F8">
        <w:rPr>
          <w:rFonts w:eastAsia="Times New Roman" w:cs="Arial"/>
          <w:sz w:val="22"/>
          <w:lang w:eastAsia="fr-FR"/>
        </w:rPr>
        <w:t>ou aurait remplacé l’arrêté du 30 décembre 1994</w:t>
      </w:r>
      <w:r w:rsidRPr="00D117F8">
        <w:rPr>
          <w:rFonts w:eastAsia="Times New Roman" w:cs="Arial"/>
          <w:sz w:val="22"/>
          <w:lang w:eastAsia="fr-FR"/>
        </w:rPr>
        <w:t> ; qu’e</w:t>
      </w:r>
      <w:r w:rsidR="00160190" w:rsidRPr="00D117F8">
        <w:rPr>
          <w:rFonts w:eastAsia="Times New Roman" w:cs="Arial"/>
          <w:sz w:val="22"/>
          <w:lang w:eastAsia="fr-FR"/>
        </w:rPr>
        <w:t>n effet, cet arrêté de 2007 n’abroge explicitement que l’arrêté n° 181/CM du 2 février 1998 et ses arrêtés modificatifs</w:t>
      </w:r>
      <w:r w:rsidRPr="00D117F8">
        <w:rPr>
          <w:rFonts w:eastAsia="Times New Roman" w:cs="Arial"/>
          <w:sz w:val="22"/>
          <w:lang w:eastAsia="fr-FR"/>
        </w:rPr>
        <w:t> ; que, d</w:t>
      </w:r>
      <w:r w:rsidR="00160190" w:rsidRPr="00D117F8">
        <w:rPr>
          <w:rFonts w:eastAsia="Times New Roman" w:cs="Arial"/>
          <w:sz w:val="22"/>
          <w:lang w:eastAsia="fr-FR"/>
        </w:rPr>
        <w:t>e plus, les clauses spéciales dérogent aux générales, et non les cl</w:t>
      </w:r>
      <w:r w:rsidRPr="00D117F8">
        <w:rPr>
          <w:rFonts w:eastAsia="Times New Roman" w:cs="Arial"/>
          <w:sz w:val="22"/>
          <w:lang w:eastAsia="fr-FR"/>
        </w:rPr>
        <w:t>auses générales aux spéciales ; que l</w:t>
      </w:r>
      <w:r w:rsidR="00160190" w:rsidRPr="00D117F8">
        <w:rPr>
          <w:rFonts w:eastAsia="Times New Roman" w:cs="Arial"/>
          <w:sz w:val="22"/>
          <w:lang w:eastAsia="fr-FR"/>
        </w:rPr>
        <w:t xml:space="preserve">e fait que le texte général soit plus récent que le texte spécial est sans incidence </w:t>
      </w:r>
      <w:r w:rsidRPr="00D117F8">
        <w:rPr>
          <w:rFonts w:eastAsia="Times New Roman" w:cs="Arial"/>
          <w:sz w:val="22"/>
          <w:lang w:eastAsia="fr-FR"/>
        </w:rPr>
        <w:t>sur</w:t>
      </w:r>
      <w:r w:rsidR="00160190" w:rsidRPr="00D117F8">
        <w:rPr>
          <w:rFonts w:eastAsia="Times New Roman" w:cs="Arial"/>
          <w:sz w:val="22"/>
          <w:lang w:eastAsia="fr-FR"/>
        </w:rPr>
        <w:t xml:space="preserve"> ce point, à défaut que le texte antérieur ait été ab</w:t>
      </w:r>
      <w:r w:rsidRPr="00D117F8">
        <w:rPr>
          <w:rFonts w:eastAsia="Times New Roman" w:cs="Arial"/>
          <w:sz w:val="22"/>
          <w:lang w:eastAsia="fr-FR"/>
        </w:rPr>
        <w:t xml:space="preserve">rogé ou soit tombé en désuétude ; </w:t>
      </w:r>
    </w:p>
    <w:p w:rsidR="00160190" w:rsidRPr="00D117F8" w:rsidRDefault="00505003" w:rsidP="00160190">
      <w:pPr>
        <w:spacing w:before="240" w:after="240" w:line="240" w:lineRule="auto"/>
        <w:jc w:val="both"/>
        <w:rPr>
          <w:rFonts w:eastAsia="Times New Roman" w:cs="Arial"/>
          <w:sz w:val="22"/>
          <w:lang w:eastAsia="fr-FR"/>
        </w:rPr>
      </w:pPr>
      <w:r w:rsidRPr="00D117F8">
        <w:rPr>
          <w:rFonts w:eastAsia="Times New Roman" w:cs="Arial"/>
          <w:sz w:val="22"/>
          <w:lang w:eastAsia="fr-FR"/>
        </w:rPr>
        <w:lastRenderedPageBreak/>
        <w:t>Attendu que l</w:t>
      </w:r>
      <w:r w:rsidR="00160190" w:rsidRPr="00D117F8">
        <w:rPr>
          <w:rFonts w:eastAsia="Times New Roman" w:cs="Arial"/>
          <w:sz w:val="22"/>
          <w:lang w:eastAsia="fr-FR"/>
        </w:rPr>
        <w:t xml:space="preserve">a délibération </w:t>
      </w:r>
      <w:r w:rsidRPr="00D117F8">
        <w:rPr>
          <w:rFonts w:eastAsia="Times New Roman" w:cs="Arial"/>
          <w:sz w:val="22"/>
          <w:lang w:eastAsia="fr-FR"/>
        </w:rPr>
        <w:t xml:space="preserve">04/96/CHT du 8 mars 1996 </w:t>
      </w:r>
      <w:r w:rsidR="00160190" w:rsidRPr="00D117F8">
        <w:rPr>
          <w:rFonts w:eastAsia="Times New Roman" w:cs="Arial"/>
          <w:sz w:val="22"/>
          <w:lang w:eastAsia="fr-FR"/>
        </w:rPr>
        <w:t>porte expressément sur les frais relatifs aux postes téléphoniques installés au domicile de certaines personnes</w:t>
      </w:r>
      <w:r w:rsidR="00046F89">
        <w:rPr>
          <w:rFonts w:eastAsia="Times New Roman" w:cs="Arial"/>
          <w:sz w:val="22"/>
          <w:lang w:eastAsia="fr-FR"/>
        </w:rPr>
        <w:t> </w:t>
      </w:r>
      <w:r w:rsidR="00160190" w:rsidRPr="00D117F8">
        <w:rPr>
          <w:rFonts w:eastAsia="Times New Roman" w:cs="Arial"/>
          <w:sz w:val="22"/>
          <w:lang w:eastAsia="fr-FR"/>
        </w:rPr>
        <w:t xml:space="preserve">; </w:t>
      </w:r>
      <w:r w:rsidRPr="00D117F8">
        <w:rPr>
          <w:rFonts w:eastAsia="Times New Roman" w:cs="Arial"/>
          <w:sz w:val="22"/>
          <w:lang w:eastAsia="fr-FR"/>
        </w:rPr>
        <w:t>qu’</w:t>
      </w:r>
      <w:r w:rsidR="00160190" w:rsidRPr="00D117F8">
        <w:rPr>
          <w:rFonts w:eastAsia="Times New Roman" w:cs="Arial"/>
          <w:sz w:val="22"/>
          <w:lang w:eastAsia="fr-FR"/>
        </w:rPr>
        <w:t>elle précise que, sauf changement de domicile ordonné dans l’intérêt du service, les frais d’installation ne sont pris en charge qu’</w:t>
      </w:r>
      <w:r w:rsidRPr="00D117F8">
        <w:rPr>
          <w:rFonts w:eastAsia="Times New Roman" w:cs="Arial"/>
          <w:sz w:val="22"/>
          <w:lang w:eastAsia="fr-FR"/>
        </w:rPr>
        <w:t>une seule fois par bénéficiaire ; qu’i</w:t>
      </w:r>
      <w:r w:rsidR="00160190" w:rsidRPr="00D117F8">
        <w:rPr>
          <w:rFonts w:eastAsia="Times New Roman" w:cs="Arial"/>
          <w:sz w:val="22"/>
          <w:lang w:eastAsia="fr-FR"/>
        </w:rPr>
        <w:t xml:space="preserve">l est ainsi suffisamment établi que cette délibération ne concerne que les téléphones fixes et que donc, la liste de bénéficiaires portée par l’article 2 ne saurait soutenir les paiements en cause, relatifs </w:t>
      </w:r>
      <w:r w:rsidRPr="00D117F8">
        <w:rPr>
          <w:rFonts w:eastAsia="Times New Roman" w:cs="Arial"/>
          <w:sz w:val="22"/>
          <w:lang w:eastAsia="fr-FR"/>
        </w:rPr>
        <w:t>à des téléphones portables ;</w:t>
      </w:r>
    </w:p>
    <w:p w:rsidR="00160190" w:rsidRPr="00D117F8" w:rsidRDefault="00505003" w:rsidP="00505003">
      <w:pPr>
        <w:spacing w:before="240" w:after="240" w:line="240" w:lineRule="auto"/>
        <w:jc w:val="both"/>
        <w:rPr>
          <w:rFonts w:eastAsia="Times New Roman" w:cs="Arial"/>
          <w:sz w:val="22"/>
          <w:lang w:eastAsia="fr-FR"/>
        </w:rPr>
      </w:pPr>
      <w:r w:rsidRPr="00D117F8">
        <w:rPr>
          <w:rFonts w:eastAsia="Times New Roman" w:cs="Arial"/>
          <w:sz w:val="22"/>
          <w:lang w:eastAsia="fr-FR"/>
        </w:rPr>
        <w:t xml:space="preserve">Attendu que la </w:t>
      </w:r>
      <w:r w:rsidR="00160190" w:rsidRPr="00D117F8">
        <w:rPr>
          <w:rFonts w:eastAsia="Times New Roman" w:cs="Arial"/>
          <w:sz w:val="22"/>
          <w:lang w:eastAsia="fr-FR"/>
        </w:rPr>
        <w:t xml:space="preserve">délibération </w:t>
      </w:r>
      <w:r w:rsidRPr="00D117F8">
        <w:rPr>
          <w:rFonts w:eastAsia="Times New Roman" w:cs="Arial"/>
          <w:sz w:val="22"/>
          <w:lang w:eastAsia="fr-FR"/>
        </w:rPr>
        <w:t xml:space="preserve">96-172/APF du 19 décembre 1996 </w:t>
      </w:r>
      <w:r w:rsidR="00160190" w:rsidRPr="00D117F8">
        <w:rPr>
          <w:rFonts w:eastAsia="Times New Roman" w:cs="Arial"/>
          <w:sz w:val="22"/>
          <w:lang w:eastAsia="fr-FR"/>
        </w:rPr>
        <w:t>est relative au régime du travail dans le cadre des astreintes à domicile dans les étab</w:t>
      </w:r>
      <w:r w:rsidRPr="00D117F8">
        <w:rPr>
          <w:rFonts w:eastAsia="Times New Roman" w:cs="Arial"/>
          <w:sz w:val="22"/>
          <w:lang w:eastAsia="fr-FR"/>
        </w:rPr>
        <w:t xml:space="preserve">lissements publics hospitaliers ; que si, </w:t>
      </w:r>
      <w:r w:rsidR="00160190" w:rsidRPr="00D117F8">
        <w:rPr>
          <w:rFonts w:eastAsia="Times New Roman" w:cs="Arial"/>
          <w:sz w:val="22"/>
          <w:lang w:eastAsia="fr-FR"/>
        </w:rPr>
        <w:t xml:space="preserve">ainsi que le soutient </w:t>
      </w:r>
      <w:r w:rsidR="00B07238">
        <w:rPr>
          <w:rFonts w:eastAsia="Times New Roman" w:cs="Arial"/>
          <w:sz w:val="22"/>
          <w:lang w:eastAsia="fr-FR"/>
        </w:rPr>
        <w:t>M</w:t>
      </w:r>
      <w:r w:rsidR="00B07238" w:rsidRPr="00046F89">
        <w:rPr>
          <w:rFonts w:eastAsia="Times New Roman" w:cs="Arial"/>
          <w:sz w:val="22"/>
          <w:vertAlign w:val="superscript"/>
          <w:lang w:eastAsia="fr-FR"/>
        </w:rPr>
        <w:t>me</w:t>
      </w:r>
      <w:r w:rsidR="00B07238">
        <w:rPr>
          <w:rFonts w:eastAsia="Times New Roman" w:cs="Arial"/>
          <w:sz w:val="22"/>
          <w:lang w:eastAsia="fr-FR"/>
        </w:rPr>
        <w:t xml:space="preserve"> X</w:t>
      </w:r>
      <w:r w:rsidR="00160190" w:rsidRPr="00D117F8">
        <w:rPr>
          <w:rFonts w:eastAsia="Times New Roman" w:cs="Arial"/>
          <w:sz w:val="22"/>
          <w:lang w:eastAsia="fr-FR"/>
        </w:rPr>
        <w:t>, cette délibération permet à l’agent d’astreinte de quitter son domicile, elle précise qu’il appartient à cet agent de prendre toutes les dispositions nécessaires pour rester joignable à tout moment</w:t>
      </w:r>
      <w:r w:rsidR="00046F89">
        <w:rPr>
          <w:rFonts w:eastAsia="Times New Roman" w:cs="Arial"/>
          <w:sz w:val="22"/>
          <w:lang w:eastAsia="fr-FR"/>
        </w:rPr>
        <w:t> </w:t>
      </w:r>
      <w:r w:rsidR="00160190" w:rsidRPr="00D117F8">
        <w:rPr>
          <w:rFonts w:eastAsia="Times New Roman" w:cs="Arial"/>
          <w:sz w:val="22"/>
          <w:lang w:eastAsia="fr-FR"/>
        </w:rPr>
        <w:t xml:space="preserve">; </w:t>
      </w:r>
      <w:r w:rsidRPr="00D117F8">
        <w:rPr>
          <w:rFonts w:eastAsia="Times New Roman" w:cs="Arial"/>
          <w:sz w:val="22"/>
          <w:lang w:eastAsia="fr-FR"/>
        </w:rPr>
        <w:t>qu’</w:t>
      </w:r>
      <w:r w:rsidR="00160190" w:rsidRPr="00D117F8">
        <w:rPr>
          <w:rFonts w:eastAsia="Times New Roman" w:cs="Arial"/>
          <w:sz w:val="22"/>
          <w:lang w:eastAsia="fr-FR"/>
        </w:rPr>
        <w:t xml:space="preserve">il en résulte que, contrairement à ce que soutient </w:t>
      </w:r>
      <w:r w:rsidR="00B07238">
        <w:rPr>
          <w:rFonts w:eastAsia="Times New Roman" w:cs="Arial"/>
          <w:sz w:val="22"/>
          <w:lang w:eastAsia="fr-FR"/>
        </w:rPr>
        <w:t>M</w:t>
      </w:r>
      <w:r w:rsidR="00B07238" w:rsidRPr="00046F89">
        <w:rPr>
          <w:rFonts w:eastAsia="Times New Roman" w:cs="Arial"/>
          <w:sz w:val="22"/>
          <w:vertAlign w:val="superscript"/>
          <w:lang w:eastAsia="fr-FR"/>
        </w:rPr>
        <w:t>me</w:t>
      </w:r>
      <w:r w:rsidR="00B07238">
        <w:rPr>
          <w:rFonts w:eastAsia="Times New Roman" w:cs="Arial"/>
          <w:sz w:val="22"/>
          <w:lang w:eastAsia="fr-FR"/>
        </w:rPr>
        <w:t xml:space="preserve"> X</w:t>
      </w:r>
      <w:r w:rsidR="00160190" w:rsidRPr="00D117F8">
        <w:rPr>
          <w:rFonts w:eastAsia="Times New Roman" w:cs="Arial"/>
          <w:sz w:val="22"/>
          <w:lang w:eastAsia="fr-FR"/>
        </w:rPr>
        <w:t xml:space="preserve">, </w:t>
      </w:r>
      <w:r w:rsidR="006D1358" w:rsidRPr="00D117F8">
        <w:rPr>
          <w:rFonts w:eastAsia="Times New Roman" w:cs="Arial"/>
          <w:sz w:val="22"/>
          <w:lang w:eastAsia="fr-FR"/>
        </w:rPr>
        <w:t>la</w:t>
      </w:r>
      <w:r w:rsidR="00160190" w:rsidRPr="00D117F8">
        <w:rPr>
          <w:rFonts w:eastAsia="Times New Roman" w:cs="Arial"/>
          <w:sz w:val="22"/>
          <w:lang w:eastAsia="fr-FR"/>
        </w:rPr>
        <w:t xml:space="preserve"> faculté </w:t>
      </w:r>
      <w:r w:rsidR="006D1358" w:rsidRPr="00D117F8">
        <w:rPr>
          <w:rFonts w:eastAsia="Times New Roman" w:cs="Arial"/>
          <w:sz w:val="22"/>
          <w:lang w:eastAsia="fr-FR"/>
        </w:rPr>
        <w:t xml:space="preserve">ainsi </w:t>
      </w:r>
      <w:r w:rsidR="00160190" w:rsidRPr="00D117F8">
        <w:rPr>
          <w:rFonts w:eastAsia="Times New Roman" w:cs="Arial"/>
          <w:sz w:val="22"/>
          <w:lang w:eastAsia="fr-FR"/>
        </w:rPr>
        <w:t>ouverte ne saurait obliger l’administration à prendre en charge le</w:t>
      </w:r>
      <w:r w:rsidRPr="00D117F8">
        <w:rPr>
          <w:rFonts w:eastAsia="Times New Roman" w:cs="Arial"/>
          <w:sz w:val="22"/>
          <w:lang w:eastAsia="fr-FR"/>
        </w:rPr>
        <w:t>s frais d’un téléphone portable ; que c</w:t>
      </w:r>
      <w:r w:rsidR="00160190" w:rsidRPr="00D117F8">
        <w:rPr>
          <w:rFonts w:eastAsia="Times New Roman" w:cs="Arial"/>
          <w:sz w:val="22"/>
          <w:lang w:eastAsia="fr-FR"/>
        </w:rPr>
        <w:t>ette délibération prévoit aussi que l’agent d’astreinte a droit au remboursement, par l’établissement, des frais d’installation de la ligne téléphonique (une seule fois) et de l’abonnement normal (taux de base), dont les conditions d’octroi sont déterminées par arrêt</w:t>
      </w:r>
      <w:r w:rsidRPr="00D117F8">
        <w:rPr>
          <w:rFonts w:eastAsia="Times New Roman" w:cs="Arial"/>
          <w:sz w:val="22"/>
          <w:lang w:eastAsia="fr-FR"/>
        </w:rPr>
        <w:t>é pris en conseil des ministres ; que, là</w:t>
      </w:r>
      <w:r w:rsidR="00160190" w:rsidRPr="00D117F8">
        <w:rPr>
          <w:rFonts w:eastAsia="Times New Roman" w:cs="Arial"/>
          <w:sz w:val="22"/>
          <w:lang w:eastAsia="fr-FR"/>
        </w:rPr>
        <w:t xml:space="preserve"> encore, comme pour la délibération précédente, seuls les </w:t>
      </w:r>
      <w:r w:rsidRPr="00D117F8">
        <w:rPr>
          <w:rFonts w:eastAsia="Times New Roman" w:cs="Arial"/>
          <w:sz w:val="22"/>
          <w:lang w:eastAsia="fr-FR"/>
        </w:rPr>
        <w:t>téléphones fixes sont concernés ; qu</w:t>
      </w:r>
      <w:r w:rsidR="006D1358" w:rsidRPr="00D117F8">
        <w:rPr>
          <w:rFonts w:eastAsia="Times New Roman" w:cs="Arial"/>
          <w:sz w:val="22"/>
          <w:lang w:eastAsia="fr-FR"/>
        </w:rPr>
        <w:t>’</w:t>
      </w:r>
      <w:r w:rsidRPr="00D117F8">
        <w:rPr>
          <w:rFonts w:eastAsia="Times New Roman" w:cs="Arial"/>
          <w:sz w:val="22"/>
          <w:lang w:eastAsia="fr-FR"/>
        </w:rPr>
        <w:t xml:space="preserve">enfin, </w:t>
      </w:r>
      <w:r w:rsidR="00160190" w:rsidRPr="00D117F8">
        <w:rPr>
          <w:rFonts w:eastAsia="Times New Roman" w:cs="Arial"/>
          <w:sz w:val="22"/>
          <w:lang w:eastAsia="fr-FR"/>
        </w:rPr>
        <w:t>cette dernière délibération n</w:t>
      </w:r>
      <w:r w:rsidRPr="00D117F8">
        <w:rPr>
          <w:rFonts w:eastAsia="Times New Roman" w:cs="Arial"/>
          <w:sz w:val="22"/>
          <w:lang w:eastAsia="fr-FR"/>
        </w:rPr>
        <w:t>’émane</w:t>
      </w:r>
      <w:r w:rsidR="00160190" w:rsidRPr="00D117F8">
        <w:rPr>
          <w:rFonts w:eastAsia="Times New Roman" w:cs="Arial"/>
          <w:sz w:val="22"/>
          <w:lang w:eastAsia="fr-FR"/>
        </w:rPr>
        <w:t xml:space="preserve"> pas du consei</w:t>
      </w:r>
      <w:r w:rsidRPr="00D117F8">
        <w:rPr>
          <w:rFonts w:eastAsia="Times New Roman" w:cs="Arial"/>
          <w:sz w:val="22"/>
          <w:lang w:eastAsia="fr-FR"/>
        </w:rPr>
        <w:t>l d’administration de l’hôpital ;</w:t>
      </w:r>
    </w:p>
    <w:p w:rsidR="00160190" w:rsidRPr="00D117F8" w:rsidRDefault="00505003" w:rsidP="00160190">
      <w:pPr>
        <w:spacing w:before="240" w:after="240" w:line="240" w:lineRule="auto"/>
        <w:jc w:val="both"/>
        <w:rPr>
          <w:rFonts w:eastAsia="Times New Roman" w:cs="Arial"/>
          <w:sz w:val="22"/>
          <w:lang w:eastAsia="fr-FR"/>
        </w:rPr>
      </w:pPr>
      <w:r w:rsidRPr="00D117F8">
        <w:rPr>
          <w:rFonts w:eastAsia="Times New Roman" w:cs="Arial"/>
          <w:sz w:val="22"/>
          <w:lang w:eastAsia="fr-FR"/>
        </w:rPr>
        <w:t>Attendu, en conséquence, qu’a</w:t>
      </w:r>
      <w:r w:rsidR="00160190" w:rsidRPr="00D117F8">
        <w:rPr>
          <w:rFonts w:eastAsia="Times New Roman" w:cs="Arial"/>
          <w:sz w:val="22"/>
          <w:lang w:eastAsia="fr-FR"/>
        </w:rPr>
        <w:t>ucune de ces deux délibérations ne peut être admise</w:t>
      </w:r>
      <w:r w:rsidRPr="00D117F8">
        <w:rPr>
          <w:rFonts w:eastAsia="Times New Roman" w:cs="Arial"/>
          <w:sz w:val="22"/>
          <w:lang w:eastAsia="fr-FR"/>
        </w:rPr>
        <w:t xml:space="preserve"> en justification des paiements ; </w:t>
      </w:r>
    </w:p>
    <w:p w:rsidR="0058369A" w:rsidRPr="00D117F8" w:rsidRDefault="00505003" w:rsidP="00160190">
      <w:pPr>
        <w:spacing w:before="240" w:after="240" w:line="240" w:lineRule="auto"/>
        <w:jc w:val="both"/>
        <w:rPr>
          <w:rFonts w:eastAsia="Times New Roman" w:cs="Arial"/>
          <w:sz w:val="22"/>
          <w:lang w:eastAsia="fr-FR"/>
        </w:rPr>
      </w:pPr>
      <w:r w:rsidRPr="00D117F8">
        <w:rPr>
          <w:rFonts w:eastAsia="Times New Roman" w:cs="Arial"/>
          <w:sz w:val="22"/>
          <w:lang w:eastAsia="fr-FR"/>
        </w:rPr>
        <w:t>Attendu</w:t>
      </w:r>
      <w:r w:rsidR="0049266B" w:rsidRPr="00D117F8">
        <w:rPr>
          <w:rFonts w:eastAsia="Times New Roman" w:cs="Arial"/>
          <w:sz w:val="22"/>
          <w:lang w:eastAsia="fr-FR"/>
        </w:rPr>
        <w:t xml:space="preserve"> qu’il est fait grief aux comptables d’avoir payé certaines dépenses liées à l’utilisation de téléphones portables</w:t>
      </w:r>
      <w:r w:rsidR="00046F89">
        <w:rPr>
          <w:rFonts w:eastAsia="Times New Roman" w:cs="Arial"/>
          <w:sz w:val="22"/>
          <w:lang w:eastAsia="fr-FR"/>
        </w:rPr>
        <w:t xml:space="preserve"> </w:t>
      </w:r>
      <w:r w:rsidR="0049266B" w:rsidRPr="00D117F8">
        <w:rPr>
          <w:rFonts w:eastAsia="Times New Roman" w:cs="Arial"/>
          <w:sz w:val="22"/>
          <w:lang w:eastAsia="fr-FR"/>
        </w:rPr>
        <w:t>sans disposer d’une délibération autorisant leur prise en charge ; qu’il ne leur est donc nullement reproché d’avoir procédé aux paiements incriminés sur la base de pièces justificatives illégales</w:t>
      </w:r>
      <w:r w:rsidR="0058369A" w:rsidRPr="00D117F8">
        <w:rPr>
          <w:rFonts w:eastAsia="Times New Roman" w:cs="Arial"/>
          <w:sz w:val="22"/>
          <w:lang w:eastAsia="fr-FR"/>
        </w:rPr>
        <w:t> ; qu’en effet, s’il leur revient d’apprécier si les pièces fournies présentent un caractère suffisant pour justifier les dépenses engagées, il ne leur appartient pas de se faire juges de la légalité des pièces produites ;</w:t>
      </w:r>
    </w:p>
    <w:p w:rsidR="0058369A" w:rsidRPr="00D117F8" w:rsidRDefault="0058369A" w:rsidP="00160190">
      <w:pPr>
        <w:spacing w:before="240" w:after="240" w:line="240" w:lineRule="auto"/>
        <w:jc w:val="both"/>
        <w:rPr>
          <w:rFonts w:eastAsia="Times New Roman" w:cs="Arial"/>
          <w:sz w:val="22"/>
          <w:lang w:eastAsia="fr-FR"/>
        </w:rPr>
      </w:pPr>
      <w:r w:rsidRPr="00D117F8">
        <w:rPr>
          <w:rFonts w:eastAsia="Times New Roman" w:cs="Arial"/>
          <w:sz w:val="22"/>
          <w:lang w:eastAsia="fr-FR"/>
        </w:rPr>
        <w:t xml:space="preserve">Attendu que, dans leurs requêtes en appel, </w:t>
      </w:r>
      <w:r w:rsidR="00B07238">
        <w:rPr>
          <w:rFonts w:eastAsia="Times New Roman" w:cs="Arial"/>
          <w:sz w:val="22"/>
          <w:lang w:eastAsia="fr-FR"/>
        </w:rPr>
        <w:t>M</w:t>
      </w:r>
      <w:r w:rsidR="00B07238" w:rsidRPr="00046F89">
        <w:rPr>
          <w:rFonts w:eastAsia="Times New Roman" w:cs="Arial"/>
          <w:sz w:val="22"/>
          <w:vertAlign w:val="superscript"/>
          <w:lang w:eastAsia="fr-FR"/>
        </w:rPr>
        <w:t>mes</w:t>
      </w:r>
      <w:r w:rsidR="00B07238">
        <w:rPr>
          <w:rFonts w:eastAsia="Times New Roman" w:cs="Arial"/>
          <w:sz w:val="22"/>
          <w:lang w:eastAsia="fr-FR"/>
        </w:rPr>
        <w:t xml:space="preserve"> X</w:t>
      </w:r>
      <w:r w:rsidRPr="00D117F8">
        <w:rPr>
          <w:rFonts w:eastAsia="Times New Roman" w:cs="Arial"/>
          <w:sz w:val="22"/>
          <w:lang w:eastAsia="fr-FR"/>
        </w:rPr>
        <w:t xml:space="preserve"> et </w:t>
      </w:r>
      <w:r w:rsidR="00B07238">
        <w:rPr>
          <w:rFonts w:eastAsia="Times New Roman" w:cs="Arial"/>
          <w:sz w:val="22"/>
          <w:lang w:eastAsia="fr-FR"/>
        </w:rPr>
        <w:t>Y</w:t>
      </w:r>
      <w:r w:rsidRPr="00D117F8">
        <w:rPr>
          <w:rFonts w:eastAsia="Times New Roman" w:cs="Arial"/>
          <w:sz w:val="22"/>
          <w:lang w:eastAsia="fr-FR"/>
        </w:rPr>
        <w:t xml:space="preserve"> soutiennent que l’arrêté de 1994 serait obsolète et désuet ; qu’il serait aujourd’hui inadapté à la structure et à la bonne exécution des missions du centre hospitalier ; que la première ajoute que l’utilisation de lignes téléphoniques fixes plutôt que de téléphones portables serait plus coûteuse et moins efficace ; que toutefois, ces considérations sont sans effet sur l</w:t>
      </w:r>
      <w:r w:rsidR="006D1358" w:rsidRPr="00D117F8">
        <w:rPr>
          <w:rFonts w:eastAsia="Times New Roman" w:cs="Arial"/>
          <w:sz w:val="22"/>
          <w:lang w:eastAsia="fr-FR"/>
        </w:rPr>
        <w:t>’appréciation de leur</w:t>
      </w:r>
      <w:r w:rsidRPr="00D117F8">
        <w:rPr>
          <w:rFonts w:eastAsia="Times New Roman" w:cs="Arial"/>
          <w:sz w:val="22"/>
          <w:lang w:eastAsia="fr-FR"/>
        </w:rPr>
        <w:t xml:space="preserve"> responsabilité personnelle et pécuniaire, car les comptables ne sauraient se soustraire à leurs obligations en alléguant l’inadaptation des textes qu’ils sont chargés d’appliquer ou les conséquences présumées néfastes de cette application ;</w:t>
      </w:r>
    </w:p>
    <w:p w:rsidR="00FA3873" w:rsidRPr="00D117F8" w:rsidRDefault="0058369A" w:rsidP="00160190">
      <w:pPr>
        <w:spacing w:before="240" w:after="240" w:line="240" w:lineRule="auto"/>
        <w:jc w:val="both"/>
        <w:rPr>
          <w:rFonts w:eastAsia="Times New Roman" w:cs="Arial"/>
          <w:sz w:val="22"/>
          <w:lang w:eastAsia="fr-FR"/>
        </w:rPr>
      </w:pPr>
      <w:r w:rsidRPr="00D117F8">
        <w:rPr>
          <w:rFonts w:eastAsia="Times New Roman" w:cs="Arial"/>
          <w:sz w:val="22"/>
          <w:lang w:eastAsia="fr-FR"/>
        </w:rPr>
        <w:t xml:space="preserve">Attendu que </w:t>
      </w:r>
      <w:r w:rsidR="00B07238">
        <w:rPr>
          <w:rFonts w:eastAsia="Times New Roman" w:cs="Arial"/>
          <w:sz w:val="22"/>
          <w:lang w:eastAsia="fr-FR"/>
        </w:rPr>
        <w:t>M</w:t>
      </w:r>
      <w:r w:rsidR="00B07238" w:rsidRPr="00046F89">
        <w:rPr>
          <w:rFonts w:eastAsia="Times New Roman" w:cs="Arial"/>
          <w:sz w:val="22"/>
          <w:vertAlign w:val="superscript"/>
          <w:lang w:eastAsia="fr-FR"/>
        </w:rPr>
        <w:t>me</w:t>
      </w:r>
      <w:r w:rsidR="00B07238">
        <w:rPr>
          <w:rFonts w:eastAsia="Times New Roman" w:cs="Arial"/>
          <w:sz w:val="22"/>
          <w:lang w:eastAsia="fr-FR"/>
        </w:rPr>
        <w:t xml:space="preserve"> X</w:t>
      </w:r>
      <w:r w:rsidRPr="00D117F8">
        <w:rPr>
          <w:rFonts w:eastAsia="Times New Roman" w:cs="Arial"/>
          <w:sz w:val="22"/>
          <w:lang w:eastAsia="fr-FR"/>
        </w:rPr>
        <w:t xml:space="preserve"> se prévaut aussi de ce que les téléphones portables auraient été affectés à des services et non à des personnes ; que cette circonstance, à la supposer établie, resterait sans effet sur les obligations des comptables, une délibération du conseil d’administration étant exigée pour autoriser exceptionnellement </w:t>
      </w:r>
      <w:r w:rsidR="00FA3873" w:rsidRPr="00D117F8">
        <w:rPr>
          <w:rFonts w:eastAsia="Times New Roman" w:cs="Arial"/>
          <w:sz w:val="22"/>
          <w:lang w:eastAsia="fr-FR"/>
        </w:rPr>
        <w:t>la prise en charge de postes téléphoniques portables autres que celui du directeur général, que ces appareils soient destinés à des personnes, à des fonctions ou à des services ;</w:t>
      </w:r>
    </w:p>
    <w:p w:rsidR="00360BC6" w:rsidRPr="00D117F8" w:rsidRDefault="00360BC6" w:rsidP="00160190">
      <w:pPr>
        <w:spacing w:before="240" w:after="240" w:line="240" w:lineRule="auto"/>
        <w:jc w:val="both"/>
        <w:rPr>
          <w:rFonts w:eastAsia="Times New Roman" w:cs="Arial"/>
          <w:sz w:val="22"/>
          <w:lang w:eastAsia="fr-FR"/>
        </w:rPr>
      </w:pPr>
      <w:r w:rsidRPr="00D117F8">
        <w:rPr>
          <w:rFonts w:eastAsia="Times New Roman" w:cs="Arial"/>
          <w:sz w:val="22"/>
          <w:lang w:eastAsia="fr-FR"/>
        </w:rPr>
        <w:t xml:space="preserve">Attendu que, dans leur requête en appel, </w:t>
      </w:r>
      <w:r w:rsidR="00B07238">
        <w:rPr>
          <w:rFonts w:eastAsia="Times New Roman" w:cs="Arial"/>
          <w:sz w:val="22"/>
          <w:lang w:eastAsia="fr-FR"/>
        </w:rPr>
        <w:t>M</w:t>
      </w:r>
      <w:r w:rsidR="00B07238" w:rsidRPr="00046F89">
        <w:rPr>
          <w:rFonts w:eastAsia="Times New Roman" w:cs="Arial"/>
          <w:sz w:val="22"/>
          <w:vertAlign w:val="superscript"/>
          <w:lang w:eastAsia="fr-FR"/>
        </w:rPr>
        <w:t>mes</w:t>
      </w:r>
      <w:r w:rsidR="00B07238">
        <w:rPr>
          <w:rFonts w:eastAsia="Times New Roman" w:cs="Arial"/>
          <w:sz w:val="22"/>
          <w:lang w:eastAsia="fr-FR"/>
        </w:rPr>
        <w:t xml:space="preserve"> X</w:t>
      </w:r>
      <w:r w:rsidRPr="00D117F8">
        <w:rPr>
          <w:rFonts w:eastAsia="Times New Roman" w:cs="Arial"/>
          <w:sz w:val="22"/>
          <w:lang w:eastAsia="fr-FR"/>
        </w:rPr>
        <w:t xml:space="preserve"> et </w:t>
      </w:r>
      <w:r w:rsidR="00B07238">
        <w:rPr>
          <w:rFonts w:eastAsia="Times New Roman" w:cs="Arial"/>
          <w:sz w:val="22"/>
          <w:lang w:eastAsia="fr-FR"/>
        </w:rPr>
        <w:t>Y</w:t>
      </w:r>
      <w:r w:rsidRPr="00D117F8">
        <w:rPr>
          <w:rFonts w:eastAsia="Times New Roman" w:cs="Arial"/>
          <w:sz w:val="22"/>
          <w:lang w:eastAsia="fr-FR"/>
        </w:rPr>
        <w:t xml:space="preserve"> ont l’une et l’autre conclu en demandant à la Cour, à titre subsidiaire, que si un manquement devait être retenu, elle considère que ce manquement n’a pas causé de préjudice et fixe </w:t>
      </w:r>
      <w:r w:rsidRPr="00D117F8">
        <w:rPr>
          <w:rFonts w:eastAsia="Times New Roman" w:cs="Arial"/>
          <w:i/>
          <w:sz w:val="22"/>
          <w:lang w:eastAsia="fr-FR"/>
        </w:rPr>
        <w:t>a minima</w:t>
      </w:r>
      <w:r w:rsidRPr="00D117F8">
        <w:rPr>
          <w:rFonts w:eastAsia="Times New Roman" w:cs="Arial"/>
          <w:sz w:val="22"/>
          <w:lang w:eastAsia="fr-FR"/>
        </w:rPr>
        <w:t xml:space="preserve"> la somme mise à leur charge ;</w:t>
      </w:r>
      <w:r w:rsidR="00323B13">
        <w:rPr>
          <w:rFonts w:eastAsia="Times New Roman" w:cs="Arial"/>
          <w:sz w:val="22"/>
          <w:lang w:eastAsia="fr-FR"/>
        </w:rPr>
        <w:t xml:space="preserve"> </w:t>
      </w:r>
      <w:r w:rsidRPr="00D117F8">
        <w:rPr>
          <w:rFonts w:eastAsia="Times New Roman" w:cs="Arial"/>
          <w:sz w:val="22"/>
          <w:lang w:eastAsia="fr-FR"/>
        </w:rPr>
        <w:t xml:space="preserve">que cependant, en l’état du droit applicable à la responsabilité des comptables des établissements publics de la Polynésie française, il n’y a pas lieu pour le juge des comptes de </w:t>
      </w:r>
      <w:r w:rsidR="00743061" w:rsidRPr="00D117F8">
        <w:rPr>
          <w:rFonts w:eastAsia="Times New Roman" w:cs="Arial"/>
          <w:sz w:val="22"/>
          <w:lang w:eastAsia="fr-FR"/>
        </w:rPr>
        <w:t>s’interroger sur le point de savoir si un paiement irrégulier a entraîné ou non un préjudice ; qu’en revanche, le montant du débet doit être fixé en excluant toute dépense dont le comptable aura pu démontrer qu’elle a été régulièrement payée ;</w:t>
      </w:r>
    </w:p>
    <w:p w:rsidR="00743061" w:rsidRPr="00D117F8" w:rsidRDefault="00743061" w:rsidP="00160190">
      <w:pPr>
        <w:spacing w:before="240" w:after="240" w:line="240" w:lineRule="auto"/>
        <w:jc w:val="both"/>
        <w:rPr>
          <w:rFonts w:eastAsia="Times New Roman" w:cs="Arial"/>
          <w:sz w:val="22"/>
          <w:lang w:eastAsia="fr-FR"/>
        </w:rPr>
      </w:pPr>
      <w:r w:rsidRPr="00D117F8">
        <w:rPr>
          <w:rFonts w:eastAsia="Times New Roman" w:cs="Arial"/>
          <w:sz w:val="22"/>
          <w:lang w:eastAsia="fr-FR"/>
        </w:rPr>
        <w:t xml:space="preserve">Attendu que, tant le réquisitoire que le jugement de la chambre territoriale ont </w:t>
      </w:r>
      <w:r w:rsidR="00B11D18" w:rsidRPr="00D117F8">
        <w:rPr>
          <w:rFonts w:eastAsia="Times New Roman" w:cs="Arial"/>
          <w:sz w:val="22"/>
          <w:lang w:eastAsia="fr-FR"/>
        </w:rPr>
        <w:t>exclu du calcul des sommes à mettre</w:t>
      </w:r>
      <w:r w:rsidRPr="00D117F8">
        <w:rPr>
          <w:rFonts w:eastAsia="Times New Roman" w:cs="Arial"/>
          <w:sz w:val="22"/>
          <w:lang w:eastAsia="fr-FR"/>
        </w:rPr>
        <w:t xml:space="preserve"> à la charge des deux comptables, les paiements pouvant s’autoriser </w:t>
      </w:r>
      <w:r w:rsidRPr="00D117F8">
        <w:rPr>
          <w:rFonts w:eastAsia="Times New Roman" w:cs="Arial"/>
          <w:sz w:val="22"/>
          <w:lang w:eastAsia="fr-FR"/>
        </w:rPr>
        <w:lastRenderedPageBreak/>
        <w:t>des dérogations instituées par la délibération précitée du conseil d’administration du 4 avril 2000</w:t>
      </w:r>
      <w:r w:rsidR="00046F89">
        <w:rPr>
          <w:rFonts w:eastAsia="Times New Roman" w:cs="Arial"/>
          <w:sz w:val="22"/>
          <w:lang w:eastAsia="fr-FR"/>
        </w:rPr>
        <w:t xml:space="preserve"> </w:t>
      </w:r>
      <w:r w:rsidR="00D93356" w:rsidRPr="00D117F8">
        <w:rPr>
          <w:rFonts w:eastAsia="Times New Roman" w:cs="Arial"/>
          <w:sz w:val="22"/>
          <w:lang w:eastAsia="fr-FR"/>
        </w:rPr>
        <w:t>chaque fois que les factures jointes aux mandats étaient suffisamment détaillées pour permettre de les identifier, c’est-à-dire dans une minorité de cas, les factures étant le plus souvent globales</w:t>
      </w:r>
      <w:r w:rsidR="00046F89">
        <w:rPr>
          <w:rFonts w:eastAsia="Times New Roman" w:cs="Arial"/>
          <w:sz w:val="22"/>
          <w:lang w:eastAsia="fr-FR"/>
        </w:rPr>
        <w:t> </w:t>
      </w:r>
      <w:r w:rsidRPr="00D117F8">
        <w:rPr>
          <w:rFonts w:eastAsia="Times New Roman" w:cs="Arial"/>
          <w:sz w:val="22"/>
          <w:lang w:eastAsia="fr-FR"/>
        </w:rPr>
        <w:t>; qu’en revanche, ils n’ont</w:t>
      </w:r>
      <w:r w:rsidR="00D93356" w:rsidRPr="00D117F8">
        <w:rPr>
          <w:rFonts w:eastAsia="Times New Roman" w:cs="Arial"/>
          <w:sz w:val="22"/>
          <w:lang w:eastAsia="fr-FR"/>
        </w:rPr>
        <w:t>, même lorsque la facturation était détaillée,</w:t>
      </w:r>
      <w:r w:rsidR="000547FB" w:rsidRPr="00D117F8">
        <w:rPr>
          <w:rFonts w:eastAsia="Times New Roman" w:cs="Arial"/>
          <w:sz w:val="22"/>
          <w:lang w:eastAsia="fr-FR"/>
        </w:rPr>
        <w:t xml:space="preserve"> pas exclu les frai</w:t>
      </w:r>
      <w:r w:rsidRPr="00D117F8">
        <w:rPr>
          <w:rFonts w:eastAsia="Times New Roman" w:cs="Arial"/>
          <w:sz w:val="22"/>
          <w:lang w:eastAsia="fr-FR"/>
        </w:rPr>
        <w:t xml:space="preserve">s relatifs au téléphone portable attribué au directeur général alors que leur prise en charge </w:t>
      </w:r>
      <w:r w:rsidR="000547FB" w:rsidRPr="00D117F8">
        <w:rPr>
          <w:rFonts w:eastAsia="Times New Roman" w:cs="Arial"/>
          <w:sz w:val="22"/>
          <w:lang w:eastAsia="fr-FR"/>
        </w:rPr>
        <w:t xml:space="preserve">était autorisée </w:t>
      </w:r>
      <w:r w:rsidRPr="00D117F8">
        <w:rPr>
          <w:rFonts w:eastAsia="Times New Roman" w:cs="Arial"/>
          <w:sz w:val="22"/>
          <w:lang w:eastAsia="fr-FR"/>
        </w:rPr>
        <w:t xml:space="preserve">par l’article 5 </w:t>
      </w:r>
      <w:r w:rsidR="00323B13">
        <w:rPr>
          <w:rFonts w:eastAsia="Times New Roman" w:cs="Arial"/>
          <w:sz w:val="22"/>
          <w:lang w:eastAsia="fr-FR"/>
        </w:rPr>
        <w:t>de l’arrêté</w:t>
      </w:r>
      <w:r w:rsidRPr="00D117F8">
        <w:rPr>
          <w:rFonts w:eastAsia="Times New Roman" w:cs="Arial"/>
          <w:sz w:val="22"/>
          <w:lang w:eastAsia="fr-FR"/>
        </w:rPr>
        <w:t xml:space="preserve"> précité du 30 décembre 1994 ;</w:t>
      </w:r>
    </w:p>
    <w:p w:rsidR="00451479" w:rsidRPr="00D117F8" w:rsidRDefault="00FA3873" w:rsidP="00160190">
      <w:pPr>
        <w:spacing w:before="240" w:after="240" w:line="240" w:lineRule="auto"/>
        <w:jc w:val="both"/>
        <w:rPr>
          <w:rFonts w:eastAsia="Times New Roman" w:cs="Arial"/>
          <w:sz w:val="22"/>
          <w:lang w:eastAsia="fr-FR"/>
        </w:rPr>
      </w:pPr>
      <w:r w:rsidRPr="00D117F8">
        <w:rPr>
          <w:rFonts w:eastAsia="Times New Roman" w:cs="Arial"/>
          <w:sz w:val="22"/>
          <w:lang w:eastAsia="fr-FR"/>
        </w:rPr>
        <w:t xml:space="preserve">Attendu qu’au cours de l’instance d’appel, </w:t>
      </w:r>
      <w:r w:rsidR="00B07238">
        <w:rPr>
          <w:rFonts w:eastAsia="Times New Roman" w:cs="Arial"/>
          <w:sz w:val="22"/>
          <w:lang w:eastAsia="fr-FR"/>
        </w:rPr>
        <w:t>M</w:t>
      </w:r>
      <w:r w:rsidR="00B07238" w:rsidRPr="00046F89">
        <w:rPr>
          <w:rFonts w:eastAsia="Times New Roman" w:cs="Arial"/>
          <w:sz w:val="22"/>
          <w:vertAlign w:val="superscript"/>
          <w:lang w:eastAsia="fr-FR"/>
        </w:rPr>
        <w:t>me</w:t>
      </w:r>
      <w:r w:rsidR="00B07238">
        <w:rPr>
          <w:rFonts w:eastAsia="Times New Roman" w:cs="Arial"/>
          <w:sz w:val="22"/>
          <w:lang w:eastAsia="fr-FR"/>
        </w:rPr>
        <w:t xml:space="preserve"> X</w:t>
      </w:r>
      <w:r w:rsidRPr="00D117F8">
        <w:rPr>
          <w:rFonts w:eastAsia="Times New Roman" w:cs="Arial"/>
          <w:sz w:val="22"/>
          <w:lang w:eastAsia="fr-FR"/>
        </w:rPr>
        <w:t xml:space="preserve"> a produit</w:t>
      </w:r>
      <w:r w:rsidR="00A0293F" w:rsidRPr="00D117F8">
        <w:rPr>
          <w:rFonts w:eastAsia="Times New Roman" w:cs="Arial"/>
          <w:sz w:val="22"/>
          <w:lang w:eastAsia="fr-FR"/>
        </w:rPr>
        <w:t xml:space="preserve"> un certificat administratif signé par </w:t>
      </w:r>
      <w:r w:rsidR="00B07238">
        <w:rPr>
          <w:rFonts w:eastAsia="Times New Roman" w:cs="Arial"/>
          <w:sz w:val="22"/>
          <w:lang w:eastAsia="fr-FR"/>
        </w:rPr>
        <w:t>M. Z</w:t>
      </w:r>
      <w:r w:rsidR="00A0293F" w:rsidRPr="00D117F8">
        <w:rPr>
          <w:rFonts w:eastAsia="Times New Roman" w:cs="Arial"/>
          <w:sz w:val="22"/>
          <w:lang w:eastAsia="fr-FR"/>
        </w:rPr>
        <w:t>, directeur par intérim du centre hospitalier</w:t>
      </w:r>
      <w:r w:rsidR="00743061" w:rsidRPr="00D117F8">
        <w:rPr>
          <w:rFonts w:eastAsia="Times New Roman" w:cs="Arial"/>
          <w:sz w:val="22"/>
          <w:lang w:eastAsia="fr-FR"/>
        </w:rPr>
        <w:t>,</w:t>
      </w:r>
      <w:r w:rsidR="0058369A" w:rsidRPr="00D117F8">
        <w:rPr>
          <w:rFonts w:eastAsia="Times New Roman" w:cs="Arial"/>
          <w:sz w:val="22"/>
          <w:lang w:eastAsia="fr-FR"/>
        </w:rPr>
        <w:t xml:space="preserve"> </w:t>
      </w:r>
      <w:r w:rsidR="00743061" w:rsidRPr="00D117F8">
        <w:rPr>
          <w:rFonts w:eastAsia="Times New Roman" w:cs="Arial"/>
          <w:sz w:val="22"/>
          <w:lang w:eastAsia="fr-FR"/>
        </w:rPr>
        <w:t xml:space="preserve">qui est accompagné d’états comportant le détail </w:t>
      </w:r>
      <w:r w:rsidR="001847E0" w:rsidRPr="00D117F8">
        <w:rPr>
          <w:rFonts w:eastAsia="Times New Roman" w:cs="Arial"/>
          <w:sz w:val="22"/>
          <w:lang w:eastAsia="fr-FR"/>
        </w:rPr>
        <w:t xml:space="preserve">de </w:t>
      </w:r>
      <w:r w:rsidR="00A50188">
        <w:rPr>
          <w:rFonts w:eastAsia="Times New Roman" w:cs="Arial"/>
          <w:sz w:val="22"/>
          <w:lang w:eastAsia="fr-FR"/>
        </w:rPr>
        <w:t xml:space="preserve">dix </w:t>
      </w:r>
      <w:r w:rsidR="001847E0" w:rsidRPr="00D117F8">
        <w:rPr>
          <w:rFonts w:eastAsia="Times New Roman" w:cs="Arial"/>
          <w:sz w:val="22"/>
          <w:lang w:eastAsia="fr-FR"/>
        </w:rPr>
        <w:t>factures qui figurent au nombre des 47 factures répertoriées dans les tableaux mentionnés au réquisitoire et dans le jugement ; que la confrontation de ces états et des pièces jointes aux mandats produits</w:t>
      </w:r>
      <w:r w:rsidR="00451479" w:rsidRPr="00D117F8">
        <w:rPr>
          <w:rFonts w:eastAsia="Times New Roman" w:cs="Arial"/>
          <w:sz w:val="22"/>
          <w:lang w:eastAsia="fr-FR"/>
        </w:rPr>
        <w:t xml:space="preserve"> au juge des comptes à l’appui des</w:t>
      </w:r>
      <w:r w:rsidR="000547FB" w:rsidRPr="00D117F8">
        <w:rPr>
          <w:rFonts w:eastAsia="Times New Roman" w:cs="Arial"/>
          <w:sz w:val="22"/>
          <w:lang w:eastAsia="fr-FR"/>
        </w:rPr>
        <w:t xml:space="preserve"> paiements incriminés confirme</w:t>
      </w:r>
      <w:r w:rsidR="00451479" w:rsidRPr="00D117F8">
        <w:rPr>
          <w:rFonts w:eastAsia="Times New Roman" w:cs="Arial"/>
          <w:sz w:val="22"/>
          <w:lang w:eastAsia="fr-FR"/>
        </w:rPr>
        <w:t xml:space="preserve"> </w:t>
      </w:r>
      <w:r w:rsidR="000547FB" w:rsidRPr="00D117F8">
        <w:rPr>
          <w:rFonts w:eastAsia="Times New Roman" w:cs="Arial"/>
          <w:sz w:val="22"/>
          <w:lang w:eastAsia="fr-FR"/>
        </w:rPr>
        <w:t>tout d’abord qu</w:t>
      </w:r>
      <w:r w:rsidR="00B52183" w:rsidRPr="00D117F8">
        <w:rPr>
          <w:rFonts w:eastAsia="Times New Roman" w:cs="Arial"/>
          <w:sz w:val="22"/>
          <w:lang w:eastAsia="fr-FR"/>
        </w:rPr>
        <w:t>’il s’agit</w:t>
      </w:r>
      <w:r w:rsidR="000547FB" w:rsidRPr="00D117F8">
        <w:rPr>
          <w:rFonts w:eastAsia="Times New Roman" w:cs="Arial"/>
          <w:sz w:val="22"/>
          <w:lang w:eastAsia="fr-FR"/>
        </w:rPr>
        <w:t xml:space="preserve"> des seules factures pour lesquelles une facturation détaillée a été produite ; qu’elle montre ensuite que</w:t>
      </w:r>
      <w:r w:rsidR="00451479" w:rsidRPr="00D117F8">
        <w:rPr>
          <w:rFonts w:eastAsia="Times New Roman" w:cs="Arial"/>
          <w:sz w:val="22"/>
          <w:lang w:eastAsia="fr-FR"/>
        </w:rPr>
        <w:t xml:space="preserve"> le réquisitoire et le jugement de la chambre territoriale ont exclu les paiements relatifs au téléphone portable du directeur de garde, à celui de la surveillante générale et à celui du chef de services techniques assimilé au chef des services économiques </w:t>
      </w:r>
      <w:r w:rsidR="00B11D18" w:rsidRPr="00D117F8">
        <w:rPr>
          <w:rFonts w:eastAsia="Times New Roman" w:cs="Arial"/>
          <w:sz w:val="22"/>
          <w:lang w:eastAsia="fr-FR"/>
        </w:rPr>
        <w:t xml:space="preserve">et techniques </w:t>
      </w:r>
      <w:r w:rsidR="00451479" w:rsidRPr="00D117F8">
        <w:rPr>
          <w:rFonts w:eastAsia="Times New Roman" w:cs="Arial"/>
          <w:sz w:val="22"/>
          <w:lang w:eastAsia="fr-FR"/>
        </w:rPr>
        <w:t>désigné par la délibération du 4 avril 2000, mais n’ont pas, à tort,</w:t>
      </w:r>
      <w:r w:rsidR="00C12C04">
        <w:rPr>
          <w:rFonts w:eastAsia="Times New Roman" w:cs="Arial"/>
          <w:sz w:val="22"/>
          <w:lang w:eastAsia="fr-FR"/>
        </w:rPr>
        <w:t xml:space="preserve"> </w:t>
      </w:r>
      <w:r w:rsidR="00451479" w:rsidRPr="00D117F8">
        <w:rPr>
          <w:rFonts w:eastAsia="Times New Roman" w:cs="Arial"/>
          <w:sz w:val="22"/>
          <w:lang w:eastAsia="fr-FR"/>
        </w:rPr>
        <w:t>écarté ceux relatifs au téléphone portable du directeur général ;</w:t>
      </w:r>
    </w:p>
    <w:p w:rsidR="00451479" w:rsidRPr="00D117F8" w:rsidRDefault="00451479" w:rsidP="00160190">
      <w:pPr>
        <w:spacing w:before="240" w:after="240" w:line="240" w:lineRule="auto"/>
        <w:jc w:val="both"/>
        <w:rPr>
          <w:rFonts w:eastAsia="Times New Roman" w:cs="Arial"/>
          <w:sz w:val="22"/>
          <w:lang w:eastAsia="fr-FR"/>
        </w:rPr>
      </w:pPr>
      <w:r w:rsidRPr="00D117F8">
        <w:rPr>
          <w:rFonts w:eastAsia="Times New Roman" w:cs="Arial"/>
          <w:sz w:val="22"/>
          <w:lang w:eastAsia="fr-FR"/>
        </w:rPr>
        <w:t>Attendu que, pour les autres paiements, il n’est pas démontré qu’ils pouvaient être pris en charge dans le respect des dispositions de l’arrêté précité du 30 décembre 1994 et de la délibération du 4 avril 2000 ;</w:t>
      </w:r>
    </w:p>
    <w:p w:rsidR="003D0599" w:rsidRPr="00D117F8" w:rsidRDefault="00451479" w:rsidP="00160190">
      <w:pPr>
        <w:spacing w:before="240" w:after="240" w:line="240" w:lineRule="auto"/>
        <w:jc w:val="both"/>
        <w:rPr>
          <w:rFonts w:eastAsia="Times New Roman" w:cs="Arial"/>
          <w:sz w:val="22"/>
          <w:lang w:eastAsia="fr-FR"/>
        </w:rPr>
      </w:pPr>
      <w:r w:rsidRPr="00D117F8">
        <w:rPr>
          <w:rFonts w:eastAsia="Times New Roman" w:cs="Arial"/>
          <w:sz w:val="22"/>
          <w:lang w:eastAsia="fr-FR"/>
        </w:rPr>
        <w:t xml:space="preserve">Attendu que dès lors, il y a lieu de retrancher </w:t>
      </w:r>
      <w:r w:rsidR="00D41735" w:rsidRPr="00D117F8">
        <w:rPr>
          <w:rFonts w:eastAsia="Times New Roman" w:cs="Arial"/>
          <w:sz w:val="22"/>
          <w:lang w:eastAsia="fr-FR"/>
        </w:rPr>
        <w:t xml:space="preserve">des montants figurant au réquisitoire, soit 8 693 033 FCFP pour </w:t>
      </w:r>
      <w:r w:rsidR="00B07238">
        <w:rPr>
          <w:rFonts w:eastAsia="Times New Roman" w:cs="Arial"/>
          <w:sz w:val="22"/>
          <w:lang w:eastAsia="fr-FR"/>
        </w:rPr>
        <w:t>M</w:t>
      </w:r>
      <w:r w:rsidR="00B07238" w:rsidRPr="00046F89">
        <w:rPr>
          <w:rFonts w:eastAsia="Times New Roman" w:cs="Arial"/>
          <w:sz w:val="22"/>
          <w:vertAlign w:val="superscript"/>
          <w:lang w:eastAsia="fr-FR"/>
        </w:rPr>
        <w:t>me</w:t>
      </w:r>
      <w:r w:rsidR="00B07238">
        <w:rPr>
          <w:rFonts w:eastAsia="Times New Roman" w:cs="Arial"/>
          <w:sz w:val="22"/>
          <w:lang w:eastAsia="fr-FR"/>
        </w:rPr>
        <w:t xml:space="preserve"> X</w:t>
      </w:r>
      <w:r w:rsidR="00D41735" w:rsidRPr="00D117F8">
        <w:rPr>
          <w:rFonts w:eastAsia="Times New Roman" w:cs="Arial"/>
          <w:sz w:val="22"/>
          <w:lang w:eastAsia="fr-FR"/>
        </w:rPr>
        <w:t xml:space="preserve"> et 7 243 924 FCFP pour </w:t>
      </w:r>
      <w:r w:rsidR="00B07238">
        <w:rPr>
          <w:rFonts w:eastAsia="Times New Roman" w:cs="Arial"/>
          <w:sz w:val="22"/>
          <w:lang w:eastAsia="fr-FR"/>
        </w:rPr>
        <w:t>M</w:t>
      </w:r>
      <w:r w:rsidR="00B07238" w:rsidRPr="00046F89">
        <w:rPr>
          <w:rFonts w:eastAsia="Times New Roman" w:cs="Arial"/>
          <w:sz w:val="22"/>
          <w:vertAlign w:val="superscript"/>
          <w:lang w:eastAsia="fr-FR"/>
        </w:rPr>
        <w:t>me</w:t>
      </w:r>
      <w:r w:rsidR="00B07238">
        <w:rPr>
          <w:rFonts w:eastAsia="Times New Roman" w:cs="Arial"/>
          <w:sz w:val="22"/>
          <w:lang w:eastAsia="fr-FR"/>
        </w:rPr>
        <w:t xml:space="preserve"> Y</w:t>
      </w:r>
      <w:r w:rsidR="00D41735" w:rsidRPr="00D117F8">
        <w:rPr>
          <w:rFonts w:eastAsia="Times New Roman" w:cs="Arial"/>
          <w:sz w:val="22"/>
          <w:lang w:eastAsia="fr-FR"/>
        </w:rPr>
        <w:t xml:space="preserve">, les sommes qui se rattachent aux frais exposés au titre de la ligne du </w:t>
      </w:r>
      <w:r w:rsidR="000547FB" w:rsidRPr="00D117F8">
        <w:rPr>
          <w:rFonts w:eastAsia="Times New Roman" w:cs="Arial"/>
          <w:sz w:val="22"/>
          <w:lang w:eastAsia="fr-FR"/>
        </w:rPr>
        <w:t xml:space="preserve">téléphone portable attribué au </w:t>
      </w:r>
      <w:r w:rsidR="00D41735" w:rsidRPr="00D117F8">
        <w:rPr>
          <w:rFonts w:eastAsia="Times New Roman" w:cs="Arial"/>
          <w:sz w:val="22"/>
          <w:lang w:eastAsia="fr-FR"/>
        </w:rPr>
        <w:t>direct</w:t>
      </w:r>
      <w:r w:rsidR="007D2B64" w:rsidRPr="00D117F8">
        <w:rPr>
          <w:rFonts w:eastAsia="Times New Roman" w:cs="Arial"/>
          <w:sz w:val="22"/>
          <w:lang w:eastAsia="fr-FR"/>
        </w:rPr>
        <w:t xml:space="preserve">eur général </w:t>
      </w:r>
      <w:r w:rsidR="000547FB" w:rsidRPr="00D117F8">
        <w:rPr>
          <w:rFonts w:eastAsia="Times New Roman" w:cs="Arial"/>
          <w:sz w:val="22"/>
          <w:lang w:eastAsia="fr-FR"/>
        </w:rPr>
        <w:t>(ligne n° 78 11 20 puis ligne n° 79 80 18)</w:t>
      </w:r>
      <w:r w:rsidR="003D0599" w:rsidRPr="00D117F8">
        <w:rPr>
          <w:rFonts w:eastAsia="Times New Roman" w:cs="Arial"/>
          <w:sz w:val="22"/>
          <w:lang w:eastAsia="fr-FR"/>
        </w:rPr>
        <w:t>, telles qu’elles ressortent des factures jointes aux mandats</w:t>
      </w:r>
      <w:r w:rsidR="000547FB" w:rsidRPr="00D117F8">
        <w:rPr>
          <w:rFonts w:eastAsia="Times New Roman" w:cs="Arial"/>
          <w:sz w:val="22"/>
          <w:lang w:eastAsia="fr-FR"/>
        </w:rPr>
        <w:t xml:space="preserve"> ; que ces sommes s’élèvent à un total de </w:t>
      </w:r>
      <w:r w:rsidR="003D0599" w:rsidRPr="00D117F8">
        <w:rPr>
          <w:rFonts w:eastAsia="Times New Roman" w:cs="Arial"/>
          <w:sz w:val="22"/>
          <w:lang w:eastAsia="fr-FR"/>
        </w:rPr>
        <w:t xml:space="preserve">139 591 FCFP HT, soit 153 550 FCFP TTC, pour les paiements effectués par </w:t>
      </w:r>
      <w:r w:rsidR="00B07238">
        <w:rPr>
          <w:rFonts w:eastAsia="Times New Roman" w:cs="Arial"/>
          <w:sz w:val="22"/>
          <w:lang w:eastAsia="fr-FR"/>
        </w:rPr>
        <w:t>M</w:t>
      </w:r>
      <w:r w:rsidR="00B07238" w:rsidRPr="00046F89">
        <w:rPr>
          <w:rFonts w:eastAsia="Times New Roman" w:cs="Arial"/>
          <w:sz w:val="22"/>
          <w:vertAlign w:val="superscript"/>
          <w:lang w:eastAsia="fr-FR"/>
        </w:rPr>
        <w:t>me</w:t>
      </w:r>
      <w:r w:rsidR="00B07238">
        <w:rPr>
          <w:rFonts w:eastAsia="Times New Roman" w:cs="Arial"/>
          <w:sz w:val="22"/>
          <w:lang w:eastAsia="fr-FR"/>
        </w:rPr>
        <w:t xml:space="preserve"> X</w:t>
      </w:r>
      <w:r w:rsidR="003D0599" w:rsidRPr="00D117F8">
        <w:rPr>
          <w:rFonts w:eastAsia="Times New Roman" w:cs="Arial"/>
          <w:sz w:val="22"/>
          <w:lang w:eastAsia="fr-FR"/>
        </w:rPr>
        <w:t xml:space="preserve">, et à un total de 403 354 FCFP HT, soit 443 689 FCFP TTC, pour les paiements effectués par </w:t>
      </w:r>
      <w:r w:rsidR="00B07238">
        <w:rPr>
          <w:rFonts w:eastAsia="Times New Roman" w:cs="Arial"/>
          <w:sz w:val="22"/>
          <w:lang w:eastAsia="fr-FR"/>
        </w:rPr>
        <w:t>M</w:t>
      </w:r>
      <w:r w:rsidR="00B07238" w:rsidRPr="00046F89">
        <w:rPr>
          <w:rFonts w:eastAsia="Times New Roman" w:cs="Arial"/>
          <w:sz w:val="22"/>
          <w:vertAlign w:val="superscript"/>
          <w:lang w:eastAsia="fr-FR"/>
        </w:rPr>
        <w:t>me</w:t>
      </w:r>
      <w:r w:rsidR="00B07238">
        <w:rPr>
          <w:rFonts w:eastAsia="Times New Roman" w:cs="Arial"/>
          <w:sz w:val="22"/>
          <w:lang w:eastAsia="fr-FR"/>
        </w:rPr>
        <w:t xml:space="preserve"> Y</w:t>
      </w:r>
      <w:r w:rsidR="003D0599" w:rsidRPr="00D117F8">
        <w:rPr>
          <w:rFonts w:eastAsia="Times New Roman" w:cs="Arial"/>
          <w:sz w:val="22"/>
          <w:lang w:eastAsia="fr-FR"/>
        </w:rPr>
        <w:t xml:space="preserve">; </w:t>
      </w:r>
    </w:p>
    <w:p w:rsidR="0035741C" w:rsidRPr="00D117F8" w:rsidRDefault="003D0599" w:rsidP="00160190">
      <w:pPr>
        <w:spacing w:before="240" w:after="240" w:line="240" w:lineRule="auto"/>
        <w:jc w:val="both"/>
        <w:rPr>
          <w:rFonts w:eastAsia="Times New Roman" w:cs="Arial"/>
          <w:sz w:val="22"/>
          <w:lang w:eastAsia="fr-FR"/>
        </w:rPr>
      </w:pPr>
      <w:r w:rsidRPr="00D117F8">
        <w:rPr>
          <w:rFonts w:eastAsia="Times New Roman" w:cs="Arial"/>
          <w:sz w:val="22"/>
          <w:lang w:eastAsia="fr-FR"/>
        </w:rPr>
        <w:t xml:space="preserve">Attendu, pour l’ensemble de ces motifs, qu’il convient donc de déclarer </w:t>
      </w:r>
      <w:r w:rsidR="00B07238">
        <w:rPr>
          <w:rFonts w:eastAsia="Times New Roman" w:cs="Arial"/>
          <w:sz w:val="22"/>
          <w:lang w:eastAsia="fr-FR"/>
        </w:rPr>
        <w:t>M</w:t>
      </w:r>
      <w:r w:rsidR="00B07238" w:rsidRPr="00046F89">
        <w:rPr>
          <w:rFonts w:eastAsia="Times New Roman" w:cs="Arial"/>
          <w:sz w:val="22"/>
          <w:vertAlign w:val="superscript"/>
          <w:lang w:eastAsia="fr-FR"/>
        </w:rPr>
        <w:t>me</w:t>
      </w:r>
      <w:r w:rsidR="00B07238">
        <w:rPr>
          <w:rFonts w:eastAsia="Times New Roman" w:cs="Arial"/>
          <w:sz w:val="22"/>
          <w:lang w:eastAsia="fr-FR"/>
        </w:rPr>
        <w:t xml:space="preserve"> X</w:t>
      </w:r>
      <w:r w:rsidRPr="00D117F8">
        <w:rPr>
          <w:rFonts w:eastAsia="Times New Roman" w:cs="Arial"/>
          <w:sz w:val="22"/>
          <w:lang w:eastAsia="fr-FR"/>
        </w:rPr>
        <w:t xml:space="preserve"> débitrice envers le centre hospitalier de la Polynésie française de la somme de 8 539 483 FCFP augmentée des intérêts de droit calculés à compter de la date de la notification du réquisitoire du procureur financier</w:t>
      </w:r>
      <w:r w:rsidR="0035741C" w:rsidRPr="00D117F8">
        <w:rPr>
          <w:rFonts w:eastAsia="Times New Roman" w:cs="Arial"/>
          <w:sz w:val="22"/>
          <w:lang w:eastAsia="fr-FR"/>
        </w:rPr>
        <w:t xml:space="preserve"> qui constitue en l’espèce le premier acte de mise en jeu de responsabilité personnelle et pécuniaire de l’intéressée ; qu’à défaut de date mentionnée sur l’accusé de réception du réquisitoire et de cachet de la poste précisant la date de présentation du courrier à la destinataire, la date de notification du réquisitoire doit être fixée au 1</w:t>
      </w:r>
      <w:r w:rsidR="0035741C" w:rsidRPr="00A50188">
        <w:rPr>
          <w:rFonts w:eastAsia="Times New Roman" w:cs="Arial"/>
          <w:sz w:val="22"/>
          <w:vertAlign w:val="superscript"/>
          <w:lang w:eastAsia="fr-FR"/>
        </w:rPr>
        <w:t>er</w:t>
      </w:r>
      <w:r w:rsidR="0035741C" w:rsidRPr="00D117F8">
        <w:rPr>
          <w:rFonts w:eastAsia="Times New Roman" w:cs="Arial"/>
          <w:sz w:val="22"/>
          <w:lang w:eastAsia="fr-FR"/>
        </w:rPr>
        <w:t xml:space="preserve"> avril 2014, date du premier </w:t>
      </w:r>
      <w:r w:rsidR="00A50188">
        <w:rPr>
          <w:rFonts w:eastAsia="Times New Roman" w:cs="Arial"/>
          <w:sz w:val="22"/>
          <w:lang w:eastAsia="fr-FR"/>
        </w:rPr>
        <w:t>courriel</w:t>
      </w:r>
      <w:r w:rsidR="0035741C" w:rsidRPr="00D117F8">
        <w:rPr>
          <w:rFonts w:eastAsia="Times New Roman" w:cs="Arial"/>
          <w:sz w:val="22"/>
          <w:lang w:eastAsia="fr-FR"/>
        </w:rPr>
        <w:t xml:space="preserve"> en réponse transmis par </w:t>
      </w:r>
      <w:r w:rsidR="00B07238">
        <w:rPr>
          <w:rFonts w:eastAsia="Times New Roman" w:cs="Arial"/>
          <w:sz w:val="22"/>
          <w:lang w:eastAsia="fr-FR"/>
        </w:rPr>
        <w:t>M</w:t>
      </w:r>
      <w:r w:rsidR="00B07238" w:rsidRPr="00046F89">
        <w:rPr>
          <w:rFonts w:eastAsia="Times New Roman" w:cs="Arial"/>
          <w:sz w:val="22"/>
          <w:vertAlign w:val="superscript"/>
          <w:lang w:eastAsia="fr-FR"/>
        </w:rPr>
        <w:t>me</w:t>
      </w:r>
      <w:r w:rsidR="00B07238">
        <w:rPr>
          <w:rFonts w:eastAsia="Times New Roman" w:cs="Arial"/>
          <w:sz w:val="22"/>
          <w:lang w:eastAsia="fr-FR"/>
        </w:rPr>
        <w:t xml:space="preserve"> X</w:t>
      </w:r>
      <w:r w:rsidR="0035741C" w:rsidRPr="00D117F8">
        <w:rPr>
          <w:rFonts w:eastAsia="Times New Roman" w:cs="Arial"/>
          <w:sz w:val="22"/>
          <w:lang w:eastAsia="fr-FR"/>
        </w:rPr>
        <w:t>;</w:t>
      </w:r>
    </w:p>
    <w:p w:rsidR="0035741C" w:rsidRPr="00D117F8" w:rsidRDefault="0035741C" w:rsidP="00160190">
      <w:pPr>
        <w:spacing w:before="240" w:after="240" w:line="240" w:lineRule="auto"/>
        <w:jc w:val="both"/>
        <w:rPr>
          <w:rFonts w:eastAsia="Times New Roman" w:cs="Arial"/>
          <w:sz w:val="22"/>
          <w:lang w:eastAsia="fr-FR"/>
        </w:rPr>
      </w:pPr>
      <w:r w:rsidRPr="00D117F8">
        <w:rPr>
          <w:rFonts w:eastAsia="Times New Roman" w:cs="Arial"/>
          <w:sz w:val="22"/>
          <w:lang w:eastAsia="fr-FR"/>
        </w:rPr>
        <w:t xml:space="preserve">Attendu, pour les mêmes motifs, qu’il convient également de déclarer </w:t>
      </w:r>
      <w:r w:rsidR="00B07238">
        <w:rPr>
          <w:rFonts w:eastAsia="Times New Roman" w:cs="Arial"/>
          <w:sz w:val="22"/>
          <w:lang w:eastAsia="fr-FR"/>
        </w:rPr>
        <w:t>M</w:t>
      </w:r>
      <w:r w:rsidR="00B07238" w:rsidRPr="00046F89">
        <w:rPr>
          <w:rFonts w:eastAsia="Times New Roman" w:cs="Arial"/>
          <w:sz w:val="22"/>
          <w:vertAlign w:val="superscript"/>
          <w:lang w:eastAsia="fr-FR"/>
        </w:rPr>
        <w:t>me</w:t>
      </w:r>
      <w:r w:rsidR="00B07238">
        <w:rPr>
          <w:rFonts w:eastAsia="Times New Roman" w:cs="Arial"/>
          <w:sz w:val="22"/>
          <w:lang w:eastAsia="fr-FR"/>
        </w:rPr>
        <w:t xml:space="preserve"> Y</w:t>
      </w:r>
      <w:r w:rsidRPr="00D117F8">
        <w:rPr>
          <w:rFonts w:eastAsia="Times New Roman" w:cs="Arial"/>
          <w:sz w:val="22"/>
          <w:lang w:eastAsia="fr-FR"/>
        </w:rPr>
        <w:t xml:space="preserve"> débitrice envers le centre hospitalier de la somme de 6 800 235 FCFP augmentée des intérêts de droit calculés à compter de la date de la notification du réquisitoire du procureur financier à l’intéressée, soit du 12 janvier 2014 ;</w:t>
      </w:r>
    </w:p>
    <w:p w:rsidR="00505003" w:rsidRPr="00D117F8" w:rsidRDefault="0035741C" w:rsidP="00505003">
      <w:pPr>
        <w:spacing w:before="240" w:after="240" w:line="240" w:lineRule="auto"/>
        <w:jc w:val="both"/>
        <w:rPr>
          <w:rFonts w:eastAsia="Times New Roman" w:cs="Arial"/>
          <w:sz w:val="22"/>
          <w:lang w:eastAsia="fr-FR"/>
        </w:rPr>
      </w:pPr>
      <w:r w:rsidRPr="00D117F8">
        <w:rPr>
          <w:rFonts w:eastAsia="Times New Roman" w:cs="Arial"/>
          <w:sz w:val="22"/>
          <w:lang w:eastAsia="fr-FR"/>
        </w:rPr>
        <w:t xml:space="preserve">Attendu qu’en l’attente de la preuve de l’apurement de leur débet, </w:t>
      </w:r>
      <w:r w:rsidR="00B07238">
        <w:rPr>
          <w:rFonts w:eastAsia="Times New Roman" w:cs="Arial"/>
          <w:sz w:val="22"/>
          <w:lang w:eastAsia="fr-FR"/>
        </w:rPr>
        <w:t>M</w:t>
      </w:r>
      <w:r w:rsidR="00B07238" w:rsidRPr="00046F89">
        <w:rPr>
          <w:rFonts w:eastAsia="Times New Roman" w:cs="Arial"/>
          <w:sz w:val="22"/>
          <w:vertAlign w:val="superscript"/>
          <w:lang w:eastAsia="fr-FR"/>
        </w:rPr>
        <w:t>mes</w:t>
      </w:r>
      <w:r w:rsidR="00B07238">
        <w:rPr>
          <w:rFonts w:eastAsia="Times New Roman" w:cs="Arial"/>
          <w:sz w:val="22"/>
          <w:lang w:eastAsia="fr-FR"/>
        </w:rPr>
        <w:t xml:space="preserve"> X</w:t>
      </w:r>
      <w:r w:rsidRPr="00D117F8">
        <w:rPr>
          <w:rFonts w:eastAsia="Times New Roman" w:cs="Arial"/>
          <w:sz w:val="22"/>
          <w:lang w:eastAsia="fr-FR"/>
        </w:rPr>
        <w:t xml:space="preserve"> et </w:t>
      </w:r>
      <w:r w:rsidR="00B07238">
        <w:rPr>
          <w:rFonts w:eastAsia="Times New Roman" w:cs="Arial"/>
          <w:sz w:val="22"/>
          <w:lang w:eastAsia="fr-FR"/>
        </w:rPr>
        <w:t>Y</w:t>
      </w:r>
      <w:r w:rsidRPr="00D117F8">
        <w:rPr>
          <w:rFonts w:eastAsia="Times New Roman" w:cs="Arial"/>
          <w:sz w:val="22"/>
          <w:lang w:eastAsia="fr-FR"/>
        </w:rPr>
        <w:t xml:space="preserve"> ne peuvent être déchargées de leur gestion respective ;</w:t>
      </w:r>
      <w:r w:rsidR="000547FB" w:rsidRPr="00D117F8">
        <w:rPr>
          <w:rFonts w:eastAsia="Times New Roman" w:cs="Arial"/>
          <w:sz w:val="22"/>
          <w:lang w:eastAsia="fr-FR"/>
        </w:rPr>
        <w:t xml:space="preserve"> </w:t>
      </w:r>
    </w:p>
    <w:p w:rsidR="00160190" w:rsidRPr="00D117F8" w:rsidRDefault="00160190" w:rsidP="00160190">
      <w:pPr>
        <w:spacing w:before="240" w:after="240" w:line="240" w:lineRule="auto"/>
        <w:jc w:val="both"/>
        <w:rPr>
          <w:rFonts w:eastAsia="Times New Roman" w:cs="Arial"/>
          <w:sz w:val="22"/>
          <w:lang w:eastAsia="fr-FR"/>
        </w:rPr>
      </w:pPr>
    </w:p>
    <w:p w:rsidR="004A5786" w:rsidRPr="00D117F8" w:rsidRDefault="002F66D6" w:rsidP="004A5786">
      <w:pPr>
        <w:spacing w:before="240" w:after="240" w:line="240" w:lineRule="auto"/>
        <w:jc w:val="both"/>
        <w:rPr>
          <w:rFonts w:eastAsia="Times New Roman" w:cs="Arial"/>
          <w:sz w:val="22"/>
          <w:lang w:eastAsia="fr-FR"/>
        </w:rPr>
      </w:pPr>
      <w:r w:rsidRPr="00D117F8">
        <w:rPr>
          <w:rFonts w:eastAsia="Times New Roman" w:cs="Arial"/>
          <w:sz w:val="22"/>
          <w:lang w:eastAsia="fr-FR"/>
        </w:rPr>
        <w:t>Par ces motifs,</w:t>
      </w:r>
    </w:p>
    <w:p w:rsidR="004A5786" w:rsidRPr="00D117F8" w:rsidRDefault="002F66D6" w:rsidP="004A5786">
      <w:pPr>
        <w:spacing w:before="240" w:after="240" w:line="240" w:lineRule="auto"/>
        <w:jc w:val="center"/>
        <w:rPr>
          <w:rFonts w:eastAsia="Times New Roman" w:cs="Arial"/>
          <w:sz w:val="22"/>
          <w:lang w:eastAsia="fr-FR"/>
        </w:rPr>
      </w:pPr>
      <w:r w:rsidRPr="00D117F8">
        <w:rPr>
          <w:rFonts w:eastAsia="Times New Roman" w:cs="Arial"/>
          <w:b/>
          <w:sz w:val="22"/>
          <w:lang w:eastAsia="fr-FR"/>
        </w:rPr>
        <w:t>DECIDE</w:t>
      </w:r>
      <w:r w:rsidRPr="00D117F8">
        <w:rPr>
          <w:rFonts w:eastAsia="Times New Roman" w:cs="Arial"/>
          <w:sz w:val="22"/>
          <w:lang w:eastAsia="fr-FR"/>
        </w:rPr>
        <w:t> :</w:t>
      </w:r>
    </w:p>
    <w:p w:rsidR="004A5786" w:rsidRPr="00D117F8" w:rsidRDefault="004A5786" w:rsidP="004A5786">
      <w:pPr>
        <w:spacing w:before="240" w:after="240" w:line="240" w:lineRule="auto"/>
        <w:jc w:val="both"/>
        <w:rPr>
          <w:rFonts w:eastAsia="Times New Roman" w:cs="Arial"/>
          <w:sz w:val="22"/>
          <w:lang w:eastAsia="fr-FR"/>
        </w:rPr>
      </w:pPr>
    </w:p>
    <w:p w:rsidR="004A5786" w:rsidRPr="00D117F8" w:rsidRDefault="002F66D6" w:rsidP="004A5786">
      <w:pPr>
        <w:spacing w:before="240" w:after="240" w:line="240" w:lineRule="auto"/>
        <w:jc w:val="both"/>
        <w:rPr>
          <w:rFonts w:eastAsia="Times New Roman" w:cs="Arial"/>
          <w:sz w:val="22"/>
          <w:lang w:eastAsia="fr-FR"/>
        </w:rPr>
      </w:pPr>
      <w:r w:rsidRPr="00D117F8">
        <w:rPr>
          <w:rFonts w:eastAsia="Times New Roman" w:cs="Arial"/>
          <w:b/>
          <w:sz w:val="22"/>
          <w:lang w:eastAsia="fr-FR"/>
        </w:rPr>
        <w:t>Article 1</w:t>
      </w:r>
      <w:r w:rsidRPr="00D117F8">
        <w:rPr>
          <w:rFonts w:eastAsia="Times New Roman" w:cs="Arial"/>
          <w:b/>
          <w:sz w:val="22"/>
          <w:vertAlign w:val="superscript"/>
          <w:lang w:eastAsia="fr-FR"/>
        </w:rPr>
        <w:t>er</w:t>
      </w:r>
      <w:r w:rsidRPr="00D117F8">
        <w:rPr>
          <w:rFonts w:eastAsia="Times New Roman" w:cs="Arial"/>
          <w:b/>
          <w:sz w:val="22"/>
          <w:lang w:eastAsia="fr-FR"/>
        </w:rPr>
        <w:t> </w:t>
      </w:r>
      <w:r w:rsidRPr="00D117F8">
        <w:rPr>
          <w:rFonts w:eastAsia="Times New Roman" w:cs="Arial"/>
          <w:sz w:val="22"/>
          <w:lang w:eastAsia="fr-FR"/>
        </w:rPr>
        <w:t>-</w:t>
      </w:r>
      <w:r w:rsidRPr="00D117F8">
        <w:rPr>
          <w:rFonts w:eastAsia="Times New Roman" w:cs="Arial"/>
          <w:b/>
          <w:sz w:val="22"/>
          <w:lang w:eastAsia="fr-FR"/>
        </w:rPr>
        <w:t> </w:t>
      </w:r>
      <w:r w:rsidRPr="00D117F8">
        <w:rPr>
          <w:rFonts w:eastAsia="Times New Roman" w:cs="Arial"/>
          <w:sz w:val="22"/>
          <w:lang w:eastAsia="fr-FR"/>
        </w:rPr>
        <w:t xml:space="preserve">Le jugement </w:t>
      </w:r>
      <w:r w:rsidR="0055326E" w:rsidRPr="00D117F8">
        <w:rPr>
          <w:rFonts w:eastAsia="Times New Roman" w:cs="Arial"/>
          <w:sz w:val="22"/>
          <w:lang w:eastAsia="fr-FR"/>
        </w:rPr>
        <w:t xml:space="preserve">n° 2014-0004 du 12 août 2014 de la chambre territoriale des comptes de </w:t>
      </w:r>
      <w:r w:rsidR="00C12C04">
        <w:rPr>
          <w:rFonts w:eastAsia="Times New Roman" w:cs="Arial"/>
          <w:sz w:val="22"/>
          <w:lang w:eastAsia="fr-FR"/>
        </w:rPr>
        <w:t xml:space="preserve">la </w:t>
      </w:r>
      <w:r w:rsidR="0055326E" w:rsidRPr="00D117F8">
        <w:rPr>
          <w:rFonts w:eastAsia="Times New Roman" w:cs="Arial"/>
          <w:sz w:val="22"/>
          <w:lang w:eastAsia="fr-FR"/>
        </w:rPr>
        <w:t xml:space="preserve">Polynésie française </w:t>
      </w:r>
      <w:r w:rsidRPr="00D117F8">
        <w:rPr>
          <w:rFonts w:eastAsia="Times New Roman" w:cs="Arial"/>
          <w:sz w:val="22"/>
          <w:lang w:eastAsia="fr-FR"/>
        </w:rPr>
        <w:t>est annulé</w:t>
      </w:r>
      <w:r w:rsidR="0055326E" w:rsidRPr="00D117F8">
        <w:rPr>
          <w:rFonts w:eastAsia="Times New Roman" w:cs="Arial"/>
          <w:sz w:val="22"/>
          <w:lang w:eastAsia="fr-FR"/>
        </w:rPr>
        <w:t>.</w:t>
      </w:r>
      <w:r w:rsidRPr="00D117F8">
        <w:rPr>
          <w:rFonts w:eastAsia="Times New Roman" w:cs="Arial"/>
          <w:sz w:val="22"/>
          <w:lang w:eastAsia="fr-FR"/>
        </w:rPr>
        <w:t xml:space="preserve"> </w:t>
      </w:r>
      <w:r w:rsidR="00E92E18" w:rsidRPr="00D117F8">
        <w:rPr>
          <w:rFonts w:eastAsia="Times New Roman" w:cs="Arial"/>
          <w:sz w:val="22"/>
          <w:lang w:eastAsia="fr-FR"/>
        </w:rPr>
        <w:t> </w:t>
      </w:r>
    </w:p>
    <w:p w:rsidR="0055326E" w:rsidRPr="00D117F8" w:rsidRDefault="002F66D6" w:rsidP="004A5786">
      <w:pPr>
        <w:spacing w:before="240" w:after="240" w:line="240" w:lineRule="auto"/>
        <w:jc w:val="both"/>
        <w:rPr>
          <w:rFonts w:eastAsia="Times New Roman" w:cs="Arial"/>
          <w:sz w:val="22"/>
          <w:lang w:eastAsia="fr-FR"/>
        </w:rPr>
      </w:pPr>
      <w:r w:rsidRPr="00D117F8">
        <w:rPr>
          <w:rFonts w:eastAsia="Times New Roman" w:cs="Arial"/>
          <w:b/>
          <w:sz w:val="22"/>
          <w:lang w:eastAsia="fr-FR"/>
        </w:rPr>
        <w:lastRenderedPageBreak/>
        <w:t>Article 2 </w:t>
      </w:r>
      <w:r w:rsidR="0055326E" w:rsidRPr="00D117F8">
        <w:rPr>
          <w:rFonts w:eastAsia="Times New Roman" w:cs="Arial"/>
          <w:sz w:val="22"/>
          <w:lang w:eastAsia="fr-FR"/>
        </w:rPr>
        <w:t>–</w:t>
      </w:r>
      <w:r w:rsidRPr="00D117F8">
        <w:rPr>
          <w:rFonts w:eastAsia="Times New Roman" w:cs="Arial"/>
          <w:sz w:val="22"/>
          <w:lang w:eastAsia="fr-FR"/>
        </w:rPr>
        <w:t xml:space="preserve"> </w:t>
      </w:r>
      <w:r w:rsidR="00B07238">
        <w:rPr>
          <w:rFonts w:eastAsia="Times New Roman" w:cs="Arial"/>
          <w:sz w:val="22"/>
          <w:lang w:eastAsia="fr-FR"/>
        </w:rPr>
        <w:t>M</w:t>
      </w:r>
      <w:r w:rsidR="00B07238" w:rsidRPr="00046F89">
        <w:rPr>
          <w:rFonts w:eastAsia="Times New Roman" w:cs="Arial"/>
          <w:sz w:val="22"/>
          <w:vertAlign w:val="superscript"/>
          <w:lang w:eastAsia="fr-FR"/>
        </w:rPr>
        <w:t>me</w:t>
      </w:r>
      <w:r w:rsidR="00B07238">
        <w:rPr>
          <w:rFonts w:eastAsia="Times New Roman" w:cs="Arial"/>
          <w:sz w:val="22"/>
          <w:lang w:eastAsia="fr-FR"/>
        </w:rPr>
        <w:t xml:space="preserve"> X</w:t>
      </w:r>
      <w:r w:rsidR="0055326E" w:rsidRPr="00D117F8">
        <w:rPr>
          <w:rFonts w:eastAsia="Times New Roman" w:cs="Arial"/>
          <w:sz w:val="22"/>
          <w:lang w:eastAsia="fr-FR"/>
        </w:rPr>
        <w:t xml:space="preserve"> est constituée débitrice envers le centre hospitalier de la Polynésie française de la somme de 8 539 483 FCFP augmentée des intérêts de droit calculés à compter du 1</w:t>
      </w:r>
      <w:r w:rsidR="0055326E" w:rsidRPr="00A50188">
        <w:rPr>
          <w:rFonts w:eastAsia="Times New Roman" w:cs="Arial"/>
          <w:sz w:val="22"/>
          <w:vertAlign w:val="superscript"/>
          <w:lang w:eastAsia="fr-FR"/>
        </w:rPr>
        <w:t>er</w:t>
      </w:r>
      <w:r w:rsidR="0055326E" w:rsidRPr="00D117F8">
        <w:rPr>
          <w:rFonts w:eastAsia="Times New Roman" w:cs="Arial"/>
          <w:sz w:val="22"/>
          <w:lang w:eastAsia="fr-FR"/>
        </w:rPr>
        <w:t xml:space="preserve"> avril 2014.</w:t>
      </w:r>
    </w:p>
    <w:p w:rsidR="00233D12" w:rsidRPr="00D117F8" w:rsidRDefault="0055326E" w:rsidP="004A5786">
      <w:pPr>
        <w:spacing w:before="240" w:after="240" w:line="240" w:lineRule="auto"/>
        <w:jc w:val="both"/>
        <w:rPr>
          <w:rFonts w:eastAsia="Times New Roman" w:cs="Arial"/>
          <w:sz w:val="22"/>
          <w:lang w:eastAsia="fr-FR"/>
        </w:rPr>
      </w:pPr>
      <w:r w:rsidRPr="009011F2">
        <w:rPr>
          <w:rFonts w:eastAsia="Times New Roman" w:cs="Arial"/>
          <w:b/>
          <w:sz w:val="22"/>
          <w:lang w:eastAsia="fr-FR"/>
        </w:rPr>
        <w:t>Article 3</w:t>
      </w:r>
      <w:r w:rsidRPr="00D117F8">
        <w:rPr>
          <w:rFonts w:eastAsia="Times New Roman" w:cs="Arial"/>
          <w:sz w:val="22"/>
          <w:lang w:eastAsia="fr-FR"/>
        </w:rPr>
        <w:t xml:space="preserve"> </w:t>
      </w:r>
      <w:r w:rsidR="00233D12" w:rsidRPr="00D117F8">
        <w:rPr>
          <w:rFonts w:eastAsia="Times New Roman" w:cs="Arial"/>
          <w:sz w:val="22"/>
          <w:lang w:eastAsia="fr-FR"/>
        </w:rPr>
        <w:t>–</w:t>
      </w:r>
      <w:r w:rsidRPr="00D117F8">
        <w:rPr>
          <w:rFonts w:eastAsia="Times New Roman" w:cs="Arial"/>
          <w:sz w:val="22"/>
          <w:lang w:eastAsia="fr-FR"/>
        </w:rPr>
        <w:t xml:space="preserve"> </w:t>
      </w:r>
      <w:r w:rsidR="00B07238">
        <w:rPr>
          <w:rFonts w:eastAsia="Times New Roman" w:cs="Arial"/>
          <w:sz w:val="22"/>
          <w:lang w:eastAsia="fr-FR"/>
        </w:rPr>
        <w:t>M</w:t>
      </w:r>
      <w:r w:rsidR="00B07238" w:rsidRPr="00046F89">
        <w:rPr>
          <w:rFonts w:eastAsia="Times New Roman" w:cs="Arial"/>
          <w:sz w:val="22"/>
          <w:vertAlign w:val="superscript"/>
          <w:lang w:eastAsia="fr-FR"/>
        </w:rPr>
        <w:t>me</w:t>
      </w:r>
      <w:r w:rsidR="00B07238">
        <w:rPr>
          <w:rFonts w:eastAsia="Times New Roman" w:cs="Arial"/>
          <w:sz w:val="22"/>
          <w:lang w:eastAsia="fr-FR"/>
        </w:rPr>
        <w:t xml:space="preserve"> Y</w:t>
      </w:r>
      <w:r w:rsidR="007D6588" w:rsidRPr="00D117F8">
        <w:rPr>
          <w:rFonts w:eastAsia="Times New Roman" w:cs="Arial"/>
          <w:sz w:val="22"/>
          <w:lang w:eastAsia="fr-FR"/>
        </w:rPr>
        <w:t xml:space="preserve"> </w:t>
      </w:r>
      <w:r w:rsidR="00233D12" w:rsidRPr="00D117F8">
        <w:rPr>
          <w:rFonts w:eastAsia="Times New Roman" w:cs="Arial"/>
          <w:sz w:val="22"/>
          <w:lang w:eastAsia="fr-FR"/>
        </w:rPr>
        <w:t>est constituée débitrice envers le centre hospitalier de la Polynésie française de la somme de 6 800 235 FCFP augmentée des intérêts de droit calculés à compter du 12 janvier 2014.</w:t>
      </w:r>
    </w:p>
    <w:p w:rsidR="004A5786" w:rsidRPr="00D117F8" w:rsidRDefault="00233D12" w:rsidP="004A5786">
      <w:pPr>
        <w:spacing w:before="240" w:after="240" w:line="240" w:lineRule="auto"/>
        <w:jc w:val="both"/>
        <w:rPr>
          <w:rFonts w:eastAsia="Times New Roman" w:cs="Arial"/>
          <w:sz w:val="22"/>
          <w:lang w:eastAsia="fr-FR"/>
        </w:rPr>
      </w:pPr>
      <w:r w:rsidRPr="009011F2">
        <w:rPr>
          <w:rFonts w:eastAsia="Times New Roman" w:cs="Arial"/>
          <w:b/>
          <w:sz w:val="22"/>
          <w:lang w:eastAsia="fr-FR"/>
        </w:rPr>
        <w:t>Article 4</w:t>
      </w:r>
      <w:r w:rsidRPr="00D117F8">
        <w:rPr>
          <w:rFonts w:eastAsia="Times New Roman" w:cs="Arial"/>
          <w:sz w:val="22"/>
          <w:lang w:eastAsia="fr-FR"/>
        </w:rPr>
        <w:t xml:space="preserve"> – </w:t>
      </w:r>
      <w:r w:rsidR="00B07238">
        <w:rPr>
          <w:rFonts w:eastAsia="Times New Roman" w:cs="Arial"/>
          <w:sz w:val="22"/>
          <w:lang w:eastAsia="fr-FR"/>
        </w:rPr>
        <w:t>M</w:t>
      </w:r>
      <w:r w:rsidR="00B07238" w:rsidRPr="00046F89">
        <w:rPr>
          <w:rFonts w:eastAsia="Times New Roman" w:cs="Arial"/>
          <w:sz w:val="22"/>
          <w:vertAlign w:val="superscript"/>
          <w:lang w:eastAsia="fr-FR"/>
        </w:rPr>
        <w:t>mes</w:t>
      </w:r>
      <w:r w:rsidR="00B07238">
        <w:rPr>
          <w:rFonts w:eastAsia="Times New Roman" w:cs="Arial"/>
          <w:sz w:val="22"/>
          <w:lang w:eastAsia="fr-FR"/>
        </w:rPr>
        <w:t xml:space="preserve"> X</w:t>
      </w:r>
      <w:r w:rsidRPr="00D117F8">
        <w:rPr>
          <w:rFonts w:eastAsia="Times New Roman" w:cs="Arial"/>
          <w:sz w:val="22"/>
          <w:lang w:eastAsia="fr-FR"/>
        </w:rPr>
        <w:t xml:space="preserve"> et </w:t>
      </w:r>
      <w:r w:rsidR="00B07238">
        <w:rPr>
          <w:rFonts w:eastAsia="Times New Roman" w:cs="Arial"/>
          <w:sz w:val="22"/>
          <w:lang w:eastAsia="fr-FR"/>
        </w:rPr>
        <w:t>Y</w:t>
      </w:r>
      <w:r w:rsidRPr="00D117F8">
        <w:rPr>
          <w:rFonts w:eastAsia="Times New Roman" w:cs="Arial"/>
          <w:sz w:val="22"/>
          <w:lang w:eastAsia="fr-FR"/>
        </w:rPr>
        <w:t xml:space="preserve"> ne peuvent être déchargées de leur gestion respective en l’attente de l’apurement des sommes mises à leur charge.</w:t>
      </w:r>
    </w:p>
    <w:p w:rsidR="004A5786" w:rsidRPr="00D117F8" w:rsidRDefault="002F66D6" w:rsidP="004A5786">
      <w:pPr>
        <w:tabs>
          <w:tab w:val="center" w:pos="5245"/>
        </w:tabs>
        <w:spacing w:before="120" w:after="360" w:line="240" w:lineRule="auto"/>
        <w:jc w:val="center"/>
        <w:rPr>
          <w:rFonts w:eastAsia="Times New Roman" w:cs="Arial"/>
          <w:sz w:val="22"/>
          <w:lang w:eastAsia="fr-FR"/>
        </w:rPr>
      </w:pPr>
      <w:r w:rsidRPr="00D117F8">
        <w:rPr>
          <w:rFonts w:eastAsia="Times New Roman" w:cs="Arial"/>
          <w:sz w:val="22"/>
          <w:lang w:eastAsia="fr-FR"/>
        </w:rPr>
        <w:t>------------</w:t>
      </w:r>
    </w:p>
    <w:p w:rsidR="004A5786" w:rsidRPr="00D117F8" w:rsidRDefault="002F66D6" w:rsidP="004A5786">
      <w:pPr>
        <w:spacing w:before="120" w:after="360"/>
        <w:jc w:val="both"/>
        <w:rPr>
          <w:rFonts w:cs="Arial"/>
          <w:sz w:val="22"/>
        </w:rPr>
      </w:pPr>
      <w:r w:rsidRPr="00D117F8">
        <w:rPr>
          <w:rFonts w:cs="Arial"/>
          <w:sz w:val="22"/>
        </w:rPr>
        <w:t>Fait et jugé en la Cour des comptes, quatrième chambre, première section. Présents : M. Jean-Philippe VACHIA, président de chambre, président de la formation, M. Yves ROLLAND, conseiller maître, président de section, M</w:t>
      </w:r>
      <w:r w:rsidRPr="00046F89">
        <w:rPr>
          <w:rFonts w:cs="Arial"/>
          <w:sz w:val="22"/>
          <w:vertAlign w:val="superscript"/>
        </w:rPr>
        <w:t>me</w:t>
      </w:r>
      <w:r w:rsidRPr="00D117F8">
        <w:rPr>
          <w:rFonts w:cs="Arial"/>
          <w:sz w:val="22"/>
        </w:rPr>
        <w:t xml:space="preserve"> Anne FROMENT-MEURICE, présidente de chambre maintenue en activité, MM. Gérard GANSER, Jean-Pierre LAFAURE, Jean-Yves BERTUCCI, conseillers maîtres, M</w:t>
      </w:r>
      <w:bookmarkStart w:id="0" w:name="_GoBack"/>
      <w:r w:rsidRPr="00046F89">
        <w:rPr>
          <w:rFonts w:cs="Arial"/>
          <w:sz w:val="22"/>
          <w:vertAlign w:val="superscript"/>
        </w:rPr>
        <w:t>me</w:t>
      </w:r>
      <w:bookmarkEnd w:id="0"/>
      <w:r w:rsidRPr="00D117F8">
        <w:rPr>
          <w:rFonts w:cs="Arial"/>
          <w:sz w:val="22"/>
        </w:rPr>
        <w:t xml:space="preserve"> Isabelle LATOURNARIE-WILLEMS, conseillère maître.</w:t>
      </w:r>
    </w:p>
    <w:p w:rsidR="004A5786" w:rsidRPr="00D117F8" w:rsidRDefault="002F66D6" w:rsidP="004A5786">
      <w:pPr>
        <w:tabs>
          <w:tab w:val="center" w:pos="4536"/>
          <w:tab w:val="right" w:pos="9072"/>
        </w:tabs>
        <w:spacing w:before="120" w:after="360" w:line="240" w:lineRule="auto"/>
        <w:jc w:val="both"/>
        <w:rPr>
          <w:rFonts w:eastAsia="Times New Roman" w:cs="Arial"/>
          <w:sz w:val="22"/>
          <w:lang w:eastAsia="fr-FR"/>
        </w:rPr>
      </w:pPr>
      <w:r w:rsidRPr="00D117F8">
        <w:rPr>
          <w:rFonts w:eastAsia="Times New Roman" w:cs="Arial"/>
          <w:sz w:val="22"/>
          <w:lang w:eastAsia="fr-FR"/>
        </w:rPr>
        <w:t xml:space="preserve">En présence de Mme </w:t>
      </w:r>
      <w:r w:rsidR="00C12C04">
        <w:rPr>
          <w:rFonts w:eastAsia="Times New Roman" w:cs="Arial"/>
          <w:sz w:val="22"/>
          <w:lang w:eastAsia="fr-FR"/>
        </w:rPr>
        <w:t xml:space="preserve">Valérie Guedj, </w:t>
      </w:r>
      <w:r w:rsidRPr="00D117F8">
        <w:rPr>
          <w:rFonts w:eastAsia="Times New Roman" w:cs="Arial"/>
          <w:sz w:val="22"/>
          <w:lang w:eastAsia="fr-FR"/>
        </w:rPr>
        <w:t>greffière de séance.</w:t>
      </w:r>
    </w:p>
    <w:p w:rsidR="004A5786" w:rsidRPr="00D117F8" w:rsidRDefault="004A5786" w:rsidP="004A5786">
      <w:pPr>
        <w:tabs>
          <w:tab w:val="center" w:pos="4536"/>
          <w:tab w:val="right" w:pos="9072"/>
        </w:tabs>
        <w:spacing w:line="240" w:lineRule="auto"/>
        <w:jc w:val="both"/>
        <w:rPr>
          <w:rFonts w:eastAsia="Times New Roman" w:cs="Arial"/>
          <w:sz w:val="22"/>
          <w:lang w:eastAsia="fr-FR"/>
        </w:rPr>
      </w:pPr>
    </w:p>
    <w:p w:rsidR="004A5786" w:rsidRPr="00D117F8" w:rsidRDefault="004A5786" w:rsidP="004A5786">
      <w:pPr>
        <w:tabs>
          <w:tab w:val="center" w:pos="4536"/>
          <w:tab w:val="right" w:pos="9072"/>
        </w:tabs>
        <w:spacing w:line="240" w:lineRule="auto"/>
        <w:jc w:val="both"/>
        <w:rPr>
          <w:rFonts w:eastAsia="Times New Roman" w:cs="Arial"/>
          <w:sz w:val="22"/>
          <w:lang w:eastAsia="fr-FR"/>
        </w:rPr>
      </w:pPr>
    </w:p>
    <w:p w:rsidR="004A5786" w:rsidRPr="00D117F8" w:rsidRDefault="004A5786" w:rsidP="004A5786">
      <w:pPr>
        <w:tabs>
          <w:tab w:val="center" w:pos="4536"/>
          <w:tab w:val="right" w:pos="9072"/>
        </w:tabs>
        <w:spacing w:line="240" w:lineRule="auto"/>
        <w:jc w:val="both"/>
        <w:rPr>
          <w:rFonts w:eastAsia="Times New Roman" w:cs="Arial"/>
          <w:sz w:val="22"/>
          <w:lang w:eastAsia="fr-FR"/>
        </w:rPr>
      </w:pPr>
    </w:p>
    <w:p w:rsidR="004A5786" w:rsidRPr="00D117F8" w:rsidRDefault="004A5786" w:rsidP="004A5786">
      <w:pPr>
        <w:tabs>
          <w:tab w:val="center" w:pos="4536"/>
          <w:tab w:val="right" w:pos="9072"/>
        </w:tabs>
        <w:spacing w:line="240" w:lineRule="auto"/>
        <w:jc w:val="both"/>
        <w:rPr>
          <w:rFonts w:eastAsia="Times New Roman" w:cs="Arial"/>
          <w:sz w:val="22"/>
          <w:lang w:eastAsia="fr-FR"/>
        </w:rPr>
      </w:pPr>
    </w:p>
    <w:p w:rsidR="004A5786" w:rsidRPr="00D117F8" w:rsidRDefault="004A5786" w:rsidP="004A5786">
      <w:pPr>
        <w:tabs>
          <w:tab w:val="center" w:pos="4536"/>
          <w:tab w:val="right" w:pos="9072"/>
        </w:tabs>
        <w:spacing w:line="240" w:lineRule="auto"/>
        <w:jc w:val="both"/>
        <w:rPr>
          <w:rFonts w:eastAsia="Times New Roman" w:cs="Arial"/>
          <w:sz w:val="22"/>
          <w:lang w:eastAsia="fr-FR"/>
        </w:rPr>
      </w:pPr>
    </w:p>
    <w:p w:rsidR="004A5786" w:rsidRPr="00D117F8" w:rsidRDefault="004A5786" w:rsidP="004A5786">
      <w:pPr>
        <w:tabs>
          <w:tab w:val="center" w:pos="4536"/>
          <w:tab w:val="right" w:pos="9072"/>
        </w:tabs>
        <w:spacing w:line="240" w:lineRule="auto"/>
        <w:jc w:val="both"/>
        <w:rPr>
          <w:rFonts w:eastAsia="Times New Roman" w:cs="Arial"/>
          <w:sz w:val="22"/>
          <w:lang w:eastAsia="fr-FR"/>
        </w:rPr>
      </w:pPr>
    </w:p>
    <w:tbl>
      <w:tblPr>
        <w:tblW w:w="0" w:type="auto"/>
        <w:tblInd w:w="34" w:type="dxa"/>
        <w:tblLook w:val="00A0" w:firstRow="1" w:lastRow="0" w:firstColumn="1" w:lastColumn="0" w:noHBand="0" w:noVBand="0"/>
      </w:tblPr>
      <w:tblGrid>
        <w:gridCol w:w="4627"/>
        <w:gridCol w:w="4625"/>
      </w:tblGrid>
      <w:tr w:rsidR="004A5786" w:rsidRPr="00D117F8" w:rsidTr="004A5786">
        <w:tc>
          <w:tcPr>
            <w:tcW w:w="4701" w:type="dxa"/>
          </w:tcPr>
          <w:p w:rsidR="004A5786" w:rsidRPr="00D117F8" w:rsidRDefault="004A5786" w:rsidP="004A5786">
            <w:pPr>
              <w:tabs>
                <w:tab w:val="center" w:pos="4536"/>
                <w:tab w:val="right" w:pos="9072"/>
              </w:tabs>
              <w:spacing w:line="240" w:lineRule="auto"/>
              <w:jc w:val="center"/>
              <w:rPr>
                <w:rFonts w:eastAsia="Times New Roman" w:cs="Arial"/>
                <w:b/>
                <w:sz w:val="22"/>
                <w:lang w:eastAsia="fr-FR"/>
              </w:rPr>
            </w:pPr>
          </w:p>
          <w:p w:rsidR="004A5786" w:rsidRPr="00D117F8" w:rsidRDefault="004A5786" w:rsidP="004A5786">
            <w:pPr>
              <w:tabs>
                <w:tab w:val="center" w:pos="4536"/>
                <w:tab w:val="right" w:pos="9072"/>
              </w:tabs>
              <w:spacing w:line="240" w:lineRule="auto"/>
              <w:jc w:val="center"/>
              <w:rPr>
                <w:rFonts w:eastAsia="Times New Roman" w:cs="Arial"/>
                <w:b/>
                <w:sz w:val="22"/>
                <w:lang w:eastAsia="fr-FR"/>
              </w:rPr>
            </w:pPr>
          </w:p>
          <w:p w:rsidR="004A5786" w:rsidRPr="00D117F8" w:rsidRDefault="004A5786" w:rsidP="004A5786">
            <w:pPr>
              <w:tabs>
                <w:tab w:val="center" w:pos="4536"/>
                <w:tab w:val="right" w:pos="9072"/>
              </w:tabs>
              <w:spacing w:line="240" w:lineRule="auto"/>
              <w:jc w:val="center"/>
              <w:rPr>
                <w:rFonts w:eastAsia="Times New Roman" w:cs="Arial"/>
                <w:b/>
                <w:sz w:val="22"/>
                <w:lang w:eastAsia="fr-FR"/>
              </w:rPr>
            </w:pPr>
          </w:p>
          <w:p w:rsidR="004A5786" w:rsidRPr="00D117F8" w:rsidRDefault="00C12C04" w:rsidP="004A5786">
            <w:pPr>
              <w:tabs>
                <w:tab w:val="right" w:pos="9072"/>
              </w:tabs>
              <w:spacing w:line="240" w:lineRule="auto"/>
              <w:jc w:val="center"/>
              <w:rPr>
                <w:rFonts w:eastAsia="Times New Roman" w:cs="Arial"/>
                <w:b/>
                <w:sz w:val="22"/>
                <w:vertAlign w:val="subscript"/>
                <w:lang w:eastAsia="fr-FR"/>
              </w:rPr>
            </w:pPr>
            <w:r>
              <w:rPr>
                <w:rFonts w:cs="Arial"/>
                <w:b/>
                <w:sz w:val="22"/>
              </w:rPr>
              <w:t>Valérie G</w:t>
            </w:r>
            <w:r w:rsidR="00F03C54">
              <w:rPr>
                <w:rFonts w:cs="Arial"/>
                <w:b/>
                <w:sz w:val="22"/>
              </w:rPr>
              <w:t>UEDJ</w:t>
            </w:r>
          </w:p>
          <w:p w:rsidR="004A5786" w:rsidRPr="00D117F8" w:rsidRDefault="004A5786" w:rsidP="004A5786">
            <w:pPr>
              <w:tabs>
                <w:tab w:val="center" w:pos="4536"/>
                <w:tab w:val="right" w:pos="9072"/>
              </w:tabs>
              <w:spacing w:line="240" w:lineRule="auto"/>
              <w:jc w:val="center"/>
              <w:rPr>
                <w:rFonts w:eastAsia="Times New Roman" w:cs="Arial"/>
                <w:b/>
                <w:sz w:val="22"/>
                <w:lang w:eastAsia="fr-FR"/>
              </w:rPr>
            </w:pPr>
          </w:p>
          <w:p w:rsidR="004A5786" w:rsidRPr="00D117F8" w:rsidRDefault="004A5786" w:rsidP="004A5786">
            <w:pPr>
              <w:tabs>
                <w:tab w:val="center" w:pos="4536"/>
                <w:tab w:val="right" w:pos="9072"/>
              </w:tabs>
              <w:jc w:val="center"/>
              <w:rPr>
                <w:rFonts w:eastAsia="Times New Roman" w:cs="Arial"/>
                <w:b/>
                <w:sz w:val="22"/>
                <w:lang w:eastAsia="fr-FR"/>
              </w:rPr>
            </w:pPr>
          </w:p>
        </w:tc>
        <w:tc>
          <w:tcPr>
            <w:tcW w:w="4696" w:type="dxa"/>
          </w:tcPr>
          <w:p w:rsidR="004A5786" w:rsidRPr="00D117F8" w:rsidRDefault="004A5786" w:rsidP="004A5786">
            <w:pPr>
              <w:tabs>
                <w:tab w:val="center" w:pos="4536"/>
                <w:tab w:val="right" w:pos="9072"/>
              </w:tabs>
              <w:spacing w:line="240" w:lineRule="auto"/>
              <w:jc w:val="center"/>
              <w:rPr>
                <w:rFonts w:eastAsia="Times New Roman" w:cs="Arial"/>
                <w:b/>
                <w:sz w:val="22"/>
                <w:lang w:eastAsia="fr-FR"/>
              </w:rPr>
            </w:pPr>
          </w:p>
          <w:p w:rsidR="004A5786" w:rsidRPr="00D117F8" w:rsidRDefault="004A5786" w:rsidP="004A5786">
            <w:pPr>
              <w:tabs>
                <w:tab w:val="center" w:pos="4536"/>
                <w:tab w:val="right" w:pos="9072"/>
              </w:tabs>
              <w:spacing w:line="240" w:lineRule="auto"/>
              <w:jc w:val="center"/>
              <w:rPr>
                <w:rFonts w:eastAsia="Times New Roman" w:cs="Arial"/>
                <w:b/>
                <w:sz w:val="22"/>
                <w:lang w:eastAsia="fr-FR"/>
              </w:rPr>
            </w:pPr>
          </w:p>
          <w:p w:rsidR="004A5786" w:rsidRPr="00D117F8" w:rsidRDefault="004A5786" w:rsidP="004A5786">
            <w:pPr>
              <w:tabs>
                <w:tab w:val="center" w:pos="4536"/>
                <w:tab w:val="right" w:pos="9072"/>
              </w:tabs>
              <w:spacing w:line="240" w:lineRule="auto"/>
              <w:jc w:val="center"/>
              <w:rPr>
                <w:rFonts w:eastAsia="Times New Roman" w:cs="Arial"/>
                <w:b/>
                <w:sz w:val="22"/>
                <w:lang w:eastAsia="fr-FR"/>
              </w:rPr>
            </w:pPr>
          </w:p>
          <w:p w:rsidR="004A5786" w:rsidRPr="00D117F8" w:rsidRDefault="002F66D6" w:rsidP="004A5786">
            <w:pPr>
              <w:tabs>
                <w:tab w:val="center" w:pos="4536"/>
                <w:tab w:val="right" w:pos="9072"/>
              </w:tabs>
              <w:spacing w:line="240" w:lineRule="auto"/>
              <w:jc w:val="center"/>
              <w:rPr>
                <w:rFonts w:eastAsia="Times New Roman" w:cs="Arial"/>
                <w:b/>
                <w:sz w:val="22"/>
                <w:lang w:eastAsia="fr-FR"/>
              </w:rPr>
            </w:pPr>
            <w:r w:rsidRPr="00D117F8">
              <w:rPr>
                <w:rFonts w:eastAsia="Times New Roman" w:cs="Arial"/>
                <w:b/>
                <w:sz w:val="22"/>
                <w:lang w:eastAsia="fr-FR"/>
              </w:rPr>
              <w:t xml:space="preserve">Jean-Philippe VACHIA </w:t>
            </w:r>
          </w:p>
          <w:p w:rsidR="004A5786" w:rsidRPr="00D117F8" w:rsidRDefault="004A5786" w:rsidP="004A5786">
            <w:pPr>
              <w:tabs>
                <w:tab w:val="center" w:pos="4536"/>
                <w:tab w:val="right" w:pos="9072"/>
              </w:tabs>
              <w:jc w:val="center"/>
              <w:rPr>
                <w:rFonts w:eastAsia="Times New Roman" w:cs="Arial"/>
                <w:b/>
                <w:sz w:val="22"/>
                <w:lang w:eastAsia="fr-FR"/>
              </w:rPr>
            </w:pPr>
          </w:p>
        </w:tc>
      </w:tr>
    </w:tbl>
    <w:p w:rsidR="004A5786" w:rsidRPr="00D117F8" w:rsidRDefault="004A5786" w:rsidP="004A5786">
      <w:pPr>
        <w:tabs>
          <w:tab w:val="center" w:pos="4536"/>
          <w:tab w:val="right" w:pos="9072"/>
        </w:tabs>
        <w:spacing w:line="240" w:lineRule="auto"/>
        <w:jc w:val="both"/>
        <w:rPr>
          <w:rFonts w:eastAsia="Times New Roman" w:cs="Arial"/>
          <w:sz w:val="22"/>
          <w:lang w:eastAsia="fr-FR"/>
        </w:rPr>
      </w:pPr>
    </w:p>
    <w:p w:rsidR="004A5786" w:rsidRPr="00D117F8" w:rsidRDefault="002F66D6" w:rsidP="004A5786">
      <w:pPr>
        <w:tabs>
          <w:tab w:val="center" w:pos="4536"/>
          <w:tab w:val="right" w:pos="9072"/>
        </w:tabs>
        <w:spacing w:line="240" w:lineRule="auto"/>
        <w:jc w:val="both"/>
        <w:rPr>
          <w:rFonts w:eastAsia="Times New Roman" w:cs="Arial"/>
          <w:sz w:val="22"/>
          <w:lang w:eastAsia="fr-FR"/>
        </w:rPr>
      </w:pPr>
      <w:r w:rsidRPr="00D117F8">
        <w:rPr>
          <w:rFonts w:eastAsia="Times New Roman" w:cs="Arial"/>
          <w:sz w:val="22"/>
          <w:lang w:eastAsia="fr-FR"/>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4A5786" w:rsidRPr="00D117F8" w:rsidRDefault="004A5786" w:rsidP="004A5786">
      <w:pPr>
        <w:tabs>
          <w:tab w:val="center" w:pos="4536"/>
          <w:tab w:val="right" w:pos="9072"/>
        </w:tabs>
        <w:spacing w:line="240" w:lineRule="auto"/>
        <w:jc w:val="both"/>
        <w:rPr>
          <w:rFonts w:eastAsia="Times New Roman" w:cs="Arial"/>
          <w:sz w:val="22"/>
          <w:lang w:eastAsia="fr-FR"/>
        </w:rPr>
      </w:pPr>
    </w:p>
    <w:p w:rsidR="004A5786" w:rsidRPr="00D117F8" w:rsidRDefault="002F66D6" w:rsidP="004A5786">
      <w:pPr>
        <w:tabs>
          <w:tab w:val="center" w:pos="4536"/>
          <w:tab w:val="right" w:pos="9072"/>
        </w:tabs>
        <w:spacing w:line="240" w:lineRule="auto"/>
        <w:jc w:val="both"/>
        <w:rPr>
          <w:rFonts w:eastAsia="Times New Roman" w:cs="Arial"/>
          <w:sz w:val="22"/>
          <w:lang w:eastAsia="fr-FR"/>
        </w:rPr>
      </w:pPr>
      <w:r w:rsidRPr="00D117F8">
        <w:rPr>
          <w:rFonts w:eastAsia="Times New Roman" w:cs="Arial"/>
          <w:sz w:val="22"/>
          <w:lang w:eastAsia="fr-FR"/>
        </w:rPr>
        <w:t>Conformément aux dispositions de l’article R. 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au paragraphe I de l’article R. 142-15 du même code.</w:t>
      </w:r>
    </w:p>
    <w:p w:rsidR="004A5786" w:rsidRPr="00D117F8" w:rsidRDefault="004A5786" w:rsidP="004A5786">
      <w:pPr>
        <w:tabs>
          <w:tab w:val="center" w:pos="4536"/>
          <w:tab w:val="right" w:pos="9072"/>
        </w:tabs>
        <w:spacing w:line="240" w:lineRule="auto"/>
        <w:jc w:val="both"/>
        <w:rPr>
          <w:rFonts w:eastAsia="Times New Roman" w:cs="Arial"/>
          <w:sz w:val="22"/>
          <w:lang w:eastAsia="fr-FR"/>
        </w:rPr>
      </w:pPr>
    </w:p>
    <w:p w:rsidR="004A5786" w:rsidRPr="00D117F8" w:rsidRDefault="004A5786" w:rsidP="004A5786">
      <w:pPr>
        <w:tabs>
          <w:tab w:val="center" w:pos="4536"/>
          <w:tab w:val="right" w:pos="9072"/>
        </w:tabs>
        <w:spacing w:line="240" w:lineRule="auto"/>
        <w:jc w:val="both"/>
        <w:rPr>
          <w:rFonts w:eastAsia="Times New Roman" w:cs="Arial"/>
          <w:sz w:val="22"/>
          <w:lang w:eastAsia="fr-FR"/>
        </w:rPr>
      </w:pPr>
    </w:p>
    <w:p w:rsidR="004A5786" w:rsidRPr="00D117F8" w:rsidRDefault="004A5786" w:rsidP="004A5786">
      <w:pPr>
        <w:jc w:val="both"/>
        <w:rPr>
          <w:rFonts w:cs="Arial"/>
          <w:sz w:val="22"/>
        </w:rPr>
      </w:pPr>
    </w:p>
    <w:p w:rsidR="004A5786" w:rsidRPr="00D117F8" w:rsidRDefault="004A5786" w:rsidP="004A5786">
      <w:pPr>
        <w:jc w:val="both"/>
        <w:rPr>
          <w:rFonts w:cs="Arial"/>
          <w:sz w:val="22"/>
        </w:rPr>
      </w:pPr>
    </w:p>
    <w:p w:rsidR="004A5786" w:rsidRPr="00D117F8" w:rsidRDefault="004A5786" w:rsidP="004A5786">
      <w:pPr>
        <w:jc w:val="both"/>
        <w:rPr>
          <w:rFonts w:cs="Arial"/>
          <w:sz w:val="22"/>
        </w:rPr>
      </w:pPr>
    </w:p>
    <w:p w:rsidR="00D117F8" w:rsidRPr="00D117F8" w:rsidRDefault="00D117F8">
      <w:pPr>
        <w:jc w:val="both"/>
        <w:rPr>
          <w:rFonts w:cs="Arial"/>
          <w:sz w:val="22"/>
        </w:rPr>
      </w:pPr>
    </w:p>
    <w:sectPr w:rsidR="00D117F8" w:rsidRPr="00D117F8" w:rsidSect="007F2707">
      <w:headerReference w:type="default" r:id="rId9"/>
      <w:footerReference w:type="default" r:id="rId10"/>
      <w:headerReference w:type="first" r:id="rId11"/>
      <w:footerReference w:type="first" r:id="rId12"/>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0EB0" w:rsidRDefault="00D90EB0" w:rsidP="00B41656">
      <w:pPr>
        <w:spacing w:line="240" w:lineRule="auto"/>
      </w:pPr>
      <w:r>
        <w:separator/>
      </w:r>
    </w:p>
  </w:endnote>
  <w:endnote w:type="continuationSeparator" w:id="0">
    <w:p w:rsidR="00D90EB0" w:rsidRDefault="00D90EB0"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49266B" w:rsidTr="004A5786">
      <w:trPr>
        <w:jc w:val="center"/>
      </w:trPr>
      <w:tc>
        <w:tcPr>
          <w:tcW w:w="9212" w:type="dxa"/>
        </w:tcPr>
        <w:p w:rsidR="0049266B" w:rsidRPr="008F0DC7" w:rsidRDefault="0049266B" w:rsidP="004A5786">
          <w:pPr>
            <w:pStyle w:val="Pieddepage"/>
            <w:jc w:val="center"/>
            <w:rPr>
              <w:rFonts w:cs="Arial"/>
            </w:rPr>
          </w:pPr>
          <w:r w:rsidRPr="008F0DC7">
            <w:rPr>
              <w:rFonts w:cs="Arial"/>
            </w:rPr>
            <w:t>13 rue Cambon - 75100 PARIS CEDEX 01 - T +33 1 42 98 95 00 - www.ccomptes.fr</w:t>
          </w:r>
        </w:p>
      </w:tc>
    </w:tr>
    <w:tr w:rsidR="0049266B" w:rsidTr="004A5786">
      <w:trPr>
        <w:jc w:val="center"/>
      </w:trPr>
      <w:tc>
        <w:tcPr>
          <w:tcW w:w="9212" w:type="dxa"/>
        </w:tcPr>
        <w:p w:rsidR="0049266B" w:rsidRPr="008F0DC7" w:rsidRDefault="0049266B" w:rsidP="004A5786">
          <w:pPr>
            <w:pStyle w:val="Pieddepage"/>
            <w:jc w:val="center"/>
            <w:rPr>
              <w:rFonts w:cs="Arial"/>
            </w:rPr>
          </w:pPr>
        </w:p>
      </w:tc>
    </w:tr>
  </w:tbl>
  <w:p w:rsidR="0049266B" w:rsidRDefault="0049266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49266B" w:rsidTr="004A5786">
      <w:trPr>
        <w:jc w:val="center"/>
      </w:trPr>
      <w:tc>
        <w:tcPr>
          <w:tcW w:w="9212" w:type="dxa"/>
        </w:tcPr>
        <w:p w:rsidR="0049266B" w:rsidRPr="008F0DC7" w:rsidRDefault="0049266B" w:rsidP="004A5786">
          <w:pPr>
            <w:pStyle w:val="Pieddepage"/>
            <w:jc w:val="center"/>
            <w:rPr>
              <w:rFonts w:cs="Arial"/>
            </w:rPr>
          </w:pPr>
          <w:r w:rsidRPr="008F0DC7">
            <w:rPr>
              <w:rFonts w:cs="Arial"/>
            </w:rPr>
            <w:t>13 rue Cambon - 75100 PARIS CEDEX 01 - T +33 1 42 98 95 00 - www.ccomptes.fr</w:t>
          </w:r>
        </w:p>
      </w:tc>
    </w:tr>
    <w:tr w:rsidR="0049266B" w:rsidTr="004A5786">
      <w:trPr>
        <w:jc w:val="center"/>
      </w:trPr>
      <w:tc>
        <w:tcPr>
          <w:tcW w:w="9212" w:type="dxa"/>
        </w:tcPr>
        <w:p w:rsidR="0049266B" w:rsidRPr="008F0DC7" w:rsidRDefault="0049266B" w:rsidP="004A5786">
          <w:pPr>
            <w:pStyle w:val="Pieddepage"/>
            <w:jc w:val="center"/>
            <w:rPr>
              <w:rFonts w:cs="Arial"/>
            </w:rPr>
          </w:pPr>
        </w:p>
      </w:tc>
    </w:tr>
  </w:tbl>
  <w:p w:rsidR="0049266B" w:rsidRDefault="0049266B"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0EB0" w:rsidRDefault="00D90EB0" w:rsidP="00B41656">
      <w:pPr>
        <w:spacing w:line="240" w:lineRule="auto"/>
      </w:pPr>
      <w:r>
        <w:separator/>
      </w:r>
    </w:p>
  </w:footnote>
  <w:footnote w:type="continuationSeparator" w:id="0">
    <w:p w:rsidR="00D90EB0" w:rsidRDefault="00D90EB0"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66B" w:rsidRDefault="0049266B">
    <w:pPr>
      <w:pStyle w:val="En-tte"/>
      <w:jc w:val="right"/>
    </w:pPr>
  </w:p>
  <w:tbl>
    <w:tblPr>
      <w:tblStyle w:val="Grilledutableau"/>
      <w:tblW w:w="0" w:type="auto"/>
      <w:tblLook w:val="0680" w:firstRow="0" w:lastRow="0" w:firstColumn="1" w:lastColumn="0" w:noHBand="1" w:noVBand="1"/>
    </w:tblPr>
    <w:tblGrid>
      <w:gridCol w:w="8046"/>
      <w:gridCol w:w="1164"/>
    </w:tblGrid>
    <w:tr w:rsidR="0049266B" w:rsidTr="003D7655">
      <w:tc>
        <w:tcPr>
          <w:tcW w:w="8046" w:type="dxa"/>
          <w:tcBorders>
            <w:top w:val="nil"/>
            <w:left w:val="nil"/>
            <w:bottom w:val="nil"/>
            <w:right w:val="nil"/>
          </w:tcBorders>
          <w:vAlign w:val="center"/>
        </w:tcPr>
        <w:p w:rsidR="0049266B" w:rsidRDefault="0049266B" w:rsidP="003D7655">
          <w:pPr>
            <w:pStyle w:val="En-tte"/>
            <w:spacing w:line="320" w:lineRule="exact"/>
          </w:pPr>
        </w:p>
      </w:tc>
      <w:tc>
        <w:tcPr>
          <w:tcW w:w="1164" w:type="dxa"/>
          <w:tcBorders>
            <w:top w:val="nil"/>
            <w:left w:val="nil"/>
            <w:bottom w:val="nil"/>
            <w:right w:val="nil"/>
          </w:tcBorders>
          <w:vAlign w:val="center"/>
        </w:tcPr>
        <w:p w:rsidR="0049266B" w:rsidRDefault="00D90EB0" w:rsidP="003D7655">
          <w:pPr>
            <w:pStyle w:val="En-tte"/>
            <w:jc w:val="right"/>
          </w:pPr>
          <w:sdt>
            <w:sdtPr>
              <w:id w:val="123790272"/>
              <w:docPartObj>
                <w:docPartGallery w:val="Page Numbers (Top of Page)"/>
                <w:docPartUnique/>
              </w:docPartObj>
            </w:sdtPr>
            <w:sdtEndPr/>
            <w:sdtContent>
              <w:r w:rsidR="0049266B">
                <w:t xml:space="preserve"> </w:t>
              </w:r>
              <w:r w:rsidR="0049266B">
                <w:rPr>
                  <w:b/>
                  <w:sz w:val="24"/>
                  <w:szCs w:val="24"/>
                </w:rPr>
                <w:fldChar w:fldCharType="begin"/>
              </w:r>
              <w:r w:rsidR="0049266B">
                <w:rPr>
                  <w:b/>
                </w:rPr>
                <w:instrText>PAGE</w:instrText>
              </w:r>
              <w:r w:rsidR="0049266B">
                <w:rPr>
                  <w:b/>
                  <w:sz w:val="24"/>
                  <w:szCs w:val="24"/>
                </w:rPr>
                <w:fldChar w:fldCharType="separate"/>
              </w:r>
              <w:r w:rsidR="00046F89">
                <w:rPr>
                  <w:b/>
                  <w:noProof/>
                </w:rPr>
                <w:t>7</w:t>
              </w:r>
              <w:r w:rsidR="0049266B">
                <w:rPr>
                  <w:b/>
                  <w:sz w:val="24"/>
                  <w:szCs w:val="24"/>
                </w:rPr>
                <w:fldChar w:fldCharType="end"/>
              </w:r>
              <w:r w:rsidR="0049266B">
                <w:t xml:space="preserve"> / </w:t>
              </w:r>
              <w:r w:rsidR="0049266B">
                <w:rPr>
                  <w:b/>
                  <w:sz w:val="24"/>
                  <w:szCs w:val="24"/>
                </w:rPr>
                <w:fldChar w:fldCharType="begin"/>
              </w:r>
              <w:r w:rsidR="0049266B">
                <w:rPr>
                  <w:b/>
                </w:rPr>
                <w:instrText>NUMPAGES</w:instrText>
              </w:r>
              <w:r w:rsidR="0049266B">
                <w:rPr>
                  <w:b/>
                  <w:sz w:val="24"/>
                  <w:szCs w:val="24"/>
                </w:rPr>
                <w:fldChar w:fldCharType="separate"/>
              </w:r>
              <w:r w:rsidR="00046F89">
                <w:rPr>
                  <w:b/>
                  <w:noProof/>
                </w:rPr>
                <w:t>7</w:t>
              </w:r>
              <w:r w:rsidR="0049266B">
                <w:rPr>
                  <w:b/>
                  <w:sz w:val="24"/>
                  <w:szCs w:val="24"/>
                </w:rPr>
                <w:fldChar w:fldCharType="end"/>
              </w:r>
            </w:sdtContent>
          </w:sdt>
        </w:p>
      </w:tc>
    </w:tr>
  </w:tbl>
  <w:p w:rsidR="0049266B" w:rsidRDefault="0049266B"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66B" w:rsidRDefault="0049266B">
    <w:pPr>
      <w:pStyle w:val="En-tte"/>
    </w:pPr>
    <w:r>
      <w:rPr>
        <w:noProof/>
        <w:lang w:eastAsia="fr-FR"/>
      </w:rPr>
      <w:drawing>
        <wp:anchor distT="0" distB="0" distL="114300" distR="114300" simplePos="0" relativeHeight="251658240" behindDoc="0" locked="0" layoutInCell="1" allowOverlap="1">
          <wp:simplePos x="0" y="0"/>
          <wp:positionH relativeFrom="column">
            <wp:posOffset>26035</wp:posOffset>
          </wp:positionH>
          <wp:positionV relativeFrom="paragraph">
            <wp:posOffset>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2F9A68DF"/>
    <w:multiLevelType w:val="hybridMultilevel"/>
    <w:tmpl w:val="DEF86FF6"/>
    <w:lvl w:ilvl="0" w:tplc="3097839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28668E9"/>
    <w:multiLevelType w:val="hybridMultilevel"/>
    <w:tmpl w:val="09B6EA82"/>
    <w:lvl w:ilvl="0" w:tplc="18FAB0A0">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7"/>
  </w:num>
  <w:num w:numId="3">
    <w:abstractNumId w:val="8"/>
  </w:num>
  <w:num w:numId="4">
    <w:abstractNumId w:val="6"/>
  </w:num>
  <w:num w:numId="5">
    <w:abstractNumId w:val="1"/>
  </w:num>
  <w:num w:numId="6">
    <w:abstractNumId w:val="0"/>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562F"/>
    <w:rsid w:val="00014499"/>
    <w:rsid w:val="00046F89"/>
    <w:rsid w:val="000547FB"/>
    <w:rsid w:val="00057C1C"/>
    <w:rsid w:val="00060466"/>
    <w:rsid w:val="00067EA3"/>
    <w:rsid w:val="0008738C"/>
    <w:rsid w:val="000F5299"/>
    <w:rsid w:val="000F53CA"/>
    <w:rsid w:val="000F7CE5"/>
    <w:rsid w:val="00110640"/>
    <w:rsid w:val="001111FF"/>
    <w:rsid w:val="001248F5"/>
    <w:rsid w:val="0013115F"/>
    <w:rsid w:val="00131A38"/>
    <w:rsid w:val="001440E9"/>
    <w:rsid w:val="0015542B"/>
    <w:rsid w:val="00160190"/>
    <w:rsid w:val="00161F58"/>
    <w:rsid w:val="00165384"/>
    <w:rsid w:val="0016783F"/>
    <w:rsid w:val="001733C8"/>
    <w:rsid w:val="00177B90"/>
    <w:rsid w:val="001847E0"/>
    <w:rsid w:val="001A381F"/>
    <w:rsid w:val="001D11BE"/>
    <w:rsid w:val="001E0D5C"/>
    <w:rsid w:val="002040C2"/>
    <w:rsid w:val="00204650"/>
    <w:rsid w:val="002304DE"/>
    <w:rsid w:val="00231C67"/>
    <w:rsid w:val="00233D12"/>
    <w:rsid w:val="00240C13"/>
    <w:rsid w:val="00244453"/>
    <w:rsid w:val="00265091"/>
    <w:rsid w:val="00283473"/>
    <w:rsid w:val="002878B1"/>
    <w:rsid w:val="002B74C3"/>
    <w:rsid w:val="002C0B4C"/>
    <w:rsid w:val="002D0DA9"/>
    <w:rsid w:val="002E018E"/>
    <w:rsid w:val="002E75B7"/>
    <w:rsid w:val="002F66D6"/>
    <w:rsid w:val="00323B13"/>
    <w:rsid w:val="0035741C"/>
    <w:rsid w:val="00360BC6"/>
    <w:rsid w:val="00373324"/>
    <w:rsid w:val="00376FD6"/>
    <w:rsid w:val="0038717A"/>
    <w:rsid w:val="003955D7"/>
    <w:rsid w:val="003A09FE"/>
    <w:rsid w:val="003B7BA2"/>
    <w:rsid w:val="003C582D"/>
    <w:rsid w:val="003C729C"/>
    <w:rsid w:val="003D0599"/>
    <w:rsid w:val="003D7655"/>
    <w:rsid w:val="004022CB"/>
    <w:rsid w:val="00423283"/>
    <w:rsid w:val="0044065C"/>
    <w:rsid w:val="004507C2"/>
    <w:rsid w:val="00451479"/>
    <w:rsid w:val="00454ACC"/>
    <w:rsid w:val="00466852"/>
    <w:rsid w:val="0047092C"/>
    <w:rsid w:val="00477C3D"/>
    <w:rsid w:val="00487727"/>
    <w:rsid w:val="0049266B"/>
    <w:rsid w:val="004A1A11"/>
    <w:rsid w:val="004A49F1"/>
    <w:rsid w:val="004A5786"/>
    <w:rsid w:val="004B2A1F"/>
    <w:rsid w:val="004E60D6"/>
    <w:rsid w:val="00505003"/>
    <w:rsid w:val="005369EE"/>
    <w:rsid w:val="0054781F"/>
    <w:rsid w:val="0055326E"/>
    <w:rsid w:val="0058369A"/>
    <w:rsid w:val="005A1A72"/>
    <w:rsid w:val="005B4CA5"/>
    <w:rsid w:val="005C1CFB"/>
    <w:rsid w:val="005C4336"/>
    <w:rsid w:val="005C5994"/>
    <w:rsid w:val="005F1EA9"/>
    <w:rsid w:val="005F61B5"/>
    <w:rsid w:val="005F6AAA"/>
    <w:rsid w:val="00604974"/>
    <w:rsid w:val="006344B0"/>
    <w:rsid w:val="00647807"/>
    <w:rsid w:val="00662166"/>
    <w:rsid w:val="00673958"/>
    <w:rsid w:val="00676091"/>
    <w:rsid w:val="006774B5"/>
    <w:rsid w:val="00687F6F"/>
    <w:rsid w:val="006A4EB5"/>
    <w:rsid w:val="006A568B"/>
    <w:rsid w:val="006A7750"/>
    <w:rsid w:val="006C1F5D"/>
    <w:rsid w:val="006C72CB"/>
    <w:rsid w:val="006D1358"/>
    <w:rsid w:val="006E170E"/>
    <w:rsid w:val="006E3A7F"/>
    <w:rsid w:val="00704835"/>
    <w:rsid w:val="00707BD1"/>
    <w:rsid w:val="007175B0"/>
    <w:rsid w:val="00724014"/>
    <w:rsid w:val="007252C5"/>
    <w:rsid w:val="007340F5"/>
    <w:rsid w:val="007410AA"/>
    <w:rsid w:val="00742D71"/>
    <w:rsid w:val="00743061"/>
    <w:rsid w:val="00764F62"/>
    <w:rsid w:val="00765A21"/>
    <w:rsid w:val="0077703E"/>
    <w:rsid w:val="007A448C"/>
    <w:rsid w:val="007B06F6"/>
    <w:rsid w:val="007B53EC"/>
    <w:rsid w:val="007D2B64"/>
    <w:rsid w:val="007D6588"/>
    <w:rsid w:val="007E06F2"/>
    <w:rsid w:val="007F2707"/>
    <w:rsid w:val="00804551"/>
    <w:rsid w:val="0081551A"/>
    <w:rsid w:val="008256E2"/>
    <w:rsid w:val="00835B16"/>
    <w:rsid w:val="0085194D"/>
    <w:rsid w:val="00856FFB"/>
    <w:rsid w:val="00863D04"/>
    <w:rsid w:val="0086760B"/>
    <w:rsid w:val="00875AE9"/>
    <w:rsid w:val="008844EF"/>
    <w:rsid w:val="008A34BF"/>
    <w:rsid w:val="008A6ACF"/>
    <w:rsid w:val="008B29FF"/>
    <w:rsid w:val="008B4AE0"/>
    <w:rsid w:val="008B6962"/>
    <w:rsid w:val="008C0748"/>
    <w:rsid w:val="008C244D"/>
    <w:rsid w:val="008E360F"/>
    <w:rsid w:val="008E5EE8"/>
    <w:rsid w:val="008E6349"/>
    <w:rsid w:val="009011F2"/>
    <w:rsid w:val="00915AFC"/>
    <w:rsid w:val="009405CE"/>
    <w:rsid w:val="00941A25"/>
    <w:rsid w:val="00950441"/>
    <w:rsid w:val="00966697"/>
    <w:rsid w:val="009802E3"/>
    <w:rsid w:val="009B22BF"/>
    <w:rsid w:val="00A0293F"/>
    <w:rsid w:val="00A02D30"/>
    <w:rsid w:val="00A17B96"/>
    <w:rsid w:val="00A32C49"/>
    <w:rsid w:val="00A331F4"/>
    <w:rsid w:val="00A4059D"/>
    <w:rsid w:val="00A50188"/>
    <w:rsid w:val="00A56A52"/>
    <w:rsid w:val="00A755A3"/>
    <w:rsid w:val="00A75FB2"/>
    <w:rsid w:val="00A83FC9"/>
    <w:rsid w:val="00A9735F"/>
    <w:rsid w:val="00AC7378"/>
    <w:rsid w:val="00AE774F"/>
    <w:rsid w:val="00B07238"/>
    <w:rsid w:val="00B11D18"/>
    <w:rsid w:val="00B128E3"/>
    <w:rsid w:val="00B41656"/>
    <w:rsid w:val="00B52183"/>
    <w:rsid w:val="00B645D1"/>
    <w:rsid w:val="00B967C8"/>
    <w:rsid w:val="00BA60D8"/>
    <w:rsid w:val="00BB2920"/>
    <w:rsid w:val="00BB2D0C"/>
    <w:rsid w:val="00BB7176"/>
    <w:rsid w:val="00BC40A5"/>
    <w:rsid w:val="00BD4E20"/>
    <w:rsid w:val="00BF6F48"/>
    <w:rsid w:val="00C04525"/>
    <w:rsid w:val="00C12C04"/>
    <w:rsid w:val="00C17123"/>
    <w:rsid w:val="00C22187"/>
    <w:rsid w:val="00C23B89"/>
    <w:rsid w:val="00C32D50"/>
    <w:rsid w:val="00C470E9"/>
    <w:rsid w:val="00C77CA2"/>
    <w:rsid w:val="00C85B9C"/>
    <w:rsid w:val="00CA1BD5"/>
    <w:rsid w:val="00CA7DD7"/>
    <w:rsid w:val="00CC39B0"/>
    <w:rsid w:val="00CE1BD7"/>
    <w:rsid w:val="00CE4F79"/>
    <w:rsid w:val="00CF6809"/>
    <w:rsid w:val="00D00A0E"/>
    <w:rsid w:val="00D117F8"/>
    <w:rsid w:val="00D21CDB"/>
    <w:rsid w:val="00D267BF"/>
    <w:rsid w:val="00D41735"/>
    <w:rsid w:val="00D500EF"/>
    <w:rsid w:val="00D51C43"/>
    <w:rsid w:val="00D52115"/>
    <w:rsid w:val="00D61F31"/>
    <w:rsid w:val="00D62649"/>
    <w:rsid w:val="00D817B5"/>
    <w:rsid w:val="00D90EB0"/>
    <w:rsid w:val="00D93356"/>
    <w:rsid w:val="00D94F22"/>
    <w:rsid w:val="00D95846"/>
    <w:rsid w:val="00DA6392"/>
    <w:rsid w:val="00DA69AC"/>
    <w:rsid w:val="00DC2720"/>
    <w:rsid w:val="00DC7C54"/>
    <w:rsid w:val="00DE48AF"/>
    <w:rsid w:val="00DE6999"/>
    <w:rsid w:val="00E03E5C"/>
    <w:rsid w:val="00E25406"/>
    <w:rsid w:val="00E35B8A"/>
    <w:rsid w:val="00E430FB"/>
    <w:rsid w:val="00E55D24"/>
    <w:rsid w:val="00E86FB6"/>
    <w:rsid w:val="00E87137"/>
    <w:rsid w:val="00E92E18"/>
    <w:rsid w:val="00EB5B1F"/>
    <w:rsid w:val="00ED3235"/>
    <w:rsid w:val="00ED3BBB"/>
    <w:rsid w:val="00EE1AF8"/>
    <w:rsid w:val="00EE3AA4"/>
    <w:rsid w:val="00EE4F42"/>
    <w:rsid w:val="00EE6497"/>
    <w:rsid w:val="00F01AF8"/>
    <w:rsid w:val="00F02D0A"/>
    <w:rsid w:val="00F03C54"/>
    <w:rsid w:val="00F31E1F"/>
    <w:rsid w:val="00F34BAC"/>
    <w:rsid w:val="00F63CE2"/>
    <w:rsid w:val="00F73253"/>
    <w:rsid w:val="00F73ABC"/>
    <w:rsid w:val="00F8606B"/>
    <w:rsid w:val="00FA2EC4"/>
    <w:rsid w:val="00FA3873"/>
    <w:rsid w:val="00FC3558"/>
    <w:rsid w:val="00FD31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paragraph" w:styleId="Paragraphedeliste">
    <w:name w:val="List Paragraph"/>
    <w:basedOn w:val="Normal"/>
    <w:uiPriority w:val="34"/>
    <w:qFormat/>
    <w:rsid w:val="008F197D"/>
    <w:pPr>
      <w:ind w:left="720"/>
      <w:contextualSpacing/>
    </w:pPr>
  </w:style>
  <w:style w:type="character" w:styleId="Lienhypertexte">
    <w:name w:val="Hyperlink"/>
    <w:basedOn w:val="Policepardfaut"/>
    <w:uiPriority w:val="99"/>
    <w:semiHidden/>
    <w:unhideWhenUsed/>
    <w:rsid w:val="004637B8"/>
    <w:rPr>
      <w:color w:val="0000FF"/>
      <w:u w:val="single"/>
    </w:rPr>
  </w:style>
  <w:style w:type="character" w:styleId="Marquedecommentaire">
    <w:name w:val="annotation reference"/>
    <w:basedOn w:val="Policepardfaut"/>
    <w:uiPriority w:val="99"/>
    <w:semiHidden/>
    <w:unhideWhenUsed/>
    <w:rsid w:val="0094650A"/>
    <w:rPr>
      <w:sz w:val="16"/>
      <w:szCs w:val="16"/>
    </w:rPr>
  </w:style>
  <w:style w:type="paragraph" w:styleId="Commentaire">
    <w:name w:val="annotation text"/>
    <w:basedOn w:val="Normal"/>
    <w:link w:val="CommentaireCar"/>
    <w:uiPriority w:val="99"/>
    <w:semiHidden/>
    <w:unhideWhenUsed/>
    <w:rsid w:val="0094650A"/>
    <w:pPr>
      <w:spacing w:line="240" w:lineRule="auto"/>
    </w:pPr>
    <w:rPr>
      <w:sz w:val="20"/>
      <w:szCs w:val="20"/>
    </w:rPr>
  </w:style>
  <w:style w:type="character" w:customStyle="1" w:styleId="CommentaireCar">
    <w:name w:val="Commentaire Car"/>
    <w:basedOn w:val="Policepardfaut"/>
    <w:link w:val="Commentaire"/>
    <w:uiPriority w:val="99"/>
    <w:semiHidden/>
    <w:rsid w:val="0094650A"/>
    <w:rPr>
      <w:sz w:val="20"/>
      <w:szCs w:val="20"/>
    </w:rPr>
  </w:style>
  <w:style w:type="paragraph" w:styleId="Objetducommentaire">
    <w:name w:val="annotation subject"/>
    <w:basedOn w:val="Commentaire"/>
    <w:next w:val="Commentaire"/>
    <w:link w:val="ObjetducommentaireCar"/>
    <w:uiPriority w:val="99"/>
    <w:semiHidden/>
    <w:unhideWhenUsed/>
    <w:rsid w:val="0094650A"/>
    <w:rPr>
      <w:b/>
      <w:bCs/>
    </w:rPr>
  </w:style>
  <w:style w:type="character" w:customStyle="1" w:styleId="ObjetducommentaireCar">
    <w:name w:val="Objet du commentaire Car"/>
    <w:basedOn w:val="CommentaireCar"/>
    <w:link w:val="Objetducommentaire"/>
    <w:uiPriority w:val="99"/>
    <w:semiHidden/>
    <w:rsid w:val="0094650A"/>
    <w:rPr>
      <w:b/>
      <w:bCs/>
      <w:sz w:val="20"/>
      <w:szCs w:val="20"/>
    </w:rPr>
  </w:style>
  <w:style w:type="paragraph" w:styleId="Rvision">
    <w:name w:val="Revision"/>
    <w:hidden/>
    <w:uiPriority w:val="71"/>
    <w:rsid w:val="00BD4E20"/>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paragraph" w:styleId="Paragraphedeliste">
    <w:name w:val="List Paragraph"/>
    <w:basedOn w:val="Normal"/>
    <w:uiPriority w:val="34"/>
    <w:qFormat/>
    <w:rsid w:val="008F197D"/>
    <w:pPr>
      <w:ind w:left="720"/>
      <w:contextualSpacing/>
    </w:pPr>
  </w:style>
  <w:style w:type="character" w:styleId="Lienhypertexte">
    <w:name w:val="Hyperlink"/>
    <w:basedOn w:val="Policepardfaut"/>
    <w:uiPriority w:val="99"/>
    <w:semiHidden/>
    <w:unhideWhenUsed/>
    <w:rsid w:val="004637B8"/>
    <w:rPr>
      <w:color w:val="0000FF"/>
      <w:u w:val="single"/>
    </w:rPr>
  </w:style>
  <w:style w:type="character" w:styleId="Marquedecommentaire">
    <w:name w:val="annotation reference"/>
    <w:basedOn w:val="Policepardfaut"/>
    <w:uiPriority w:val="99"/>
    <w:semiHidden/>
    <w:unhideWhenUsed/>
    <w:rsid w:val="0094650A"/>
    <w:rPr>
      <w:sz w:val="16"/>
      <w:szCs w:val="16"/>
    </w:rPr>
  </w:style>
  <w:style w:type="paragraph" w:styleId="Commentaire">
    <w:name w:val="annotation text"/>
    <w:basedOn w:val="Normal"/>
    <w:link w:val="CommentaireCar"/>
    <w:uiPriority w:val="99"/>
    <w:semiHidden/>
    <w:unhideWhenUsed/>
    <w:rsid w:val="0094650A"/>
    <w:pPr>
      <w:spacing w:line="240" w:lineRule="auto"/>
    </w:pPr>
    <w:rPr>
      <w:sz w:val="20"/>
      <w:szCs w:val="20"/>
    </w:rPr>
  </w:style>
  <w:style w:type="character" w:customStyle="1" w:styleId="CommentaireCar">
    <w:name w:val="Commentaire Car"/>
    <w:basedOn w:val="Policepardfaut"/>
    <w:link w:val="Commentaire"/>
    <w:uiPriority w:val="99"/>
    <w:semiHidden/>
    <w:rsid w:val="0094650A"/>
    <w:rPr>
      <w:sz w:val="20"/>
      <w:szCs w:val="20"/>
    </w:rPr>
  </w:style>
  <w:style w:type="paragraph" w:styleId="Objetducommentaire">
    <w:name w:val="annotation subject"/>
    <w:basedOn w:val="Commentaire"/>
    <w:next w:val="Commentaire"/>
    <w:link w:val="ObjetducommentaireCar"/>
    <w:uiPriority w:val="99"/>
    <w:semiHidden/>
    <w:unhideWhenUsed/>
    <w:rsid w:val="0094650A"/>
    <w:rPr>
      <w:b/>
      <w:bCs/>
    </w:rPr>
  </w:style>
  <w:style w:type="character" w:customStyle="1" w:styleId="ObjetducommentaireCar">
    <w:name w:val="Objet du commentaire Car"/>
    <w:basedOn w:val="CommentaireCar"/>
    <w:link w:val="Objetducommentaire"/>
    <w:uiPriority w:val="99"/>
    <w:semiHidden/>
    <w:rsid w:val="0094650A"/>
    <w:rPr>
      <w:b/>
      <w:bCs/>
      <w:sz w:val="20"/>
      <w:szCs w:val="20"/>
    </w:rPr>
  </w:style>
  <w:style w:type="paragraph" w:styleId="Rvision">
    <w:name w:val="Revision"/>
    <w:hidden/>
    <w:uiPriority w:val="71"/>
    <w:rsid w:val="00BD4E20"/>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632A8-1992-4CEC-9EA0-97B6119B3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7</Pages>
  <Words>3678</Words>
  <Characters>20231</Characters>
  <Application>Microsoft Office Word</Application>
  <DocSecurity>0</DocSecurity>
  <Lines>168</Lines>
  <Paragraphs>47</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23862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12</cp:revision>
  <cp:lastPrinted>2015-11-10T09:10:00Z</cp:lastPrinted>
  <dcterms:created xsi:type="dcterms:W3CDTF">2015-11-03T11:28:00Z</dcterms:created>
  <dcterms:modified xsi:type="dcterms:W3CDTF">2016-03-09T19:58:00Z</dcterms:modified>
</cp:coreProperties>
</file>