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37AC469E" wp14:editId="671DF8E8">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E95155" w:rsidTr="00DE76F3">
        <w:trPr>
          <w:trHeight w:val="2876"/>
        </w:trPr>
        <w:tc>
          <w:tcPr>
            <w:tcW w:w="5103" w:type="dxa"/>
          </w:tcPr>
          <w:p w:rsidR="00325C6F" w:rsidRPr="00D94F24" w:rsidRDefault="00325C6F">
            <w:pPr>
              <w:spacing w:line="240" w:lineRule="auto"/>
              <w:ind w:firstLine="34"/>
              <w:rPr>
                <w:rFonts w:eastAsia="Times New Roman" w:cs="Arial"/>
                <w:sz w:val="22"/>
                <w:lang w:eastAsia="fr-FR"/>
              </w:rPr>
            </w:pPr>
          </w:p>
          <w:p w:rsidR="009F58BA" w:rsidRPr="00D94F24" w:rsidRDefault="00BA4F93" w:rsidP="00EE3CC3">
            <w:pPr>
              <w:spacing w:line="240" w:lineRule="auto"/>
              <w:ind w:right="776" w:firstLine="34"/>
              <w:jc w:val="center"/>
              <w:rPr>
                <w:rFonts w:eastAsia="Times New Roman" w:cs="Arial"/>
                <w:sz w:val="22"/>
                <w:lang w:eastAsia="fr-FR"/>
              </w:rPr>
            </w:pPr>
            <w:r w:rsidRPr="00D94F24">
              <w:rPr>
                <w:rFonts w:eastAsia="Times New Roman" w:cs="Arial"/>
                <w:sz w:val="22"/>
                <w:lang w:eastAsia="fr-FR"/>
              </w:rPr>
              <w:t>QUATRIÈME CHAMBRE</w:t>
            </w:r>
          </w:p>
          <w:p w:rsidR="009F58BA" w:rsidRPr="00D94F24" w:rsidRDefault="00BA4F93" w:rsidP="00EE3CC3">
            <w:pPr>
              <w:spacing w:line="240" w:lineRule="auto"/>
              <w:ind w:right="776" w:firstLine="34"/>
              <w:jc w:val="center"/>
              <w:rPr>
                <w:rFonts w:eastAsia="Times New Roman" w:cs="Arial"/>
                <w:b/>
                <w:sz w:val="22"/>
                <w:lang w:eastAsia="fr-FR"/>
              </w:rPr>
            </w:pPr>
            <w:r w:rsidRPr="00D94F24">
              <w:rPr>
                <w:rFonts w:eastAsia="Times New Roman" w:cs="Arial"/>
                <w:b/>
                <w:sz w:val="22"/>
                <w:lang w:eastAsia="fr-FR"/>
              </w:rPr>
              <w:t>-------</w:t>
            </w:r>
          </w:p>
          <w:p w:rsidR="009F58BA" w:rsidRPr="00D94F24" w:rsidRDefault="00BA4F93" w:rsidP="00EE3CC3">
            <w:pPr>
              <w:spacing w:line="240" w:lineRule="auto"/>
              <w:ind w:right="776" w:firstLine="34"/>
              <w:jc w:val="center"/>
              <w:rPr>
                <w:rFonts w:eastAsia="Times New Roman" w:cs="Arial"/>
                <w:sz w:val="22"/>
                <w:lang w:eastAsia="fr-FR"/>
              </w:rPr>
            </w:pPr>
            <w:r w:rsidRPr="00D94F24">
              <w:rPr>
                <w:rFonts w:eastAsia="Times New Roman" w:cs="Arial"/>
                <w:sz w:val="22"/>
                <w:lang w:eastAsia="fr-FR"/>
              </w:rPr>
              <w:t>Première section</w:t>
            </w:r>
          </w:p>
          <w:p w:rsidR="009F58BA" w:rsidRPr="00D94F24" w:rsidRDefault="00BA4F93" w:rsidP="00EE3CC3">
            <w:pPr>
              <w:spacing w:line="240" w:lineRule="auto"/>
              <w:ind w:right="776" w:firstLine="34"/>
              <w:jc w:val="center"/>
              <w:rPr>
                <w:rFonts w:eastAsia="Times New Roman" w:cs="Arial"/>
                <w:b/>
                <w:sz w:val="22"/>
                <w:lang w:eastAsia="fr-FR"/>
              </w:rPr>
            </w:pPr>
            <w:r w:rsidRPr="00D94F24">
              <w:rPr>
                <w:rFonts w:eastAsia="Times New Roman" w:cs="Arial"/>
                <w:b/>
                <w:sz w:val="22"/>
                <w:lang w:eastAsia="fr-FR"/>
              </w:rPr>
              <w:t>-------</w:t>
            </w:r>
          </w:p>
          <w:p w:rsidR="009F58BA" w:rsidRPr="00D94F24" w:rsidRDefault="00BA4F93" w:rsidP="00EE3CC3">
            <w:pPr>
              <w:spacing w:line="240" w:lineRule="auto"/>
              <w:ind w:right="776" w:firstLine="34"/>
              <w:jc w:val="center"/>
              <w:rPr>
                <w:rFonts w:eastAsia="Times New Roman" w:cs="Arial"/>
                <w:sz w:val="22"/>
                <w:lang w:eastAsia="fr-FR"/>
              </w:rPr>
            </w:pPr>
            <w:r w:rsidRPr="00D94F24">
              <w:rPr>
                <w:rFonts w:eastAsia="Times New Roman" w:cs="Arial"/>
                <w:sz w:val="22"/>
                <w:lang w:eastAsia="fr-FR"/>
              </w:rPr>
              <w:t xml:space="preserve">Arrêt n° </w:t>
            </w:r>
            <w:r w:rsidR="00A16AA4">
              <w:rPr>
                <w:rFonts w:eastAsia="Times New Roman" w:cs="Arial"/>
                <w:sz w:val="22"/>
                <w:lang w:eastAsia="fr-FR"/>
              </w:rPr>
              <w:t>72849</w:t>
            </w:r>
          </w:p>
          <w:p w:rsidR="009F58BA" w:rsidRPr="00D94F24" w:rsidRDefault="00924E2A" w:rsidP="00EE3CC3">
            <w:pPr>
              <w:spacing w:line="240" w:lineRule="auto"/>
              <w:ind w:right="776" w:firstLine="34"/>
              <w:jc w:val="center"/>
              <w:rPr>
                <w:rFonts w:eastAsia="Times New Roman" w:cs="Arial"/>
                <w:sz w:val="22"/>
                <w:lang w:eastAsia="fr-FR"/>
              </w:rPr>
            </w:pPr>
          </w:p>
          <w:p w:rsidR="009F58BA" w:rsidRPr="00D94F24" w:rsidRDefault="00BA4F93" w:rsidP="00EE3CC3">
            <w:pPr>
              <w:spacing w:line="240" w:lineRule="auto"/>
              <w:ind w:right="776" w:firstLine="34"/>
              <w:jc w:val="center"/>
              <w:rPr>
                <w:rFonts w:eastAsia="Times New Roman" w:cs="Arial"/>
                <w:sz w:val="22"/>
                <w:lang w:eastAsia="fr-FR"/>
              </w:rPr>
            </w:pPr>
            <w:r w:rsidRPr="00D94F24">
              <w:rPr>
                <w:rFonts w:eastAsia="Times New Roman" w:cs="Arial"/>
                <w:sz w:val="22"/>
                <w:lang w:eastAsia="fr-FR"/>
              </w:rPr>
              <w:t xml:space="preserve">Audience publique du </w:t>
            </w:r>
            <w:r w:rsidR="00325C6F" w:rsidRPr="00D94F24">
              <w:rPr>
                <w:rFonts w:eastAsia="Times New Roman" w:cs="Arial"/>
                <w:sz w:val="22"/>
                <w:lang w:eastAsia="fr-FR"/>
              </w:rPr>
              <w:t>19 novembre 2015</w:t>
            </w:r>
          </w:p>
          <w:p w:rsidR="009F58BA" w:rsidRPr="00D94F24" w:rsidRDefault="00924E2A" w:rsidP="00EE3CC3">
            <w:pPr>
              <w:spacing w:line="240" w:lineRule="auto"/>
              <w:ind w:right="776" w:firstLine="34"/>
              <w:jc w:val="center"/>
              <w:rPr>
                <w:rFonts w:eastAsia="Times New Roman" w:cs="Arial"/>
                <w:sz w:val="22"/>
                <w:lang w:eastAsia="fr-FR"/>
              </w:rPr>
            </w:pPr>
          </w:p>
          <w:p w:rsidR="009F58BA" w:rsidRPr="00D94F24" w:rsidRDefault="00BA4F93" w:rsidP="00EE3CC3">
            <w:pPr>
              <w:spacing w:line="240" w:lineRule="auto"/>
              <w:ind w:right="776" w:firstLine="34"/>
              <w:jc w:val="center"/>
              <w:rPr>
                <w:rFonts w:eastAsia="Times New Roman" w:cs="Arial"/>
                <w:i/>
                <w:sz w:val="22"/>
                <w:lang w:eastAsia="fr-FR"/>
              </w:rPr>
            </w:pPr>
            <w:r w:rsidRPr="00D94F24">
              <w:rPr>
                <w:rFonts w:eastAsia="Times New Roman" w:cs="Arial"/>
                <w:sz w:val="22"/>
                <w:lang w:eastAsia="fr-FR"/>
              </w:rPr>
              <w:t xml:space="preserve">Prononcé du </w:t>
            </w:r>
            <w:r w:rsidR="00325C6F" w:rsidRPr="00D94F24">
              <w:rPr>
                <w:rFonts w:eastAsia="Times New Roman" w:cs="Arial"/>
                <w:sz w:val="22"/>
                <w:lang w:eastAsia="fr-FR"/>
              </w:rPr>
              <w:t>10 décembre 2015</w:t>
            </w:r>
          </w:p>
          <w:p w:rsidR="009F58BA" w:rsidRPr="00D94F24" w:rsidRDefault="00924E2A">
            <w:pPr>
              <w:spacing w:line="240" w:lineRule="auto"/>
              <w:rPr>
                <w:rFonts w:eastAsia="Times New Roman" w:cs="Arial"/>
                <w:sz w:val="22"/>
                <w:lang w:eastAsia="fr-FR"/>
              </w:rPr>
            </w:pPr>
          </w:p>
        </w:tc>
        <w:tc>
          <w:tcPr>
            <w:tcW w:w="4786" w:type="dxa"/>
          </w:tcPr>
          <w:p w:rsidR="00325C6F" w:rsidRPr="00D94F24" w:rsidRDefault="00325C6F">
            <w:pPr>
              <w:spacing w:line="240" w:lineRule="auto"/>
              <w:rPr>
                <w:rFonts w:eastAsia="Times New Roman" w:cs="Arial"/>
                <w:sz w:val="22"/>
                <w:lang w:eastAsia="fr-FR"/>
              </w:rPr>
            </w:pPr>
          </w:p>
          <w:p w:rsidR="00325C6F" w:rsidRPr="00D94F24" w:rsidRDefault="00325C6F">
            <w:pPr>
              <w:spacing w:line="240" w:lineRule="auto"/>
              <w:rPr>
                <w:rFonts w:eastAsia="Times New Roman" w:cs="Arial"/>
                <w:sz w:val="22"/>
                <w:lang w:eastAsia="fr-FR"/>
              </w:rPr>
            </w:pPr>
            <w:r w:rsidRPr="00D94F24">
              <w:rPr>
                <w:rFonts w:eastAsia="Times New Roman" w:cs="Arial"/>
                <w:sz w:val="22"/>
                <w:lang w:eastAsia="fr-FR"/>
              </w:rPr>
              <w:t>COMMUNE D’AVAILLES-LIMOUZINE (VIENNE)</w:t>
            </w:r>
          </w:p>
          <w:p w:rsidR="009F58BA" w:rsidRPr="00D94F24" w:rsidRDefault="00924E2A">
            <w:pPr>
              <w:spacing w:line="240" w:lineRule="auto"/>
              <w:rPr>
                <w:rFonts w:eastAsia="Times New Roman" w:cs="Arial"/>
                <w:sz w:val="22"/>
                <w:lang w:eastAsia="fr-FR"/>
              </w:rPr>
            </w:pPr>
          </w:p>
          <w:p w:rsidR="009F58BA" w:rsidRPr="00D94F24" w:rsidRDefault="00BA4F93">
            <w:pPr>
              <w:spacing w:line="240" w:lineRule="auto"/>
              <w:rPr>
                <w:rFonts w:eastAsia="Times New Roman" w:cs="Arial"/>
                <w:sz w:val="22"/>
                <w:lang w:eastAsia="fr-FR"/>
              </w:rPr>
            </w:pPr>
            <w:r w:rsidRPr="00D94F24">
              <w:rPr>
                <w:rFonts w:eastAsia="Times New Roman" w:cs="Arial"/>
                <w:sz w:val="22"/>
                <w:lang w:eastAsia="fr-FR"/>
              </w:rPr>
              <w:t xml:space="preserve">Appel d’un jugement de la </w:t>
            </w:r>
            <w:r w:rsidR="00325C6F" w:rsidRPr="00D94F24">
              <w:rPr>
                <w:rFonts w:eastAsia="Times New Roman" w:cs="Arial"/>
                <w:sz w:val="22"/>
                <w:lang w:eastAsia="fr-FR"/>
              </w:rPr>
              <w:t>chambre régionale des comptes d’Aquitaine,</w:t>
            </w:r>
            <w:r w:rsidR="00811243">
              <w:rPr>
                <w:rFonts w:eastAsia="Times New Roman" w:cs="Arial"/>
                <w:sz w:val="22"/>
                <w:lang w:eastAsia="fr-FR"/>
              </w:rPr>
              <w:t xml:space="preserve"> </w:t>
            </w:r>
            <w:r w:rsidR="00325C6F" w:rsidRPr="00D94F24">
              <w:rPr>
                <w:rFonts w:eastAsia="Times New Roman" w:cs="Arial"/>
                <w:sz w:val="22"/>
                <w:lang w:eastAsia="fr-FR"/>
              </w:rPr>
              <w:t>Poitou-Charentes</w:t>
            </w:r>
          </w:p>
          <w:p w:rsidR="009F58BA" w:rsidRDefault="00924E2A">
            <w:pPr>
              <w:spacing w:line="240" w:lineRule="auto"/>
              <w:rPr>
                <w:rFonts w:eastAsia="Times New Roman" w:cs="Arial"/>
                <w:sz w:val="22"/>
                <w:lang w:eastAsia="fr-FR"/>
              </w:rPr>
            </w:pPr>
          </w:p>
          <w:p w:rsidR="00811243" w:rsidRPr="00D94F24" w:rsidRDefault="00811243">
            <w:pPr>
              <w:spacing w:line="240" w:lineRule="auto"/>
              <w:rPr>
                <w:rFonts w:eastAsia="Times New Roman" w:cs="Arial"/>
                <w:sz w:val="22"/>
                <w:lang w:eastAsia="fr-FR"/>
              </w:rPr>
            </w:pPr>
          </w:p>
          <w:p w:rsidR="009F58BA" w:rsidRPr="00D94F24" w:rsidRDefault="00BA4F93">
            <w:pPr>
              <w:spacing w:line="240" w:lineRule="auto"/>
              <w:rPr>
                <w:rFonts w:eastAsia="Times New Roman" w:cs="Arial"/>
                <w:sz w:val="22"/>
                <w:lang w:eastAsia="fr-FR"/>
              </w:rPr>
            </w:pPr>
            <w:r w:rsidRPr="00D94F24">
              <w:rPr>
                <w:rFonts w:eastAsia="Times New Roman" w:cs="Arial"/>
                <w:sz w:val="22"/>
                <w:lang w:eastAsia="fr-FR"/>
              </w:rPr>
              <w:t>Rapport n° </w:t>
            </w:r>
            <w:r w:rsidR="00325C6F" w:rsidRPr="00D94F24">
              <w:rPr>
                <w:rFonts w:eastAsia="Times New Roman" w:cs="Arial"/>
                <w:sz w:val="22"/>
                <w:lang w:eastAsia="fr-FR"/>
              </w:rPr>
              <w:t>2015-290-0</w:t>
            </w:r>
          </w:p>
          <w:p w:rsidR="009F58BA" w:rsidRPr="00D94F24" w:rsidRDefault="00924E2A">
            <w:pPr>
              <w:spacing w:line="240" w:lineRule="auto"/>
              <w:rPr>
                <w:rFonts w:eastAsia="Times New Roman" w:cs="Arial"/>
                <w:sz w:val="22"/>
                <w:lang w:eastAsia="fr-FR"/>
              </w:rPr>
            </w:pPr>
          </w:p>
        </w:tc>
      </w:tr>
    </w:tbl>
    <w:p w:rsidR="00C744AF" w:rsidRDefault="00924E2A" w:rsidP="00C744AF">
      <w:pPr>
        <w:spacing w:line="240" w:lineRule="auto"/>
        <w:ind w:left="5670"/>
        <w:rPr>
          <w:rFonts w:eastAsia="Times New Roman" w:cs="Arial"/>
          <w:sz w:val="24"/>
          <w:szCs w:val="24"/>
          <w:lang w:eastAsia="fr-FR"/>
        </w:rPr>
      </w:pPr>
    </w:p>
    <w:p w:rsidR="003828AB" w:rsidRPr="00E95155" w:rsidRDefault="003828AB" w:rsidP="00C744AF">
      <w:pPr>
        <w:spacing w:line="240" w:lineRule="auto"/>
        <w:ind w:left="5670"/>
        <w:rPr>
          <w:rFonts w:eastAsia="Times New Roman" w:cs="Arial"/>
          <w:sz w:val="24"/>
          <w:szCs w:val="24"/>
          <w:lang w:eastAsia="fr-FR"/>
        </w:rPr>
      </w:pPr>
    </w:p>
    <w:p w:rsidR="00C744AF" w:rsidRPr="00D94F24" w:rsidRDefault="00BA4F93" w:rsidP="00C744AF">
      <w:pPr>
        <w:tabs>
          <w:tab w:val="center" w:pos="9072"/>
        </w:tabs>
        <w:spacing w:line="240" w:lineRule="auto"/>
        <w:jc w:val="center"/>
        <w:rPr>
          <w:rFonts w:eastAsia="Times New Roman" w:cs="Arial"/>
          <w:sz w:val="22"/>
          <w:lang w:eastAsia="fr-FR"/>
        </w:rPr>
      </w:pPr>
      <w:r w:rsidRPr="00D94F24">
        <w:rPr>
          <w:rFonts w:eastAsia="Times New Roman" w:cs="Arial"/>
          <w:sz w:val="22"/>
          <w:lang w:eastAsia="fr-FR"/>
        </w:rPr>
        <w:t>République Française,</w:t>
      </w:r>
    </w:p>
    <w:p w:rsidR="00C744AF" w:rsidRPr="00D94F24" w:rsidRDefault="00BA4F93" w:rsidP="00C744AF">
      <w:pPr>
        <w:tabs>
          <w:tab w:val="center" w:pos="9072"/>
        </w:tabs>
        <w:spacing w:line="240" w:lineRule="auto"/>
        <w:jc w:val="center"/>
        <w:rPr>
          <w:rFonts w:eastAsia="Times New Roman" w:cs="Arial"/>
          <w:sz w:val="22"/>
          <w:lang w:eastAsia="fr-FR"/>
        </w:rPr>
      </w:pPr>
      <w:r w:rsidRPr="00D94F24">
        <w:rPr>
          <w:rFonts w:eastAsia="Times New Roman" w:cs="Arial"/>
          <w:sz w:val="22"/>
          <w:lang w:eastAsia="fr-FR"/>
        </w:rPr>
        <w:t>Au nom du peuple français,</w:t>
      </w:r>
    </w:p>
    <w:p w:rsidR="00C744AF" w:rsidRPr="00D94F24" w:rsidRDefault="00924E2A" w:rsidP="00C744AF">
      <w:pPr>
        <w:tabs>
          <w:tab w:val="center" w:pos="9072"/>
        </w:tabs>
        <w:spacing w:line="240" w:lineRule="auto"/>
        <w:jc w:val="center"/>
        <w:rPr>
          <w:rFonts w:eastAsia="Times New Roman" w:cs="Arial"/>
          <w:sz w:val="22"/>
          <w:lang w:eastAsia="fr-FR"/>
        </w:rPr>
      </w:pPr>
    </w:p>
    <w:p w:rsidR="00C744AF" w:rsidRPr="00D94F24" w:rsidRDefault="00BA4F93" w:rsidP="00C744AF">
      <w:pPr>
        <w:tabs>
          <w:tab w:val="center" w:pos="9072"/>
        </w:tabs>
        <w:spacing w:before="120" w:after="360" w:line="240" w:lineRule="auto"/>
        <w:jc w:val="center"/>
        <w:rPr>
          <w:rFonts w:eastAsia="Times New Roman" w:cs="Arial"/>
          <w:sz w:val="22"/>
          <w:lang w:eastAsia="fr-FR"/>
        </w:rPr>
      </w:pPr>
      <w:r w:rsidRPr="00D94F24">
        <w:rPr>
          <w:rFonts w:eastAsia="Times New Roman" w:cs="Arial"/>
          <w:sz w:val="22"/>
          <w:lang w:eastAsia="fr-FR"/>
        </w:rPr>
        <w:t>La Cour,</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 xml:space="preserve">Vu la requête, enregistrée le 22 janvier 2014 au greffe de la chambre régionale des comptes d’Aquitaine, Poitou-Charentes, par laquelle </w:t>
      </w:r>
      <w:r w:rsidR="00C6540F">
        <w:rPr>
          <w:rFonts w:ascii="Arial" w:hAnsi="Arial" w:cs="Arial"/>
          <w:sz w:val="22"/>
          <w:szCs w:val="22"/>
        </w:rPr>
        <w:t>M</w:t>
      </w:r>
      <w:r w:rsidR="00C6540F" w:rsidRPr="00EE3CC3">
        <w:rPr>
          <w:rFonts w:ascii="Arial" w:hAnsi="Arial" w:cs="Arial"/>
          <w:sz w:val="22"/>
          <w:szCs w:val="22"/>
          <w:vertAlign w:val="superscript"/>
        </w:rPr>
        <w:t>me</w:t>
      </w:r>
      <w:r w:rsidR="00C6540F">
        <w:rPr>
          <w:rFonts w:ascii="Arial" w:hAnsi="Arial" w:cs="Arial"/>
          <w:sz w:val="22"/>
          <w:szCs w:val="22"/>
        </w:rPr>
        <w:t xml:space="preserve"> X</w:t>
      </w:r>
      <w:r w:rsidRPr="00D94F24">
        <w:rPr>
          <w:rFonts w:ascii="Arial" w:hAnsi="Arial" w:cs="Arial"/>
          <w:sz w:val="22"/>
          <w:szCs w:val="22"/>
        </w:rPr>
        <w:t>, comptable intérimaire de la commune d’Availles-Limouzine du 29 mars au 30</w:t>
      </w:r>
      <w:r w:rsidR="00EE3CC3">
        <w:rPr>
          <w:rFonts w:ascii="Arial" w:hAnsi="Arial" w:cs="Arial"/>
          <w:sz w:val="22"/>
          <w:szCs w:val="22"/>
        </w:rPr>
        <w:t xml:space="preserve"> </w:t>
      </w:r>
      <w:r w:rsidRPr="00D94F24">
        <w:rPr>
          <w:rFonts w:ascii="Arial" w:hAnsi="Arial" w:cs="Arial"/>
          <w:sz w:val="22"/>
          <w:szCs w:val="22"/>
        </w:rPr>
        <w:t>juin</w:t>
      </w:r>
      <w:r w:rsidR="00EE3CC3">
        <w:rPr>
          <w:rFonts w:ascii="Arial" w:hAnsi="Arial" w:cs="Arial"/>
          <w:sz w:val="22"/>
          <w:szCs w:val="22"/>
        </w:rPr>
        <w:t xml:space="preserve"> </w:t>
      </w:r>
      <w:smartTag w:uri="urn:schemas-microsoft-com:office:smarttags" w:element="metricconverter">
        <w:smartTagPr>
          <w:attr w:name="ProductID" w:val="2010, a"/>
        </w:smartTagPr>
        <w:r w:rsidRPr="00D94F24">
          <w:rPr>
            <w:rFonts w:ascii="Arial" w:hAnsi="Arial" w:cs="Arial"/>
            <w:sz w:val="22"/>
            <w:szCs w:val="22"/>
          </w:rPr>
          <w:t>2010,</w:t>
        </w:r>
        <w:r w:rsidRPr="00D94F24">
          <w:rPr>
            <w:rFonts w:ascii="Arial" w:hAnsi="Arial" w:cs="Arial"/>
            <w:b/>
            <w:sz w:val="22"/>
            <w:szCs w:val="22"/>
          </w:rPr>
          <w:t xml:space="preserve"> </w:t>
        </w:r>
        <w:r w:rsidRPr="00D94F24">
          <w:rPr>
            <w:rFonts w:ascii="Arial" w:hAnsi="Arial" w:cs="Arial"/>
            <w:sz w:val="22"/>
            <w:szCs w:val="22"/>
          </w:rPr>
          <w:t>a</w:t>
        </w:r>
      </w:smartTag>
      <w:r w:rsidRPr="00D94F24">
        <w:rPr>
          <w:rFonts w:ascii="Arial" w:hAnsi="Arial" w:cs="Arial"/>
          <w:sz w:val="22"/>
          <w:szCs w:val="22"/>
        </w:rPr>
        <w:t xml:space="preserve"> élevé appel du jugement</w:t>
      </w:r>
      <w:r w:rsidRPr="00D94F24">
        <w:rPr>
          <w:rFonts w:ascii="Arial" w:hAnsi="Arial" w:cs="Arial"/>
          <w:b/>
          <w:sz w:val="22"/>
          <w:szCs w:val="22"/>
        </w:rPr>
        <w:t xml:space="preserve"> </w:t>
      </w:r>
      <w:r w:rsidRPr="00D94F24">
        <w:rPr>
          <w:rFonts w:ascii="Arial" w:hAnsi="Arial" w:cs="Arial"/>
          <w:sz w:val="22"/>
          <w:szCs w:val="22"/>
        </w:rPr>
        <w:t>n° 2013-022 du 18</w:t>
      </w:r>
      <w:r w:rsidR="00EE3CC3">
        <w:rPr>
          <w:rFonts w:ascii="Arial" w:hAnsi="Arial" w:cs="Arial"/>
          <w:sz w:val="22"/>
          <w:szCs w:val="22"/>
        </w:rPr>
        <w:t xml:space="preserve"> </w:t>
      </w:r>
      <w:r w:rsidRPr="00D94F24">
        <w:rPr>
          <w:rFonts w:ascii="Arial" w:hAnsi="Arial" w:cs="Arial"/>
          <w:sz w:val="22"/>
          <w:szCs w:val="22"/>
        </w:rPr>
        <w:t>décembre</w:t>
      </w:r>
      <w:r w:rsidR="00EE3CC3">
        <w:rPr>
          <w:rFonts w:ascii="Arial" w:hAnsi="Arial" w:cs="Arial"/>
          <w:sz w:val="22"/>
          <w:szCs w:val="22"/>
        </w:rPr>
        <w:t xml:space="preserve"> </w:t>
      </w:r>
      <w:r w:rsidRPr="00D94F24">
        <w:rPr>
          <w:rFonts w:ascii="Arial" w:hAnsi="Arial" w:cs="Arial"/>
          <w:sz w:val="22"/>
          <w:szCs w:val="22"/>
        </w:rPr>
        <w:t>2013 par lequel ladite chambre l’a constituée débitrice de cette commune pour la somme totale de</w:t>
      </w:r>
      <w:r w:rsidR="00EE3CC3">
        <w:rPr>
          <w:rFonts w:ascii="Arial" w:hAnsi="Arial" w:cs="Arial"/>
          <w:sz w:val="22"/>
          <w:szCs w:val="22"/>
        </w:rPr>
        <w:t xml:space="preserve"> </w:t>
      </w:r>
      <w:r w:rsidRPr="00D94F24">
        <w:rPr>
          <w:rFonts w:ascii="Arial" w:hAnsi="Arial" w:cs="Arial"/>
          <w:sz w:val="22"/>
          <w:szCs w:val="22"/>
        </w:rPr>
        <w:t>6 262,03 €, augmentée des intérêts de droit calculés à compter du 21</w:t>
      </w:r>
      <w:r w:rsidR="00EE3CC3">
        <w:rPr>
          <w:rFonts w:ascii="Arial" w:hAnsi="Arial" w:cs="Arial"/>
          <w:sz w:val="22"/>
          <w:szCs w:val="22"/>
        </w:rPr>
        <w:t xml:space="preserve"> </w:t>
      </w:r>
      <w:r w:rsidRPr="00D94F24">
        <w:rPr>
          <w:rFonts w:ascii="Arial" w:hAnsi="Arial" w:cs="Arial"/>
          <w:sz w:val="22"/>
          <w:szCs w:val="22"/>
        </w:rPr>
        <w:t>février</w:t>
      </w:r>
      <w:r w:rsidR="00EE3CC3">
        <w:rPr>
          <w:rFonts w:ascii="Arial" w:hAnsi="Arial" w:cs="Arial"/>
          <w:sz w:val="22"/>
          <w:szCs w:val="22"/>
        </w:rPr>
        <w:t xml:space="preserve"> </w:t>
      </w:r>
      <w:r w:rsidRPr="00D94F24">
        <w:rPr>
          <w:rFonts w:ascii="Arial" w:hAnsi="Arial" w:cs="Arial"/>
          <w:sz w:val="22"/>
          <w:szCs w:val="22"/>
        </w:rPr>
        <w:t>2013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le réquisitoire du Procureur général près la Cour des comptes n° 2014-46 du 31</w:t>
      </w:r>
      <w:r w:rsidR="00EE3CC3">
        <w:rPr>
          <w:rFonts w:ascii="Arial" w:hAnsi="Arial" w:cs="Arial"/>
          <w:sz w:val="22"/>
          <w:szCs w:val="22"/>
        </w:rPr>
        <w:t xml:space="preserve"> </w:t>
      </w:r>
      <w:r w:rsidRPr="00D94F24">
        <w:rPr>
          <w:rFonts w:ascii="Arial" w:hAnsi="Arial" w:cs="Arial"/>
          <w:sz w:val="22"/>
          <w:szCs w:val="22"/>
        </w:rPr>
        <w:t>mars</w:t>
      </w:r>
      <w:r w:rsidR="00EE3CC3">
        <w:rPr>
          <w:rFonts w:ascii="Arial" w:hAnsi="Arial" w:cs="Arial"/>
          <w:sz w:val="22"/>
          <w:szCs w:val="22"/>
        </w:rPr>
        <w:t xml:space="preserve"> </w:t>
      </w:r>
      <w:r w:rsidRPr="00D94F24">
        <w:rPr>
          <w:rFonts w:ascii="Arial" w:hAnsi="Arial" w:cs="Arial"/>
          <w:sz w:val="22"/>
          <w:szCs w:val="22"/>
        </w:rPr>
        <w:t>2014 transmettant la requête à la Cour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les pièces de la procédure suivie en première instance</w:t>
      </w:r>
      <w:r w:rsidR="00EE3CC3">
        <w:rPr>
          <w:rFonts w:ascii="Arial" w:hAnsi="Arial" w:cs="Arial"/>
          <w:sz w:val="22"/>
          <w:szCs w:val="22"/>
        </w:rPr>
        <w:t>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le code des juridictions financières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le code général des collectivités territoriales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l’article 60 de la loi de finances n° 63-156 du 23 février 1963 modifiée</w:t>
      </w:r>
      <w:r w:rsidR="00EE3CC3">
        <w:rPr>
          <w:rFonts w:ascii="Arial" w:hAnsi="Arial" w:cs="Arial"/>
          <w:sz w:val="22"/>
          <w:szCs w:val="22"/>
        </w:rPr>
        <w:t> ;</w:t>
      </w:r>
    </w:p>
    <w:p w:rsidR="00325C6F" w:rsidRPr="00D94F24" w:rsidRDefault="00325C6F" w:rsidP="00325C6F">
      <w:pPr>
        <w:pStyle w:val="PS"/>
        <w:spacing w:after="240"/>
        <w:ind w:left="0" w:firstLine="0"/>
        <w:rPr>
          <w:rFonts w:ascii="Arial" w:hAnsi="Arial" w:cs="Arial"/>
          <w:sz w:val="22"/>
          <w:szCs w:val="22"/>
        </w:rPr>
      </w:pPr>
      <w:r w:rsidRPr="00D94F24">
        <w:rPr>
          <w:rFonts w:ascii="Arial" w:hAnsi="Arial" w:cs="Arial"/>
          <w:sz w:val="22"/>
          <w:szCs w:val="22"/>
        </w:rPr>
        <w:t>Vu le décret n° 62-1587 du 29 décembre 1962 modifié portant règlement général sur la comptabilité publique, en vigueur au moment des faits ;</w:t>
      </w:r>
    </w:p>
    <w:p w:rsidR="00325C6F" w:rsidRPr="00D94F24" w:rsidRDefault="00325C6F" w:rsidP="00DE76F3">
      <w:pPr>
        <w:pStyle w:val="PS"/>
        <w:spacing w:after="240"/>
        <w:ind w:left="0" w:firstLine="0"/>
        <w:rPr>
          <w:rFonts w:ascii="Arial" w:hAnsi="Arial" w:cs="Arial"/>
          <w:sz w:val="22"/>
          <w:szCs w:val="22"/>
        </w:rPr>
      </w:pPr>
      <w:r w:rsidRPr="00D94F24">
        <w:rPr>
          <w:rFonts w:ascii="Arial" w:hAnsi="Arial" w:cs="Arial"/>
          <w:sz w:val="22"/>
          <w:szCs w:val="22"/>
        </w:rPr>
        <w:t>Vu le décret n° 64-685 du 2 juillet 1964 relatif à la constitution et à la libération du cautionnement exigé des comptables publics, ensemble le décret n° 2006-1183 du 26</w:t>
      </w:r>
      <w:r w:rsidR="00EE3CC3">
        <w:rPr>
          <w:rFonts w:ascii="Arial" w:hAnsi="Arial" w:cs="Arial"/>
          <w:sz w:val="22"/>
          <w:szCs w:val="22"/>
        </w:rPr>
        <w:t xml:space="preserve"> </w:t>
      </w:r>
      <w:r w:rsidRPr="00D94F24">
        <w:rPr>
          <w:rFonts w:ascii="Arial" w:hAnsi="Arial" w:cs="Arial"/>
          <w:sz w:val="22"/>
          <w:szCs w:val="22"/>
        </w:rPr>
        <w:t>septembre</w:t>
      </w:r>
      <w:r w:rsidR="00EE3CC3">
        <w:rPr>
          <w:rFonts w:ascii="Arial" w:hAnsi="Arial" w:cs="Arial"/>
          <w:sz w:val="22"/>
          <w:szCs w:val="22"/>
        </w:rPr>
        <w:t xml:space="preserve"> </w:t>
      </w:r>
      <w:r w:rsidRPr="00D94F24">
        <w:rPr>
          <w:rFonts w:ascii="Arial" w:hAnsi="Arial" w:cs="Arial"/>
          <w:sz w:val="22"/>
          <w:szCs w:val="22"/>
        </w:rPr>
        <w:t>2006</w:t>
      </w:r>
      <w:r w:rsidRPr="00D94F24">
        <w:rPr>
          <w:rFonts w:ascii="Arial" w:hAnsi="Arial" w:cs="Arial"/>
          <w:bCs/>
          <w:color w:val="5D5E61"/>
          <w:sz w:val="22"/>
          <w:szCs w:val="22"/>
        </w:rPr>
        <w:t xml:space="preserve"> </w:t>
      </w:r>
      <w:r w:rsidRPr="00D94F24">
        <w:rPr>
          <w:rFonts w:ascii="Arial" w:hAnsi="Arial" w:cs="Arial"/>
          <w:bCs/>
          <w:sz w:val="22"/>
          <w:szCs w:val="22"/>
        </w:rPr>
        <w:t>relatif à la détermination du montant du cautionnement à constituer par les contrôleurs budgétaires et comptables ministériels, les comptables directs du</w:t>
      </w:r>
      <w:r w:rsidR="00EE3CC3">
        <w:rPr>
          <w:rFonts w:ascii="Arial" w:hAnsi="Arial" w:cs="Arial"/>
          <w:bCs/>
          <w:sz w:val="22"/>
          <w:szCs w:val="22"/>
        </w:rPr>
        <w:t xml:space="preserve"> </w:t>
      </w:r>
      <w:r w:rsidRPr="00D94F24">
        <w:rPr>
          <w:rFonts w:ascii="Arial" w:hAnsi="Arial" w:cs="Arial"/>
          <w:bCs/>
          <w:sz w:val="22"/>
          <w:szCs w:val="22"/>
        </w:rPr>
        <w:t xml:space="preserve">Trésor et les huissiers du Trésor public et </w:t>
      </w:r>
      <w:r w:rsidRPr="00D94F24">
        <w:rPr>
          <w:rFonts w:ascii="Arial" w:hAnsi="Arial" w:cs="Arial"/>
          <w:sz w:val="22"/>
          <w:szCs w:val="22"/>
        </w:rPr>
        <w:t>l’arrêté du 19</w:t>
      </w:r>
      <w:r w:rsidR="00437765">
        <w:rPr>
          <w:rFonts w:ascii="Arial" w:hAnsi="Arial" w:cs="Arial"/>
          <w:sz w:val="22"/>
          <w:szCs w:val="22"/>
        </w:rPr>
        <w:t xml:space="preserve"> </w:t>
      </w:r>
      <w:r w:rsidRPr="00D94F24">
        <w:rPr>
          <w:rFonts w:ascii="Arial" w:hAnsi="Arial" w:cs="Arial"/>
          <w:sz w:val="22"/>
          <w:szCs w:val="22"/>
        </w:rPr>
        <w:t xml:space="preserve">avril 2010 </w:t>
      </w:r>
      <w:r w:rsidRPr="00D94F24">
        <w:rPr>
          <w:rFonts w:ascii="Arial" w:hAnsi="Arial" w:cs="Arial"/>
          <w:bCs/>
          <w:sz w:val="22"/>
          <w:szCs w:val="22"/>
        </w:rPr>
        <w:t>relatif à la fixation du cautionnement des contrôleurs budgétaires et comptables ministériels, des comptables directs du Trésor, des huissiers du Trésor public, du comptable de la direction des grandes entreprises, de l’agent comptable des impôts de Paris, des comptables des services des impôts des entreprises et des conservateurs des hypothèques ;</w:t>
      </w:r>
    </w:p>
    <w:p w:rsidR="00325C6F" w:rsidRPr="00D94F24" w:rsidRDefault="00325C6F" w:rsidP="00DE76F3">
      <w:pPr>
        <w:pStyle w:val="PS"/>
        <w:spacing w:after="240"/>
        <w:ind w:left="0" w:firstLine="0"/>
        <w:rPr>
          <w:rFonts w:ascii="Arial" w:hAnsi="Arial" w:cs="Arial"/>
          <w:bCs/>
          <w:sz w:val="22"/>
          <w:szCs w:val="22"/>
        </w:rPr>
      </w:pPr>
      <w:r w:rsidRPr="00D94F24">
        <w:rPr>
          <w:rFonts w:ascii="Arial" w:hAnsi="Arial" w:cs="Arial"/>
          <w:bCs/>
          <w:sz w:val="22"/>
          <w:szCs w:val="22"/>
        </w:rPr>
        <w:lastRenderedPageBreak/>
        <w:t>Vu le décret n° 2012-1386 du 10 décembre 2012 portant application du deuxième alinéa du</w:t>
      </w:r>
      <w:r w:rsidR="00EE3CC3">
        <w:rPr>
          <w:rFonts w:ascii="Arial" w:hAnsi="Arial" w:cs="Arial"/>
          <w:bCs/>
          <w:sz w:val="22"/>
          <w:szCs w:val="22"/>
        </w:rPr>
        <w:t xml:space="preserve"> </w:t>
      </w:r>
      <w:r w:rsidRPr="00D94F24">
        <w:rPr>
          <w:rFonts w:ascii="Arial" w:hAnsi="Arial" w:cs="Arial"/>
          <w:bCs/>
          <w:sz w:val="22"/>
          <w:szCs w:val="22"/>
        </w:rPr>
        <w:t>VI de l'article 60 de la loi de finances de 1963 modifiée dans sa rédaction issue de l’article</w:t>
      </w:r>
      <w:r w:rsidR="00EE3CC3">
        <w:rPr>
          <w:rFonts w:ascii="Arial" w:hAnsi="Arial" w:cs="Arial"/>
          <w:bCs/>
          <w:sz w:val="22"/>
          <w:szCs w:val="22"/>
        </w:rPr>
        <w:t xml:space="preserve"> </w:t>
      </w:r>
      <w:r w:rsidRPr="00D94F24">
        <w:rPr>
          <w:rFonts w:ascii="Arial" w:hAnsi="Arial" w:cs="Arial"/>
          <w:bCs/>
          <w:sz w:val="22"/>
          <w:szCs w:val="22"/>
        </w:rPr>
        <w:t>90 de la loi n° 2011-1978 du 28</w:t>
      </w:r>
      <w:r w:rsidR="00EE3CC3">
        <w:rPr>
          <w:rFonts w:ascii="Arial" w:hAnsi="Arial" w:cs="Arial"/>
          <w:bCs/>
          <w:sz w:val="22"/>
          <w:szCs w:val="22"/>
        </w:rPr>
        <w:t xml:space="preserve"> </w:t>
      </w:r>
      <w:r w:rsidRPr="00D94F24">
        <w:rPr>
          <w:rFonts w:ascii="Arial" w:hAnsi="Arial" w:cs="Arial"/>
          <w:bCs/>
          <w:sz w:val="22"/>
          <w:szCs w:val="22"/>
        </w:rPr>
        <w:t>décembre</w:t>
      </w:r>
      <w:r w:rsidR="00EE3CC3">
        <w:rPr>
          <w:rFonts w:ascii="Arial" w:hAnsi="Arial" w:cs="Arial"/>
          <w:bCs/>
          <w:sz w:val="22"/>
          <w:szCs w:val="22"/>
        </w:rPr>
        <w:t xml:space="preserve"> </w:t>
      </w:r>
      <w:r w:rsidRPr="00D94F24">
        <w:rPr>
          <w:rFonts w:ascii="Arial" w:hAnsi="Arial" w:cs="Arial"/>
          <w:bCs/>
          <w:sz w:val="22"/>
          <w:szCs w:val="22"/>
        </w:rPr>
        <w:t>2011 de finances rectificative pour 2011 ;</w:t>
      </w:r>
    </w:p>
    <w:p w:rsidR="00325C6F" w:rsidRPr="00D94F24" w:rsidRDefault="00325C6F" w:rsidP="00DE76F3">
      <w:pPr>
        <w:pStyle w:val="PS"/>
        <w:spacing w:after="240"/>
        <w:ind w:left="0" w:firstLine="0"/>
        <w:rPr>
          <w:rFonts w:ascii="Arial" w:hAnsi="Arial" w:cs="Arial"/>
          <w:sz w:val="22"/>
          <w:szCs w:val="22"/>
        </w:rPr>
      </w:pPr>
      <w:r w:rsidRPr="00D94F24">
        <w:rPr>
          <w:rFonts w:ascii="Arial" w:hAnsi="Arial" w:cs="Arial"/>
          <w:sz w:val="22"/>
          <w:szCs w:val="22"/>
        </w:rPr>
        <w:t>Vu le rapport de M. Vincent FELLER, conseiller maître ;</w:t>
      </w:r>
    </w:p>
    <w:p w:rsidR="00325C6F" w:rsidRPr="00D94F24" w:rsidRDefault="00325C6F" w:rsidP="00DE76F3">
      <w:pPr>
        <w:pStyle w:val="PS"/>
        <w:spacing w:after="240"/>
        <w:ind w:left="0" w:firstLine="0"/>
        <w:rPr>
          <w:rFonts w:ascii="Arial" w:hAnsi="Arial" w:cs="Arial"/>
          <w:sz w:val="22"/>
          <w:szCs w:val="22"/>
        </w:rPr>
      </w:pPr>
      <w:r w:rsidRPr="00D94F24">
        <w:rPr>
          <w:rFonts w:ascii="Arial" w:hAnsi="Arial" w:cs="Arial"/>
          <w:sz w:val="22"/>
          <w:szCs w:val="22"/>
        </w:rPr>
        <w:t>Vu les conclusions du Procureur général n° 700 du 6 novembre 2015</w:t>
      </w:r>
      <w:r w:rsidR="00EE3CC3">
        <w:rPr>
          <w:rFonts w:ascii="Arial" w:hAnsi="Arial" w:cs="Arial"/>
          <w:sz w:val="22"/>
          <w:szCs w:val="22"/>
        </w:rPr>
        <w:t> </w:t>
      </w:r>
      <w:r w:rsidRPr="00D94F24">
        <w:rPr>
          <w:rFonts w:ascii="Arial" w:hAnsi="Arial" w:cs="Arial"/>
          <w:sz w:val="22"/>
          <w:szCs w:val="22"/>
        </w:rPr>
        <w:t>;</w:t>
      </w:r>
    </w:p>
    <w:p w:rsidR="00325C6F" w:rsidRPr="00D94F24" w:rsidRDefault="00325C6F" w:rsidP="00DE76F3">
      <w:pPr>
        <w:pStyle w:val="PS"/>
        <w:spacing w:after="240"/>
        <w:ind w:left="0" w:firstLine="0"/>
        <w:rPr>
          <w:rFonts w:ascii="Arial" w:hAnsi="Arial" w:cs="Arial"/>
          <w:sz w:val="22"/>
          <w:szCs w:val="22"/>
        </w:rPr>
      </w:pPr>
      <w:r w:rsidRPr="00D94F24">
        <w:rPr>
          <w:rFonts w:ascii="Arial" w:hAnsi="Arial" w:cs="Arial"/>
          <w:sz w:val="22"/>
          <w:szCs w:val="22"/>
        </w:rPr>
        <w:t>Entendu, lors de l’audience publique de ce jour, M. FELLER, en son rapport, M. Christian</w:t>
      </w:r>
      <w:r w:rsidR="00DE76F3" w:rsidRPr="00D94F24">
        <w:rPr>
          <w:rFonts w:ascii="Arial" w:hAnsi="Arial" w:cs="Arial"/>
          <w:sz w:val="22"/>
          <w:szCs w:val="22"/>
        </w:rPr>
        <w:t> </w:t>
      </w:r>
      <w:r w:rsidRPr="00D94F24">
        <w:rPr>
          <w:rFonts w:ascii="Arial" w:hAnsi="Arial" w:cs="Arial"/>
          <w:sz w:val="22"/>
          <w:szCs w:val="22"/>
        </w:rPr>
        <w:t xml:space="preserve">MICHAUT, avocat général, en les conclusions du ministère public ; </w:t>
      </w:r>
    </w:p>
    <w:p w:rsidR="00DE76F3" w:rsidRPr="00D94F24" w:rsidRDefault="00DE76F3" w:rsidP="00DE76F3">
      <w:pPr>
        <w:pStyle w:val="PS"/>
        <w:spacing w:after="240"/>
        <w:ind w:left="0" w:firstLine="0"/>
        <w:rPr>
          <w:rFonts w:ascii="Arial" w:hAnsi="Arial" w:cs="Arial"/>
          <w:sz w:val="22"/>
          <w:szCs w:val="22"/>
        </w:rPr>
      </w:pPr>
      <w:r w:rsidRPr="00D94F24">
        <w:rPr>
          <w:rFonts w:ascii="Arial" w:hAnsi="Arial" w:cs="Arial"/>
          <w:sz w:val="22"/>
          <w:szCs w:val="22"/>
        </w:rPr>
        <w:t>Après avoir entendu en délibéré M. Jean-Pierre LAFAURE, conseiller maître, en ses observations ;</w:t>
      </w:r>
    </w:p>
    <w:p w:rsidR="00DE76F3" w:rsidRPr="00D94F24" w:rsidRDefault="00DE76F3" w:rsidP="00DE76F3">
      <w:pPr>
        <w:pStyle w:val="PS"/>
        <w:spacing w:after="240"/>
        <w:ind w:left="0" w:firstLine="0"/>
        <w:rPr>
          <w:rFonts w:ascii="Arial" w:hAnsi="Arial" w:cs="Arial"/>
          <w:sz w:val="22"/>
          <w:szCs w:val="22"/>
        </w:rPr>
      </w:pPr>
      <w:r w:rsidRPr="00D94F24">
        <w:rPr>
          <w:rFonts w:ascii="Arial" w:hAnsi="Arial" w:cs="Arial"/>
          <w:sz w:val="22"/>
          <w:szCs w:val="22"/>
        </w:rPr>
        <w:t xml:space="preserve">Attendu que, par le jugement entrepris, la chambre régionale a constitué </w:t>
      </w:r>
      <w:r w:rsidR="00C6540F">
        <w:rPr>
          <w:rFonts w:ascii="Arial" w:hAnsi="Arial" w:cs="Arial"/>
          <w:sz w:val="22"/>
          <w:szCs w:val="22"/>
        </w:rPr>
        <w:t>M</w:t>
      </w:r>
      <w:r w:rsidR="00C6540F" w:rsidRPr="00EE3CC3">
        <w:rPr>
          <w:rFonts w:ascii="Arial" w:hAnsi="Arial" w:cs="Arial"/>
          <w:sz w:val="22"/>
          <w:szCs w:val="22"/>
          <w:vertAlign w:val="superscript"/>
        </w:rPr>
        <w:t>me</w:t>
      </w:r>
      <w:r w:rsidR="00C6540F">
        <w:rPr>
          <w:rFonts w:ascii="Arial" w:hAnsi="Arial" w:cs="Arial"/>
          <w:sz w:val="22"/>
          <w:szCs w:val="22"/>
        </w:rPr>
        <w:t xml:space="preserve"> X</w:t>
      </w:r>
      <w:r w:rsidRPr="00D94F24">
        <w:rPr>
          <w:rFonts w:ascii="Arial" w:hAnsi="Arial" w:cs="Arial"/>
          <w:sz w:val="22"/>
          <w:szCs w:val="22"/>
        </w:rPr>
        <w:t>, comptable intérimaire de la commune d’Availles-Limouzine, débitrice de cette commune pour la somme totale de 6 262,03 €, pour avoir pris en charge des mandats d’annulation de titres en l’absence des pièces justificatives requises</w:t>
      </w:r>
      <w:r w:rsidR="00EE3CC3">
        <w:rPr>
          <w:rFonts w:ascii="Arial" w:hAnsi="Arial" w:cs="Arial"/>
          <w:sz w:val="22"/>
          <w:szCs w:val="22"/>
        </w:rPr>
        <w:t> </w:t>
      </w:r>
      <w:r w:rsidRPr="00D94F24">
        <w:rPr>
          <w:rFonts w:ascii="Arial" w:hAnsi="Arial" w:cs="Arial"/>
          <w:sz w:val="22"/>
          <w:szCs w:val="22"/>
        </w:rPr>
        <w:t>;</w:t>
      </w:r>
    </w:p>
    <w:p w:rsidR="00DE76F3" w:rsidRPr="00D94F24" w:rsidRDefault="00DE76F3" w:rsidP="00DE76F3">
      <w:pPr>
        <w:pStyle w:val="PS"/>
        <w:spacing w:after="240"/>
        <w:ind w:left="0" w:firstLine="0"/>
        <w:rPr>
          <w:rFonts w:ascii="Arial" w:hAnsi="Arial" w:cs="Arial"/>
          <w:sz w:val="22"/>
          <w:szCs w:val="22"/>
        </w:rPr>
      </w:pPr>
      <w:r w:rsidRPr="00D94F24">
        <w:rPr>
          <w:rFonts w:ascii="Arial" w:hAnsi="Arial" w:cs="Arial"/>
          <w:sz w:val="22"/>
          <w:szCs w:val="22"/>
        </w:rPr>
        <w:t>Attendu que l’appelante demande à la Cour d’annuler le jugement « pour erreur manifeste d’appréciation et de droit en ce qu’il oppose un barème de cautionnement erroné pour liquider le plafond de l’éventuelle remise gracieuse », d’admettre l’absence de préjudice financier et d’infirmer en conséquence le jugement, de prendre enfin en compte les difficultés du poste comptable ;</w:t>
      </w:r>
    </w:p>
    <w:p w:rsidR="00DE76F3" w:rsidRPr="00D94F24" w:rsidRDefault="00DE76F3" w:rsidP="00DE76F3">
      <w:pPr>
        <w:pStyle w:val="PS"/>
        <w:ind w:left="0" w:firstLine="0"/>
        <w:rPr>
          <w:rFonts w:ascii="Arial" w:hAnsi="Arial" w:cs="Arial"/>
          <w:sz w:val="22"/>
          <w:szCs w:val="22"/>
        </w:rPr>
      </w:pPr>
      <w:r w:rsidRPr="00D94F24">
        <w:rPr>
          <w:rFonts w:ascii="Arial" w:hAnsi="Arial" w:cs="Arial"/>
          <w:b/>
          <w:i/>
          <w:sz w:val="22"/>
          <w:szCs w:val="22"/>
        </w:rPr>
        <w:t>Sur le préjudice causé par le manquement</w:t>
      </w:r>
    </w:p>
    <w:p w:rsidR="00DE76F3" w:rsidRPr="00D94F24" w:rsidRDefault="00DE76F3" w:rsidP="00DE76F3">
      <w:pPr>
        <w:pStyle w:val="PS"/>
        <w:spacing w:after="240"/>
        <w:ind w:left="0" w:firstLine="0"/>
        <w:rPr>
          <w:rFonts w:ascii="Arial" w:hAnsi="Arial" w:cs="Arial"/>
          <w:sz w:val="22"/>
          <w:szCs w:val="22"/>
        </w:rPr>
      </w:pPr>
      <w:r w:rsidRPr="00D94F24">
        <w:rPr>
          <w:rFonts w:ascii="Arial" w:hAnsi="Arial" w:cs="Arial"/>
          <w:sz w:val="22"/>
          <w:szCs w:val="22"/>
        </w:rPr>
        <w:t>Attendu que l’appelante soutient que le manquement relevé par le jugement, qu’elle ne conteste pas, ne serait pas la cause d’un appauvrissement patrimonial non recherché par la commune</w:t>
      </w:r>
      <w:r w:rsidR="00EE3CC3">
        <w:rPr>
          <w:rFonts w:ascii="Arial" w:hAnsi="Arial" w:cs="Arial"/>
          <w:sz w:val="22"/>
          <w:szCs w:val="22"/>
        </w:rPr>
        <w:t> </w:t>
      </w:r>
      <w:r w:rsidRPr="00D94F24">
        <w:rPr>
          <w:rFonts w:ascii="Arial" w:hAnsi="Arial" w:cs="Arial"/>
          <w:sz w:val="22"/>
          <w:szCs w:val="22"/>
        </w:rPr>
        <w:t xml:space="preserve">; que, selon elle, pour apprécier le préjudice financier subi par la collectivité, le juge doit prendre en compte la volonté de l’assemblée délibérante et de l’ordonnateur, quand bien même elles seraient confirmées ou précisées </w:t>
      </w:r>
      <w:r w:rsidRPr="00D94F24">
        <w:rPr>
          <w:rFonts w:ascii="Arial" w:hAnsi="Arial" w:cs="Arial"/>
          <w:i/>
          <w:sz w:val="22"/>
          <w:szCs w:val="22"/>
        </w:rPr>
        <w:t>a posteriori </w:t>
      </w:r>
      <w:r w:rsidRPr="00D94F24">
        <w:rPr>
          <w:rFonts w:ascii="Arial" w:hAnsi="Arial" w:cs="Arial"/>
          <w:sz w:val="22"/>
          <w:szCs w:val="22"/>
        </w:rPr>
        <w:t>;</w:t>
      </w:r>
    </w:p>
    <w:p w:rsidR="00DE76F3" w:rsidRPr="00D94F24" w:rsidRDefault="00DE76F3" w:rsidP="00DE76F3">
      <w:pPr>
        <w:spacing w:before="120" w:after="240"/>
        <w:jc w:val="both"/>
        <w:rPr>
          <w:rFonts w:cs="Arial"/>
          <w:sz w:val="22"/>
        </w:rPr>
      </w:pPr>
      <w:r w:rsidRPr="00D94F24">
        <w:rPr>
          <w:rFonts w:cs="Arial"/>
          <w:sz w:val="22"/>
        </w:rPr>
        <w:t xml:space="preserve">Attendu que </w:t>
      </w:r>
      <w:r w:rsidRPr="00D94F24">
        <w:rPr>
          <w:rFonts w:eastAsia="Calibri" w:cs="Arial"/>
          <w:sz w:val="22"/>
        </w:rPr>
        <w:t>lorsque l’instance est ouverte devant le juge des comptes, le constat de l’existence ou non d’un préjudice financier relève de l’appréciation du juge, les parties entendues, sans que le juge ne soit lié par une déclaration de l’organe délibérant indiquant que la collectivité n’aurait subi aucun préjudice ;</w:t>
      </w:r>
    </w:p>
    <w:p w:rsidR="00DE76F3" w:rsidRPr="00D94F24" w:rsidRDefault="00DE76F3" w:rsidP="00DE76F3">
      <w:pPr>
        <w:spacing w:before="120" w:after="240"/>
        <w:jc w:val="both"/>
        <w:rPr>
          <w:rFonts w:cs="Arial"/>
          <w:sz w:val="22"/>
        </w:rPr>
      </w:pPr>
      <w:r w:rsidRPr="00D94F24">
        <w:rPr>
          <w:rFonts w:cs="Arial"/>
          <w:sz w:val="22"/>
        </w:rPr>
        <w:t xml:space="preserve">Attendu que le préjudice financier et le lien de causalité entre ce préjudice et l’irrégularité commise par le comptable sont à apprécier </w:t>
      </w:r>
      <w:r w:rsidRPr="00D94F24">
        <w:rPr>
          <w:rFonts w:cs="Arial"/>
          <w:iCs/>
          <w:sz w:val="22"/>
        </w:rPr>
        <w:t>à la date du manquement</w:t>
      </w:r>
      <w:r w:rsidR="00EE3CC3">
        <w:rPr>
          <w:rFonts w:cs="Arial"/>
          <w:sz w:val="22"/>
        </w:rPr>
        <w:t> </w:t>
      </w:r>
      <w:r w:rsidRPr="00D94F24">
        <w:rPr>
          <w:rFonts w:cs="Arial"/>
          <w:sz w:val="22"/>
        </w:rPr>
        <w:t>; que cette preuve peut être établie par tous documents y compris postérieurs au manquement ;</w:t>
      </w:r>
    </w:p>
    <w:p w:rsidR="00DE76F3" w:rsidRPr="00D94F24" w:rsidRDefault="00DE76F3" w:rsidP="00DE76F3">
      <w:pPr>
        <w:spacing w:before="120" w:after="240"/>
        <w:jc w:val="both"/>
        <w:rPr>
          <w:rFonts w:cs="Arial"/>
          <w:sz w:val="22"/>
        </w:rPr>
      </w:pPr>
      <w:r w:rsidRPr="00D94F24">
        <w:rPr>
          <w:rFonts w:cs="Arial"/>
          <w:sz w:val="22"/>
        </w:rPr>
        <w:t>Attendu qu’est constitutive d’un préjudice une perte de recette causée par une réduction ou annulation de titres qui n’est pas fondée sur l’inexistence ou l’inexactitude de la créance sauf lorsque l’autorité investie du pouvoir de remettre les dettes régulièrement constituées en faveur de l’organisme public s’est expressément prononcée, antérieurement au paiement sur le principe de cette remise de dette ;</w:t>
      </w:r>
    </w:p>
    <w:p w:rsidR="00DE76F3" w:rsidRPr="00D94F24" w:rsidRDefault="00DE76F3" w:rsidP="00DE76F3">
      <w:pPr>
        <w:spacing w:before="120" w:after="240"/>
        <w:jc w:val="both"/>
        <w:rPr>
          <w:rFonts w:cs="Arial"/>
          <w:sz w:val="22"/>
        </w:rPr>
      </w:pPr>
      <w:r w:rsidRPr="00D94F24">
        <w:rPr>
          <w:rFonts w:cs="Arial"/>
          <w:sz w:val="22"/>
        </w:rPr>
        <w:t>Attendu que les délibérations produites par l’appelante ainsi que les attestations signées par le maire sont toutes postérieures aux paiements constitutifs du manquement ; qu’au surplus les dispositions de l’article L. 2122-22 du code général des collectivités territoriales n’autorisent pas le maire à remettre de telles dettes ;</w:t>
      </w:r>
    </w:p>
    <w:p w:rsidR="00DE76F3" w:rsidRPr="00D94F24" w:rsidRDefault="00DE76F3" w:rsidP="00DE76F3">
      <w:pPr>
        <w:spacing w:after="240"/>
        <w:jc w:val="both"/>
        <w:rPr>
          <w:rFonts w:cs="Arial"/>
          <w:sz w:val="22"/>
        </w:rPr>
      </w:pPr>
      <w:r w:rsidRPr="00D94F24">
        <w:rPr>
          <w:rFonts w:cs="Arial"/>
          <w:sz w:val="22"/>
        </w:rPr>
        <w:t xml:space="preserve">Attendu par suite que le premier moyen élevé par </w:t>
      </w:r>
      <w:r w:rsidR="00C6540F">
        <w:rPr>
          <w:rFonts w:cs="Arial"/>
          <w:sz w:val="22"/>
        </w:rPr>
        <w:t>M</w:t>
      </w:r>
      <w:r w:rsidR="00C6540F" w:rsidRPr="00EE3CC3">
        <w:rPr>
          <w:rFonts w:cs="Arial"/>
          <w:sz w:val="22"/>
          <w:vertAlign w:val="superscript"/>
        </w:rPr>
        <w:t>me</w:t>
      </w:r>
      <w:r w:rsidR="00C6540F">
        <w:rPr>
          <w:rFonts w:cs="Arial"/>
          <w:sz w:val="22"/>
        </w:rPr>
        <w:t xml:space="preserve"> X</w:t>
      </w:r>
      <w:r w:rsidRPr="00D94F24">
        <w:rPr>
          <w:rFonts w:cs="Arial"/>
          <w:sz w:val="22"/>
        </w:rPr>
        <w:t xml:space="preserve"> doit être rejeté ; que c’est donc à bon droit que la chambre régionale des comptes a constitué en débet </w:t>
      </w:r>
      <w:r w:rsidR="00C6540F">
        <w:rPr>
          <w:rFonts w:cs="Arial"/>
          <w:sz w:val="22"/>
        </w:rPr>
        <w:t>M</w:t>
      </w:r>
      <w:r w:rsidR="00C6540F" w:rsidRPr="00EE3CC3">
        <w:rPr>
          <w:rFonts w:cs="Arial"/>
          <w:sz w:val="22"/>
          <w:vertAlign w:val="superscript"/>
        </w:rPr>
        <w:t>me</w:t>
      </w:r>
      <w:r w:rsidR="00C6540F">
        <w:rPr>
          <w:rFonts w:cs="Arial"/>
          <w:sz w:val="22"/>
        </w:rPr>
        <w:t xml:space="preserve"> X</w:t>
      </w:r>
      <w:r w:rsidRPr="00D94F24">
        <w:rPr>
          <w:rFonts w:cs="Arial"/>
          <w:sz w:val="22"/>
        </w:rPr>
        <w:t xml:space="preserve"> de la somme de 6 262,03 € ;</w:t>
      </w:r>
    </w:p>
    <w:p w:rsidR="00DE76F3" w:rsidRPr="00D94F24" w:rsidRDefault="00DE76F3" w:rsidP="00DE76F3">
      <w:pPr>
        <w:pStyle w:val="PS"/>
        <w:spacing w:after="240"/>
        <w:ind w:left="0" w:firstLine="0"/>
        <w:rPr>
          <w:rFonts w:ascii="Arial" w:hAnsi="Arial" w:cs="Arial"/>
          <w:b/>
          <w:bCs/>
          <w:i/>
          <w:sz w:val="22"/>
          <w:szCs w:val="22"/>
        </w:rPr>
      </w:pPr>
      <w:r w:rsidRPr="00D94F24">
        <w:rPr>
          <w:rFonts w:ascii="Arial" w:hAnsi="Arial" w:cs="Arial"/>
          <w:b/>
          <w:bCs/>
          <w:i/>
          <w:sz w:val="22"/>
          <w:szCs w:val="22"/>
        </w:rPr>
        <w:lastRenderedPageBreak/>
        <w:t>Sur les conséquences du débet</w:t>
      </w:r>
    </w:p>
    <w:p w:rsidR="00DE76F3" w:rsidRPr="00D94F24" w:rsidRDefault="00DE76F3" w:rsidP="00DE76F3">
      <w:pPr>
        <w:spacing w:after="240"/>
        <w:jc w:val="both"/>
        <w:rPr>
          <w:rFonts w:cs="Arial"/>
          <w:sz w:val="22"/>
        </w:rPr>
      </w:pPr>
      <w:r w:rsidRPr="00D94F24">
        <w:rPr>
          <w:rFonts w:cs="Arial"/>
          <w:sz w:val="22"/>
        </w:rPr>
        <w:t>Attendu que l’appelante soutient que les premiers juges, dans le cadre de l’appréciation du respect d’un contrôle sélectif de la dépense que le juge des comptes est amené à porter en vertu du deuxième alinéa du IX de l’article 60 de la loi du 23 février 1963 modifiée, auraient commis une erreur manifeste d’appréciation en retenant que le montant du cautionnement applicable au poste comptable d’Availles-Limouzine s’élevait à 149 000 € ; qu’elle produit au soutien de ses dires l’attestation de cautionnement de l’un de ses prédécesseurs, datée de</w:t>
      </w:r>
      <w:r w:rsidR="00EE3CC3">
        <w:rPr>
          <w:rFonts w:cs="Arial"/>
          <w:sz w:val="22"/>
        </w:rPr>
        <w:t xml:space="preserve"> </w:t>
      </w:r>
      <w:r w:rsidRPr="00D94F24">
        <w:rPr>
          <w:rFonts w:cs="Arial"/>
          <w:sz w:val="22"/>
        </w:rPr>
        <w:t>1997, établissant que l’intéressé était alors astreint à un cautionnement de 47</w:t>
      </w:r>
      <w:r w:rsidR="00BA48C2">
        <w:rPr>
          <w:rFonts w:cs="Arial"/>
          <w:sz w:val="22"/>
        </w:rPr>
        <w:t> </w:t>
      </w:r>
      <w:r w:rsidRPr="00D94F24">
        <w:rPr>
          <w:rFonts w:cs="Arial"/>
          <w:sz w:val="22"/>
        </w:rPr>
        <w:t>412 € ;</w:t>
      </w:r>
    </w:p>
    <w:p w:rsidR="00DE76F3" w:rsidRPr="00D94F24" w:rsidRDefault="00DE76F3" w:rsidP="00DE76F3">
      <w:pPr>
        <w:spacing w:after="240"/>
        <w:jc w:val="both"/>
        <w:rPr>
          <w:rFonts w:cs="Arial"/>
          <w:sz w:val="22"/>
        </w:rPr>
      </w:pPr>
      <w:r w:rsidRPr="00D94F24">
        <w:rPr>
          <w:rFonts w:cs="Arial"/>
          <w:sz w:val="22"/>
        </w:rPr>
        <w:t>Attendu que le deuxième alinéa du IX de l’article 60 de la loi du 23 février 1963 modif</w:t>
      </w:r>
      <w:r w:rsidR="00EE3CC3">
        <w:rPr>
          <w:rFonts w:cs="Arial"/>
          <w:sz w:val="22"/>
        </w:rPr>
        <w:t>i</w:t>
      </w:r>
      <w:r w:rsidRPr="00D94F24">
        <w:rPr>
          <w:rFonts w:cs="Arial"/>
          <w:sz w:val="22"/>
        </w:rPr>
        <w:t>ée dispose que</w:t>
      </w:r>
      <w:r w:rsidR="00EE3CC3">
        <w:rPr>
          <w:rFonts w:cs="Arial"/>
          <w:sz w:val="22"/>
        </w:rPr>
        <w:t xml:space="preserve"> </w:t>
      </w:r>
      <w:r w:rsidRPr="00D94F24">
        <w:rPr>
          <w:rFonts w:cs="Arial"/>
          <w:sz w:val="22"/>
        </w:rPr>
        <w:t>« </w:t>
      </w:r>
      <w:r w:rsidRPr="00D94F24">
        <w:rPr>
          <w:rFonts w:cs="Arial"/>
          <w:i/>
          <w:sz w:val="22"/>
        </w:rPr>
        <w:t>Les comptables publics dont la responsabilité personnelle et pécuniaire a été mise en jeu dans les cas mentionnés au troisième alinéa du même VI peuvent obtenir du ministre chargé du budget la remise gracieuse des sommes mises à leur charge. Hormis le cas du décès du comptable ou de respect par celui-ci, sous l’appréciation du juge des comptes, des règles de contrôle sélectif des dépenses, aucune remise gracieuse totale ne peut être accordée au comptable public dont la responsabilité personnelle et pécuniaire a été mise en jeu par le juge des comptes, le ministre chargé du budget étant dans l’obligation de laisser à la charge du comptable une somme au moins égale au double de la somme mentionnée au deuxième alinéa dudit VI</w:t>
      </w:r>
      <w:r w:rsidRPr="00D94F24">
        <w:rPr>
          <w:rFonts w:cs="Arial"/>
          <w:sz w:val="22"/>
        </w:rPr>
        <w:t> » ;</w:t>
      </w:r>
    </w:p>
    <w:p w:rsidR="00DE76F3" w:rsidRPr="00D94F24" w:rsidRDefault="00DE76F3" w:rsidP="00DE76F3">
      <w:pPr>
        <w:spacing w:after="240"/>
        <w:jc w:val="both"/>
        <w:rPr>
          <w:rFonts w:cs="Arial"/>
          <w:sz w:val="22"/>
        </w:rPr>
      </w:pPr>
      <w:r w:rsidRPr="00D94F24">
        <w:rPr>
          <w:rFonts w:cs="Arial"/>
          <w:sz w:val="22"/>
        </w:rPr>
        <w:t>Attendu que le décret n° 2012-1386 du 10 décembre 2012 susvisé dispose dans son article</w:t>
      </w:r>
      <w:r w:rsidR="00EE3CC3">
        <w:rPr>
          <w:rFonts w:cs="Arial"/>
          <w:sz w:val="22"/>
        </w:rPr>
        <w:t> </w:t>
      </w:r>
      <w:r w:rsidRPr="00D94F24">
        <w:rPr>
          <w:rFonts w:cs="Arial"/>
          <w:sz w:val="22"/>
        </w:rPr>
        <w:t>1</w:t>
      </w:r>
      <w:r w:rsidRPr="00D94F24">
        <w:rPr>
          <w:rFonts w:cs="Arial"/>
          <w:sz w:val="22"/>
          <w:vertAlign w:val="superscript"/>
        </w:rPr>
        <w:t>er</w:t>
      </w:r>
      <w:r w:rsidR="00EE3CC3">
        <w:rPr>
          <w:rFonts w:cs="Arial"/>
          <w:sz w:val="22"/>
        </w:rPr>
        <w:t xml:space="preserve"> </w:t>
      </w:r>
      <w:r w:rsidRPr="00D94F24">
        <w:rPr>
          <w:rFonts w:cs="Arial"/>
          <w:sz w:val="22"/>
        </w:rPr>
        <w:t>que « </w:t>
      </w:r>
      <w:r w:rsidRPr="00D94F24">
        <w:rPr>
          <w:rFonts w:cs="Arial"/>
          <w:i/>
          <w:sz w:val="22"/>
        </w:rPr>
        <w:t>La somme maximale pouvant être mise à la charge du comptable, conformément aux dispositions du deuxième alinéa du VI de l’article 60 de la loi du 23</w:t>
      </w:r>
      <w:r w:rsidR="00EE3CC3">
        <w:rPr>
          <w:rFonts w:cs="Arial"/>
          <w:i/>
          <w:sz w:val="22"/>
        </w:rPr>
        <w:t xml:space="preserve"> </w:t>
      </w:r>
      <w:r w:rsidRPr="00D94F24">
        <w:rPr>
          <w:rFonts w:cs="Arial"/>
          <w:i/>
          <w:sz w:val="22"/>
        </w:rPr>
        <w:t>février</w:t>
      </w:r>
      <w:r w:rsidR="00EE3CC3">
        <w:rPr>
          <w:rFonts w:cs="Arial"/>
          <w:i/>
          <w:sz w:val="22"/>
        </w:rPr>
        <w:t xml:space="preserve"> </w:t>
      </w:r>
      <w:r w:rsidRPr="00D94F24">
        <w:rPr>
          <w:rFonts w:cs="Arial"/>
          <w:i/>
          <w:sz w:val="22"/>
        </w:rPr>
        <w:t xml:space="preserve">1963 susvisée, est fixée à un millième et demi du montant du </w:t>
      </w:r>
      <w:r w:rsidRPr="00D94F24">
        <w:rPr>
          <w:rFonts w:cs="Arial"/>
          <w:bCs/>
          <w:i/>
          <w:sz w:val="22"/>
        </w:rPr>
        <w:t>cautionnement prévu pour le poste comptable considéré</w:t>
      </w:r>
      <w:r w:rsidRPr="00D94F24">
        <w:rPr>
          <w:rFonts w:cs="Arial"/>
          <w:sz w:val="22"/>
        </w:rPr>
        <w:t> » ; qu’ainsi</w:t>
      </w:r>
      <w:r w:rsidRPr="00D94F24">
        <w:rPr>
          <w:color w:val="1F497D"/>
          <w:sz w:val="22"/>
        </w:rPr>
        <w:t xml:space="preserve"> </w:t>
      </w:r>
      <w:r w:rsidRPr="00D94F24">
        <w:rPr>
          <w:rFonts w:cs="Arial"/>
          <w:sz w:val="22"/>
        </w:rPr>
        <w:t xml:space="preserve"> la chambre régionale des comptes a commis une erreur de droit en retenant pour déterminer ladite somme le cautionnement correspondant non pas au poste comptable d’Availles-Limouzine mais celui correspondant à celui de la requérante dans son poste comptable principal, à savoir de la recette-perception</w:t>
      </w:r>
      <w:r w:rsidR="00EE3CC3">
        <w:rPr>
          <w:rFonts w:cs="Arial"/>
          <w:sz w:val="22"/>
        </w:rPr>
        <w:t xml:space="preserve"> </w:t>
      </w:r>
      <w:r w:rsidRPr="00D94F24">
        <w:rPr>
          <w:rFonts w:cs="Arial"/>
          <w:sz w:val="22"/>
        </w:rPr>
        <w:t>de Civray alors même que ces deux postes n’étaient pas fusionnés à la date des paiements litigieux ;</w:t>
      </w:r>
    </w:p>
    <w:p w:rsidR="00DE76F3" w:rsidRPr="00D94F24" w:rsidRDefault="00DE76F3" w:rsidP="00DE76F3">
      <w:pPr>
        <w:spacing w:after="240"/>
        <w:jc w:val="both"/>
        <w:rPr>
          <w:rFonts w:cs="Arial"/>
          <w:sz w:val="22"/>
        </w:rPr>
      </w:pPr>
      <w:r w:rsidRPr="00D94F24">
        <w:rPr>
          <w:rFonts w:cs="Arial"/>
          <w:sz w:val="22"/>
        </w:rPr>
        <w:t xml:space="preserve">Attendu qu’en conséquence le jugement doit être infirmé en ce qu’il a </w:t>
      </w:r>
      <w:r w:rsidR="003308E1" w:rsidRPr="00D94F24">
        <w:rPr>
          <w:rFonts w:cs="Arial"/>
          <w:sz w:val="22"/>
        </w:rPr>
        <w:t>retenu un montant erroné ;</w:t>
      </w:r>
    </w:p>
    <w:p w:rsidR="00DE76F3" w:rsidRPr="00D94F24" w:rsidRDefault="00DE76F3" w:rsidP="00DE76F3">
      <w:pPr>
        <w:spacing w:after="240"/>
        <w:jc w:val="both"/>
        <w:rPr>
          <w:rFonts w:cs="Arial"/>
          <w:sz w:val="22"/>
        </w:rPr>
      </w:pPr>
      <w:r w:rsidRPr="00D94F24">
        <w:rPr>
          <w:rFonts w:cs="Arial"/>
          <w:sz w:val="22"/>
        </w:rPr>
        <w:t>Attendu que par l’effet dévolutif de l’appel, il y a lieu de statuer sur le montant litigieux ;</w:t>
      </w:r>
    </w:p>
    <w:p w:rsidR="00DE76F3" w:rsidRPr="00D94F24" w:rsidRDefault="00DE76F3" w:rsidP="00DE76F3">
      <w:pPr>
        <w:spacing w:after="240"/>
        <w:jc w:val="both"/>
        <w:rPr>
          <w:rFonts w:cs="Arial"/>
          <w:sz w:val="22"/>
        </w:rPr>
      </w:pPr>
      <w:r w:rsidRPr="00D94F24">
        <w:rPr>
          <w:rFonts w:cs="Arial"/>
          <w:sz w:val="22"/>
        </w:rPr>
        <w:t>Attendu que le cautionnement applicable à la perception d’Availles-Limouzine, dont</w:t>
      </w:r>
      <w:r w:rsidR="00EE3CC3">
        <w:rPr>
          <w:rFonts w:cs="Arial"/>
          <w:sz w:val="22"/>
        </w:rPr>
        <w:t xml:space="preserve"> </w:t>
      </w:r>
      <w:r w:rsidRPr="00D94F24">
        <w:rPr>
          <w:rFonts w:cs="Arial"/>
          <w:sz w:val="22"/>
        </w:rPr>
        <w:t>l’appelante a assuré l’intérim, est, en application de l’article 1</w:t>
      </w:r>
      <w:r w:rsidRPr="00D94F24">
        <w:rPr>
          <w:rFonts w:cs="Arial"/>
          <w:sz w:val="22"/>
          <w:vertAlign w:val="superscript"/>
        </w:rPr>
        <w:t>er</w:t>
      </w:r>
      <w:r w:rsidRPr="00D94F24">
        <w:rPr>
          <w:rFonts w:cs="Arial"/>
          <w:sz w:val="22"/>
        </w:rPr>
        <w:t xml:space="preserve"> de l’arrêté du 19</w:t>
      </w:r>
      <w:r w:rsidR="00EE3CC3">
        <w:rPr>
          <w:rFonts w:cs="Arial"/>
          <w:sz w:val="22"/>
        </w:rPr>
        <w:t xml:space="preserve"> </w:t>
      </w:r>
      <w:r w:rsidRPr="00D94F24">
        <w:rPr>
          <w:rFonts w:cs="Arial"/>
          <w:sz w:val="22"/>
        </w:rPr>
        <w:t>avril</w:t>
      </w:r>
      <w:r w:rsidR="00EE3CC3">
        <w:rPr>
          <w:rFonts w:cs="Arial"/>
          <w:sz w:val="22"/>
        </w:rPr>
        <w:t xml:space="preserve"> </w:t>
      </w:r>
      <w:r w:rsidRPr="00D94F24">
        <w:rPr>
          <w:rFonts w:cs="Arial"/>
          <w:sz w:val="22"/>
        </w:rPr>
        <w:t>2010 susvisé, fixé à 109</w:t>
      </w:r>
      <w:r w:rsidR="00A846F4" w:rsidRPr="00D94F24">
        <w:rPr>
          <w:rFonts w:cs="Arial"/>
          <w:sz w:val="22"/>
        </w:rPr>
        <w:t> </w:t>
      </w:r>
      <w:r w:rsidRPr="00D94F24">
        <w:rPr>
          <w:rFonts w:cs="Arial"/>
          <w:sz w:val="22"/>
        </w:rPr>
        <w:t>000</w:t>
      </w:r>
      <w:r w:rsidR="00A846F4" w:rsidRPr="00D94F24">
        <w:rPr>
          <w:rFonts w:cs="Arial"/>
          <w:sz w:val="22"/>
        </w:rPr>
        <w:t> </w:t>
      </w:r>
      <w:r w:rsidRPr="00D94F24">
        <w:rPr>
          <w:rFonts w:cs="Arial"/>
          <w:sz w:val="22"/>
        </w:rPr>
        <w:t>€ ;</w:t>
      </w:r>
    </w:p>
    <w:p w:rsidR="00DE76F3" w:rsidRPr="00D94F24" w:rsidRDefault="00DE76F3" w:rsidP="00DE76F3">
      <w:pPr>
        <w:spacing w:after="240"/>
        <w:jc w:val="both"/>
        <w:rPr>
          <w:rFonts w:cs="Arial"/>
          <w:sz w:val="22"/>
        </w:rPr>
      </w:pPr>
      <w:r w:rsidRPr="00D94F24">
        <w:rPr>
          <w:rFonts w:cs="Arial"/>
          <w:sz w:val="22"/>
        </w:rPr>
        <w:t>Attendu par suite que le dernier considérant du jugement dont appel doit être rectifié et disposer qu’une éventuelle remise gracieuse des sommes mises à la charge du comptable devra, conformément aux dispositions du paragraphe</w:t>
      </w:r>
      <w:r w:rsidR="00EE3CC3">
        <w:rPr>
          <w:rFonts w:cs="Arial"/>
          <w:sz w:val="22"/>
        </w:rPr>
        <w:t xml:space="preserve"> </w:t>
      </w:r>
      <w:r w:rsidRPr="00D94F24">
        <w:rPr>
          <w:rFonts w:cs="Arial"/>
          <w:sz w:val="22"/>
        </w:rPr>
        <w:t>IX, alinéa</w:t>
      </w:r>
      <w:r w:rsidR="00EE3CC3">
        <w:rPr>
          <w:rFonts w:cs="Arial"/>
          <w:sz w:val="22"/>
        </w:rPr>
        <w:t xml:space="preserve"> </w:t>
      </w:r>
      <w:r w:rsidRPr="00D94F24">
        <w:rPr>
          <w:rFonts w:cs="Arial"/>
          <w:sz w:val="22"/>
        </w:rPr>
        <w:t>2, de l’article 60 de la loi du</w:t>
      </w:r>
      <w:r w:rsidR="00EE3CC3">
        <w:rPr>
          <w:rFonts w:cs="Arial"/>
          <w:sz w:val="22"/>
        </w:rPr>
        <w:t xml:space="preserve"> </w:t>
      </w:r>
      <w:r w:rsidRPr="00D94F24">
        <w:rPr>
          <w:rFonts w:cs="Arial"/>
          <w:sz w:val="22"/>
        </w:rPr>
        <w:t>23</w:t>
      </w:r>
      <w:r w:rsidR="00EE3CC3">
        <w:rPr>
          <w:rFonts w:cs="Arial"/>
          <w:sz w:val="22"/>
        </w:rPr>
        <w:t xml:space="preserve"> </w:t>
      </w:r>
      <w:r w:rsidRPr="00D94F24">
        <w:rPr>
          <w:rFonts w:cs="Arial"/>
          <w:sz w:val="22"/>
        </w:rPr>
        <w:t>février</w:t>
      </w:r>
      <w:r w:rsidR="00EE3CC3">
        <w:rPr>
          <w:rFonts w:cs="Arial"/>
          <w:sz w:val="22"/>
        </w:rPr>
        <w:t xml:space="preserve"> 1</w:t>
      </w:r>
      <w:r w:rsidRPr="00D94F24">
        <w:rPr>
          <w:rFonts w:cs="Arial"/>
          <w:sz w:val="22"/>
        </w:rPr>
        <w:t>963 modifiée, être au moins égale à trois pour mille du montant du cautionnement du poste comptable, soit 327</w:t>
      </w:r>
      <w:r w:rsidR="00A846F4" w:rsidRPr="00D94F24">
        <w:rPr>
          <w:rFonts w:cs="Arial"/>
          <w:sz w:val="22"/>
        </w:rPr>
        <w:t> </w:t>
      </w:r>
      <w:r w:rsidRPr="00D94F24">
        <w:rPr>
          <w:rFonts w:cs="Arial"/>
          <w:sz w:val="22"/>
        </w:rPr>
        <w:t>€ ;</w:t>
      </w:r>
    </w:p>
    <w:p w:rsidR="00DE76F3" w:rsidRPr="00D94F24" w:rsidRDefault="00DE76F3" w:rsidP="00AF1421">
      <w:pPr>
        <w:spacing w:after="240"/>
        <w:jc w:val="both"/>
        <w:rPr>
          <w:rFonts w:cs="Arial"/>
          <w:b/>
          <w:bCs/>
          <w:i/>
          <w:iCs/>
          <w:sz w:val="22"/>
        </w:rPr>
      </w:pPr>
      <w:r w:rsidRPr="00D94F24">
        <w:rPr>
          <w:rFonts w:cs="Arial"/>
          <w:b/>
          <w:bCs/>
          <w:i/>
          <w:iCs/>
          <w:sz w:val="22"/>
        </w:rPr>
        <w:t>Sur les difficultés rencontrées dans l’exercice du poste comptable</w:t>
      </w:r>
    </w:p>
    <w:p w:rsidR="00DE76F3" w:rsidRPr="00D94F24" w:rsidRDefault="00DE76F3" w:rsidP="00DE76F3">
      <w:pPr>
        <w:spacing w:after="240"/>
        <w:jc w:val="both"/>
        <w:rPr>
          <w:rFonts w:cs="Arial"/>
          <w:sz w:val="22"/>
        </w:rPr>
      </w:pPr>
      <w:r w:rsidRPr="00D94F24">
        <w:rPr>
          <w:rFonts w:cs="Arial"/>
          <w:sz w:val="22"/>
        </w:rPr>
        <w:t>Attendu enfin que l’appelante demande à la Cour de prendre en considération sa faible ancienneté dans le poste au moment de la commission du manquement ainsi que les diverses difficultés auxquelles elle aurait eu à faire face au cours de sa gestion ;</w:t>
      </w:r>
    </w:p>
    <w:p w:rsidR="00DE76F3" w:rsidRPr="00D94F24" w:rsidRDefault="00DE76F3" w:rsidP="00DE76F3">
      <w:pPr>
        <w:spacing w:after="240"/>
        <w:jc w:val="both"/>
        <w:rPr>
          <w:rFonts w:cs="Arial"/>
          <w:sz w:val="22"/>
        </w:rPr>
      </w:pPr>
      <w:r w:rsidRPr="00D94F24">
        <w:rPr>
          <w:rFonts w:cs="Arial"/>
          <w:sz w:val="22"/>
        </w:rPr>
        <w:t>Attendu que ni l’ancienneté dans le poste comptable ni les difficultés rencontrées dans la gestion de ce poste ne sont de nature à exonérer les comptables de leur responsabilité personnelle et pécuniaire ; qu’il appartiendra à l’appelante, le cas échéant, de faire valoir ces moyens à l’appui d’une demande de remise gracieuse ;</w:t>
      </w:r>
    </w:p>
    <w:p w:rsidR="00DE76F3" w:rsidRPr="00D94F24" w:rsidRDefault="00DE76F3" w:rsidP="00AF1421">
      <w:pPr>
        <w:spacing w:after="240"/>
        <w:jc w:val="both"/>
        <w:rPr>
          <w:rFonts w:cs="Arial"/>
          <w:sz w:val="22"/>
        </w:rPr>
      </w:pPr>
      <w:r w:rsidRPr="00D94F24">
        <w:rPr>
          <w:rFonts w:cs="Arial"/>
          <w:sz w:val="22"/>
        </w:rPr>
        <w:t xml:space="preserve">Attendu que le troisième moyen élevé par </w:t>
      </w:r>
      <w:r w:rsidR="00C6540F">
        <w:rPr>
          <w:rFonts w:cs="Arial"/>
          <w:sz w:val="22"/>
        </w:rPr>
        <w:t>M</w:t>
      </w:r>
      <w:r w:rsidR="00C6540F" w:rsidRPr="00EE3CC3">
        <w:rPr>
          <w:rFonts w:cs="Arial"/>
          <w:sz w:val="22"/>
          <w:vertAlign w:val="superscript"/>
        </w:rPr>
        <w:t>me</w:t>
      </w:r>
      <w:r w:rsidR="00C6540F">
        <w:rPr>
          <w:rFonts w:cs="Arial"/>
          <w:sz w:val="22"/>
        </w:rPr>
        <w:t xml:space="preserve"> X</w:t>
      </w:r>
      <w:r w:rsidRPr="00D94F24">
        <w:rPr>
          <w:rFonts w:cs="Arial"/>
          <w:sz w:val="22"/>
        </w:rPr>
        <w:t xml:space="preserve"> doit être rejeté ;</w:t>
      </w:r>
    </w:p>
    <w:p w:rsidR="00C744AF" w:rsidRPr="00D94F24" w:rsidRDefault="00BA4F93" w:rsidP="00C362A3">
      <w:pPr>
        <w:spacing w:before="240" w:after="240" w:line="240" w:lineRule="auto"/>
        <w:jc w:val="both"/>
        <w:rPr>
          <w:rFonts w:eastAsia="Times New Roman" w:cs="Arial"/>
          <w:sz w:val="22"/>
          <w:lang w:eastAsia="fr-FR"/>
        </w:rPr>
      </w:pPr>
      <w:r w:rsidRPr="00D94F24">
        <w:rPr>
          <w:rFonts w:eastAsia="Times New Roman" w:cs="Arial"/>
          <w:sz w:val="22"/>
          <w:lang w:eastAsia="fr-FR"/>
        </w:rPr>
        <w:lastRenderedPageBreak/>
        <w:t>Par ces motifs,</w:t>
      </w:r>
    </w:p>
    <w:p w:rsidR="00C744AF" w:rsidRPr="00D94F24" w:rsidRDefault="00BA4F93" w:rsidP="00C362A3">
      <w:pPr>
        <w:spacing w:before="240" w:after="240" w:line="240" w:lineRule="auto"/>
        <w:jc w:val="center"/>
        <w:rPr>
          <w:rFonts w:eastAsia="Times New Roman" w:cs="Arial"/>
          <w:sz w:val="22"/>
          <w:lang w:eastAsia="fr-FR"/>
        </w:rPr>
      </w:pPr>
      <w:r w:rsidRPr="00D94F24">
        <w:rPr>
          <w:rFonts w:eastAsia="Times New Roman" w:cs="Arial"/>
          <w:b/>
          <w:sz w:val="22"/>
          <w:lang w:eastAsia="fr-FR"/>
        </w:rPr>
        <w:t>D</w:t>
      </w:r>
      <w:r w:rsidR="00E95155" w:rsidRPr="00D94F24">
        <w:rPr>
          <w:rFonts w:eastAsia="Times New Roman" w:cs="Arial"/>
          <w:b/>
          <w:sz w:val="22"/>
          <w:lang w:eastAsia="fr-FR"/>
        </w:rPr>
        <w:t>É</w:t>
      </w:r>
      <w:r w:rsidRPr="00D94F24">
        <w:rPr>
          <w:rFonts w:eastAsia="Times New Roman" w:cs="Arial"/>
          <w:b/>
          <w:sz w:val="22"/>
          <w:lang w:eastAsia="fr-FR"/>
        </w:rPr>
        <w:t>CIDE</w:t>
      </w:r>
      <w:r w:rsidRPr="00D94F24">
        <w:rPr>
          <w:rFonts w:eastAsia="Times New Roman" w:cs="Arial"/>
          <w:sz w:val="22"/>
          <w:lang w:eastAsia="fr-FR"/>
        </w:rPr>
        <w:t> :</w:t>
      </w:r>
    </w:p>
    <w:p w:rsidR="00D87F1A" w:rsidRPr="00D94F24" w:rsidRDefault="00BA4F93" w:rsidP="00D87F1A">
      <w:pPr>
        <w:spacing w:before="240" w:after="240" w:line="240" w:lineRule="auto"/>
        <w:jc w:val="both"/>
        <w:rPr>
          <w:rFonts w:cs="Arial"/>
          <w:sz w:val="22"/>
        </w:rPr>
      </w:pPr>
      <w:r w:rsidRPr="00D94F24">
        <w:rPr>
          <w:rFonts w:eastAsia="Times New Roman" w:cs="Arial"/>
          <w:b/>
          <w:sz w:val="22"/>
          <w:lang w:eastAsia="fr-FR"/>
        </w:rPr>
        <w:t xml:space="preserve">Article </w:t>
      </w:r>
      <w:r w:rsidR="00AF1421" w:rsidRPr="00D94F24">
        <w:rPr>
          <w:rFonts w:eastAsia="Times New Roman" w:cs="Arial"/>
          <w:b/>
          <w:sz w:val="22"/>
          <w:lang w:eastAsia="fr-FR"/>
        </w:rPr>
        <w:t>1</w:t>
      </w:r>
      <w:r w:rsidR="00AF1421" w:rsidRPr="00D94F24">
        <w:rPr>
          <w:rFonts w:eastAsia="Times New Roman" w:cs="Arial"/>
          <w:b/>
          <w:sz w:val="22"/>
          <w:vertAlign w:val="superscript"/>
          <w:lang w:eastAsia="fr-FR"/>
        </w:rPr>
        <w:t>er </w:t>
      </w:r>
      <w:r w:rsidRPr="00D94F24">
        <w:rPr>
          <w:rFonts w:eastAsia="Times New Roman" w:cs="Arial"/>
          <w:sz w:val="22"/>
          <w:lang w:eastAsia="fr-FR"/>
        </w:rPr>
        <w:t>-</w:t>
      </w:r>
      <w:r w:rsidR="00AF1421" w:rsidRPr="00D94F24">
        <w:rPr>
          <w:rFonts w:eastAsia="Times New Roman" w:cs="Arial"/>
          <w:b/>
          <w:sz w:val="22"/>
          <w:lang w:eastAsia="fr-FR"/>
        </w:rPr>
        <w:t> </w:t>
      </w:r>
      <w:r w:rsidR="00AF1421" w:rsidRPr="00D94F24">
        <w:rPr>
          <w:rFonts w:cs="Arial"/>
          <w:sz w:val="22"/>
        </w:rPr>
        <w:t>Le jugement est infirmé en ce qu’il retient la somme de 447 € comme montant minimal devant être laissé à la charge du comptable dans le cadre d’une éventuelle remise gracieuse par le ministre.</w:t>
      </w:r>
    </w:p>
    <w:p w:rsidR="00AF1421" w:rsidRPr="00D94F24" w:rsidRDefault="00AF1421" w:rsidP="00AF1421">
      <w:pPr>
        <w:pStyle w:val="PS"/>
        <w:tabs>
          <w:tab w:val="left" w:pos="2835"/>
          <w:tab w:val="left" w:pos="3544"/>
        </w:tabs>
        <w:spacing w:after="120"/>
        <w:ind w:left="0" w:firstLine="0"/>
        <w:rPr>
          <w:rFonts w:ascii="Arial" w:hAnsi="Arial" w:cs="Arial"/>
          <w:sz w:val="22"/>
          <w:szCs w:val="22"/>
        </w:rPr>
      </w:pPr>
      <w:r w:rsidRPr="00D94F24">
        <w:rPr>
          <w:rFonts w:ascii="Arial" w:hAnsi="Arial" w:cs="Arial"/>
          <w:b/>
          <w:sz w:val="22"/>
          <w:szCs w:val="22"/>
        </w:rPr>
        <w:t>Article 2 </w:t>
      </w:r>
      <w:r w:rsidRPr="00D94F24">
        <w:rPr>
          <w:rFonts w:ascii="Arial" w:hAnsi="Arial" w:cs="Arial"/>
          <w:sz w:val="22"/>
          <w:szCs w:val="22"/>
        </w:rPr>
        <w:t>-</w:t>
      </w:r>
      <w:r w:rsidRPr="00D94F24">
        <w:rPr>
          <w:rFonts w:ascii="Arial" w:hAnsi="Arial" w:cs="Arial"/>
          <w:b/>
          <w:sz w:val="22"/>
          <w:szCs w:val="22"/>
        </w:rPr>
        <w:t> </w:t>
      </w:r>
      <w:r w:rsidRPr="00D94F24">
        <w:rPr>
          <w:rFonts w:ascii="Arial" w:hAnsi="Arial" w:cs="Arial"/>
          <w:sz w:val="22"/>
          <w:szCs w:val="22"/>
        </w:rPr>
        <w:t>Le montant minimal devant être laissé à la charge du comptable dans le cadre d’une éventuelle remise gracieuse par le ministre</w:t>
      </w:r>
      <w:r w:rsidR="00EE3CC3">
        <w:rPr>
          <w:rFonts w:ascii="Arial" w:hAnsi="Arial" w:cs="Arial"/>
          <w:sz w:val="22"/>
          <w:szCs w:val="22"/>
        </w:rPr>
        <w:t xml:space="preserve"> </w:t>
      </w:r>
      <w:r w:rsidRPr="00D94F24">
        <w:rPr>
          <w:rFonts w:ascii="Arial" w:hAnsi="Arial" w:cs="Arial"/>
          <w:sz w:val="22"/>
          <w:szCs w:val="22"/>
        </w:rPr>
        <w:t>est de 327 €.</w:t>
      </w:r>
    </w:p>
    <w:p w:rsidR="00AF1421" w:rsidRPr="00D94F24" w:rsidRDefault="00AF1421" w:rsidP="00AF1421">
      <w:pPr>
        <w:pStyle w:val="PS"/>
        <w:spacing w:after="120"/>
        <w:ind w:left="0" w:firstLine="0"/>
        <w:rPr>
          <w:rFonts w:ascii="Arial" w:hAnsi="Arial" w:cs="Arial"/>
          <w:sz w:val="22"/>
          <w:szCs w:val="22"/>
        </w:rPr>
      </w:pPr>
      <w:r w:rsidRPr="00D94F24">
        <w:rPr>
          <w:rFonts w:ascii="Arial" w:hAnsi="Arial" w:cs="Arial"/>
          <w:b/>
          <w:bCs/>
          <w:sz w:val="22"/>
          <w:szCs w:val="22"/>
        </w:rPr>
        <w:t>Article 3</w:t>
      </w:r>
      <w:r w:rsidRPr="00D94F24">
        <w:rPr>
          <w:rFonts w:ascii="Arial" w:hAnsi="Arial" w:cs="Arial"/>
          <w:sz w:val="22"/>
          <w:szCs w:val="22"/>
        </w:rPr>
        <w:t xml:space="preserve"> - La requête de </w:t>
      </w:r>
      <w:r w:rsidR="00C6540F">
        <w:rPr>
          <w:rFonts w:ascii="Arial" w:hAnsi="Arial" w:cs="Arial"/>
          <w:sz w:val="22"/>
          <w:szCs w:val="22"/>
        </w:rPr>
        <w:t>M</w:t>
      </w:r>
      <w:r w:rsidR="00C6540F" w:rsidRPr="00EE3CC3">
        <w:rPr>
          <w:rFonts w:ascii="Arial" w:hAnsi="Arial" w:cs="Arial"/>
          <w:sz w:val="22"/>
          <w:szCs w:val="22"/>
          <w:vertAlign w:val="superscript"/>
        </w:rPr>
        <w:t>me</w:t>
      </w:r>
      <w:r w:rsidR="00C6540F">
        <w:rPr>
          <w:rFonts w:ascii="Arial" w:hAnsi="Arial" w:cs="Arial"/>
          <w:sz w:val="22"/>
          <w:szCs w:val="22"/>
        </w:rPr>
        <w:t xml:space="preserve"> X</w:t>
      </w:r>
      <w:r w:rsidRPr="00D94F24">
        <w:rPr>
          <w:rFonts w:ascii="Arial" w:hAnsi="Arial" w:cs="Arial"/>
          <w:sz w:val="22"/>
          <w:szCs w:val="22"/>
        </w:rPr>
        <w:t xml:space="preserve"> est rejetée pour le surplus.</w:t>
      </w:r>
    </w:p>
    <w:p w:rsidR="00AF1421" w:rsidRPr="00D94F24" w:rsidRDefault="00AF1421" w:rsidP="00AF1421">
      <w:pPr>
        <w:pStyle w:val="PS"/>
        <w:spacing w:after="120"/>
        <w:ind w:left="0" w:firstLine="0"/>
        <w:rPr>
          <w:rFonts w:ascii="Arial" w:hAnsi="Arial" w:cs="Arial"/>
          <w:sz w:val="22"/>
          <w:szCs w:val="22"/>
        </w:rPr>
      </w:pPr>
    </w:p>
    <w:p w:rsidR="00C744AF" w:rsidRPr="00D94F24" w:rsidRDefault="00BA4F93" w:rsidP="00C744AF">
      <w:pPr>
        <w:tabs>
          <w:tab w:val="center" w:pos="5245"/>
        </w:tabs>
        <w:spacing w:before="120" w:after="360" w:line="240" w:lineRule="auto"/>
        <w:jc w:val="center"/>
        <w:rPr>
          <w:rFonts w:eastAsia="Times New Roman" w:cs="Arial"/>
          <w:sz w:val="22"/>
          <w:lang w:eastAsia="fr-FR"/>
        </w:rPr>
      </w:pPr>
      <w:r w:rsidRPr="00D94F24">
        <w:rPr>
          <w:rFonts w:eastAsia="Times New Roman" w:cs="Arial"/>
          <w:sz w:val="22"/>
          <w:lang w:eastAsia="fr-FR"/>
        </w:rPr>
        <w:t>------------</w:t>
      </w:r>
    </w:p>
    <w:p w:rsidR="00540E1A" w:rsidRPr="00D94F24" w:rsidRDefault="00BA4F93" w:rsidP="00AF1421">
      <w:pPr>
        <w:spacing w:before="120" w:after="240" w:line="240" w:lineRule="auto"/>
        <w:jc w:val="both"/>
        <w:rPr>
          <w:rFonts w:eastAsia="Times New Roman" w:cs="Arial"/>
          <w:sz w:val="22"/>
          <w:lang w:eastAsia="fr-FR"/>
        </w:rPr>
      </w:pPr>
      <w:r w:rsidRPr="00D94F24">
        <w:rPr>
          <w:rFonts w:eastAsia="Times New Roman" w:cs="Arial"/>
          <w:sz w:val="22"/>
          <w:lang w:eastAsia="fr-FR"/>
        </w:rPr>
        <w:t>Fait et jugé en la Cour des comptes, quatrième chambre, première section. Présents :</w:t>
      </w:r>
      <w:r w:rsidR="00E61C0C" w:rsidRPr="00D94F24">
        <w:rPr>
          <w:rFonts w:eastAsia="Times New Roman" w:cs="Arial"/>
          <w:sz w:val="22"/>
          <w:lang w:eastAsia="fr-FR"/>
        </w:rPr>
        <w:t xml:space="preserve"> </w:t>
      </w:r>
      <w:r w:rsidRPr="00D94F24">
        <w:rPr>
          <w:rFonts w:eastAsia="Times New Roman" w:cs="Arial"/>
          <w:sz w:val="22"/>
          <w:lang w:eastAsia="fr-FR"/>
        </w:rPr>
        <w:t xml:space="preserve">M. Yves ROLLAND, conseiller maître, président de section, </w:t>
      </w:r>
      <w:r w:rsidR="00E61C0C" w:rsidRPr="00D94F24">
        <w:rPr>
          <w:rFonts w:eastAsia="Times New Roman" w:cs="Arial"/>
          <w:sz w:val="22"/>
          <w:lang w:eastAsia="fr-FR"/>
        </w:rPr>
        <w:t xml:space="preserve">président de la formation, </w:t>
      </w:r>
      <w:r w:rsidRPr="00D94F24">
        <w:rPr>
          <w:rFonts w:eastAsia="Times New Roman" w:cs="Arial"/>
          <w:sz w:val="22"/>
          <w:lang w:eastAsia="fr-FR"/>
        </w:rPr>
        <w:t>M</w:t>
      </w:r>
      <w:r w:rsidRPr="00EE3CC3">
        <w:rPr>
          <w:rFonts w:eastAsia="Times New Roman" w:cs="Arial"/>
          <w:sz w:val="22"/>
          <w:vertAlign w:val="superscript"/>
          <w:lang w:eastAsia="fr-FR"/>
        </w:rPr>
        <w:t>me</w:t>
      </w:r>
      <w:r w:rsidR="00E61C0C" w:rsidRPr="00D94F24">
        <w:rPr>
          <w:rFonts w:eastAsia="Times New Roman" w:cs="Arial"/>
          <w:sz w:val="22"/>
          <w:lang w:eastAsia="fr-FR"/>
        </w:rPr>
        <w:t> </w:t>
      </w:r>
      <w:r w:rsidRPr="00D94F24">
        <w:rPr>
          <w:rFonts w:eastAsia="Times New Roman" w:cs="Arial"/>
          <w:sz w:val="22"/>
          <w:lang w:eastAsia="fr-FR"/>
        </w:rPr>
        <w:t>Anne FROMENT-MEURICE, présidente de chambre maintenue en activité, MM. Gérard GANSER, Jean-Pierre LAFAURE, Jean-Yves BERTUCCI, conseillers maîtres, M</w:t>
      </w:r>
      <w:r w:rsidRPr="00EE3CC3">
        <w:rPr>
          <w:rFonts w:eastAsia="Times New Roman" w:cs="Arial"/>
          <w:sz w:val="22"/>
          <w:vertAlign w:val="superscript"/>
          <w:lang w:eastAsia="fr-FR"/>
        </w:rPr>
        <w:t>me</w:t>
      </w:r>
      <w:r w:rsidR="00E61C0C" w:rsidRPr="00EE3CC3">
        <w:rPr>
          <w:rFonts w:eastAsia="Times New Roman" w:cs="Arial"/>
          <w:sz w:val="22"/>
          <w:vertAlign w:val="superscript"/>
          <w:lang w:eastAsia="fr-FR"/>
        </w:rPr>
        <w:t>s</w:t>
      </w:r>
      <w:r w:rsidRPr="00D94F24">
        <w:rPr>
          <w:rFonts w:eastAsia="Times New Roman" w:cs="Arial"/>
          <w:sz w:val="22"/>
          <w:lang w:eastAsia="fr-FR"/>
        </w:rPr>
        <w:t xml:space="preserve"> Laurence ENGEL</w:t>
      </w:r>
      <w:r w:rsidR="00E61C0C" w:rsidRPr="00D94F24">
        <w:rPr>
          <w:rFonts w:eastAsia="Times New Roman" w:cs="Arial"/>
          <w:sz w:val="22"/>
          <w:lang w:eastAsia="fr-FR"/>
        </w:rPr>
        <w:t xml:space="preserve"> et Isabelle LATOURNARIE-WILLEMS,</w:t>
      </w:r>
      <w:r w:rsidRPr="00D94F24">
        <w:rPr>
          <w:rFonts w:eastAsia="Times New Roman" w:cs="Arial"/>
          <w:sz w:val="22"/>
          <w:lang w:eastAsia="fr-FR"/>
        </w:rPr>
        <w:t xml:space="preserve"> conseillère</w:t>
      </w:r>
      <w:r w:rsidR="00E61C0C" w:rsidRPr="00D94F24">
        <w:rPr>
          <w:rFonts w:eastAsia="Times New Roman" w:cs="Arial"/>
          <w:sz w:val="22"/>
          <w:lang w:eastAsia="fr-FR"/>
        </w:rPr>
        <w:t>s</w:t>
      </w:r>
      <w:r w:rsidRPr="00D94F24">
        <w:rPr>
          <w:rFonts w:eastAsia="Times New Roman" w:cs="Arial"/>
          <w:sz w:val="22"/>
          <w:lang w:eastAsia="fr-FR"/>
        </w:rPr>
        <w:t xml:space="preserve"> maître</w:t>
      </w:r>
      <w:r w:rsidR="00E61C0C" w:rsidRPr="00D94F24">
        <w:rPr>
          <w:rFonts w:eastAsia="Times New Roman" w:cs="Arial"/>
          <w:sz w:val="22"/>
          <w:lang w:eastAsia="fr-FR"/>
        </w:rPr>
        <w:t>s</w:t>
      </w:r>
      <w:r w:rsidRPr="00D94F24">
        <w:rPr>
          <w:rFonts w:eastAsia="Times New Roman" w:cs="Arial"/>
          <w:sz w:val="22"/>
          <w:lang w:eastAsia="fr-FR"/>
        </w:rPr>
        <w:t xml:space="preserve">. </w:t>
      </w:r>
    </w:p>
    <w:p w:rsidR="00C744AF" w:rsidRPr="00D94F24" w:rsidRDefault="00BA4F93" w:rsidP="00C744AF">
      <w:pPr>
        <w:tabs>
          <w:tab w:val="center" w:pos="4536"/>
          <w:tab w:val="right" w:pos="9072"/>
        </w:tabs>
        <w:spacing w:before="120" w:after="360" w:line="240" w:lineRule="auto"/>
        <w:jc w:val="both"/>
        <w:rPr>
          <w:rFonts w:eastAsia="Times New Roman" w:cs="Arial"/>
          <w:sz w:val="22"/>
          <w:lang w:eastAsia="fr-FR"/>
        </w:rPr>
      </w:pPr>
      <w:r w:rsidRPr="00D94F24">
        <w:rPr>
          <w:rFonts w:eastAsia="Times New Roman" w:cs="Arial"/>
          <w:sz w:val="22"/>
          <w:lang w:eastAsia="fr-FR"/>
        </w:rPr>
        <w:t>En présence de M</w:t>
      </w:r>
      <w:bookmarkStart w:id="0" w:name="_GoBack"/>
      <w:r w:rsidRPr="00EE3CC3">
        <w:rPr>
          <w:rFonts w:eastAsia="Times New Roman" w:cs="Arial"/>
          <w:sz w:val="22"/>
          <w:vertAlign w:val="superscript"/>
          <w:lang w:eastAsia="fr-FR"/>
        </w:rPr>
        <w:t>me</w:t>
      </w:r>
      <w:bookmarkEnd w:id="0"/>
      <w:r w:rsidRPr="00D94F24">
        <w:rPr>
          <w:rFonts w:eastAsia="Times New Roman" w:cs="Arial"/>
          <w:sz w:val="22"/>
          <w:lang w:eastAsia="fr-FR"/>
        </w:rPr>
        <w:t xml:space="preserve"> </w:t>
      </w:r>
      <w:r w:rsidR="00AF1421" w:rsidRPr="00D94F24">
        <w:rPr>
          <w:rFonts w:eastAsia="Times New Roman" w:cs="Arial"/>
          <w:sz w:val="22"/>
          <w:lang w:eastAsia="fr-FR"/>
        </w:rPr>
        <w:t>Annie LE</w:t>
      </w:r>
      <w:r w:rsidR="001E412A">
        <w:rPr>
          <w:rFonts w:eastAsia="Times New Roman" w:cs="Arial"/>
          <w:sz w:val="22"/>
          <w:lang w:eastAsia="fr-FR"/>
        </w:rPr>
        <w:t xml:space="preserve"> </w:t>
      </w:r>
      <w:r w:rsidR="00AF1421" w:rsidRPr="00D94F24">
        <w:rPr>
          <w:rFonts w:eastAsia="Times New Roman" w:cs="Arial"/>
          <w:sz w:val="22"/>
          <w:lang w:eastAsia="fr-FR"/>
        </w:rPr>
        <w:t>BARON</w:t>
      </w:r>
      <w:r w:rsidRPr="00D94F24">
        <w:rPr>
          <w:rFonts w:eastAsia="Times New Roman" w:cs="Arial"/>
          <w:sz w:val="22"/>
          <w:lang w:eastAsia="fr-FR"/>
        </w:rPr>
        <w:t>, greffière de séance.</w:t>
      </w:r>
    </w:p>
    <w:tbl>
      <w:tblPr>
        <w:tblW w:w="0" w:type="auto"/>
        <w:tblInd w:w="34" w:type="dxa"/>
        <w:tblLook w:val="00A0" w:firstRow="1" w:lastRow="0" w:firstColumn="1" w:lastColumn="0" w:noHBand="0" w:noVBand="0"/>
      </w:tblPr>
      <w:tblGrid>
        <w:gridCol w:w="4627"/>
        <w:gridCol w:w="4625"/>
      </w:tblGrid>
      <w:tr w:rsidR="006A6A2B" w:rsidRPr="00D94F24" w:rsidTr="00E95155">
        <w:tc>
          <w:tcPr>
            <w:tcW w:w="4627" w:type="dxa"/>
          </w:tcPr>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E95155" w:rsidRPr="00D94F24" w:rsidRDefault="00E95155" w:rsidP="00C03789">
            <w:pPr>
              <w:tabs>
                <w:tab w:val="center" w:pos="4536"/>
                <w:tab w:val="right" w:pos="9072"/>
              </w:tabs>
              <w:spacing w:line="240" w:lineRule="auto"/>
              <w:jc w:val="center"/>
              <w:rPr>
                <w:rFonts w:eastAsia="Times New Roman" w:cs="Arial"/>
                <w:b/>
                <w:sz w:val="22"/>
                <w:lang w:eastAsia="fr-FR"/>
              </w:rPr>
            </w:pPr>
          </w:p>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E61C0C" w:rsidRPr="00D94F24" w:rsidRDefault="00E61C0C" w:rsidP="00C03789">
            <w:pPr>
              <w:tabs>
                <w:tab w:val="center" w:pos="4536"/>
                <w:tab w:val="right" w:pos="9072"/>
              </w:tabs>
              <w:spacing w:line="240" w:lineRule="auto"/>
              <w:jc w:val="center"/>
              <w:rPr>
                <w:rFonts w:eastAsia="Times New Roman" w:cs="Arial"/>
                <w:b/>
                <w:sz w:val="22"/>
                <w:lang w:eastAsia="fr-FR"/>
              </w:rPr>
            </w:pPr>
          </w:p>
          <w:p w:rsidR="00E61C0C" w:rsidRPr="00D94F24" w:rsidRDefault="00E61C0C" w:rsidP="00C03789">
            <w:pPr>
              <w:tabs>
                <w:tab w:val="center" w:pos="4536"/>
                <w:tab w:val="right" w:pos="9072"/>
              </w:tabs>
              <w:spacing w:line="240" w:lineRule="auto"/>
              <w:jc w:val="center"/>
              <w:rPr>
                <w:rFonts w:eastAsia="Times New Roman" w:cs="Arial"/>
                <w:b/>
                <w:sz w:val="22"/>
                <w:lang w:eastAsia="fr-FR"/>
              </w:rPr>
            </w:pPr>
          </w:p>
          <w:p w:rsidR="00E61C0C" w:rsidRPr="00D94F24" w:rsidRDefault="00E61C0C" w:rsidP="00C03789">
            <w:pPr>
              <w:tabs>
                <w:tab w:val="center" w:pos="4536"/>
                <w:tab w:val="right" w:pos="9072"/>
              </w:tabs>
              <w:spacing w:line="240" w:lineRule="auto"/>
              <w:jc w:val="center"/>
              <w:rPr>
                <w:rFonts w:eastAsia="Times New Roman" w:cs="Arial"/>
                <w:b/>
                <w:sz w:val="22"/>
                <w:lang w:eastAsia="fr-FR"/>
              </w:rPr>
            </w:pPr>
          </w:p>
          <w:p w:rsidR="00E95155" w:rsidRPr="00D94F24" w:rsidRDefault="00E95155" w:rsidP="00C03789">
            <w:pPr>
              <w:tabs>
                <w:tab w:val="center" w:pos="4536"/>
                <w:tab w:val="right" w:pos="9072"/>
              </w:tabs>
              <w:spacing w:line="240" w:lineRule="auto"/>
              <w:jc w:val="center"/>
              <w:rPr>
                <w:rFonts w:eastAsia="Times New Roman" w:cs="Arial"/>
                <w:b/>
                <w:sz w:val="22"/>
                <w:lang w:eastAsia="fr-FR"/>
              </w:rPr>
            </w:pPr>
          </w:p>
          <w:p w:rsidR="006A6A2B" w:rsidRPr="00D94F24" w:rsidRDefault="00E61C0C" w:rsidP="00C03789">
            <w:pPr>
              <w:tabs>
                <w:tab w:val="center" w:pos="4536"/>
                <w:tab w:val="right" w:pos="9072"/>
              </w:tabs>
              <w:spacing w:line="240" w:lineRule="auto"/>
              <w:jc w:val="center"/>
              <w:rPr>
                <w:rFonts w:eastAsia="Times New Roman" w:cs="Arial"/>
                <w:b/>
                <w:sz w:val="22"/>
                <w:lang w:eastAsia="fr-FR"/>
              </w:rPr>
            </w:pPr>
            <w:r w:rsidRPr="00D94F24">
              <w:rPr>
                <w:rFonts w:eastAsia="Times New Roman" w:cs="Arial"/>
                <w:b/>
                <w:sz w:val="22"/>
                <w:lang w:eastAsia="fr-FR"/>
              </w:rPr>
              <w:t>Annie LE BARON</w:t>
            </w:r>
          </w:p>
          <w:p w:rsidR="006A6A2B" w:rsidRPr="00D94F24" w:rsidRDefault="00E61C0C" w:rsidP="00C03789">
            <w:pPr>
              <w:tabs>
                <w:tab w:val="center" w:pos="4536"/>
                <w:tab w:val="right" w:pos="9072"/>
              </w:tabs>
              <w:jc w:val="center"/>
              <w:rPr>
                <w:rFonts w:eastAsia="Times New Roman" w:cs="Arial"/>
                <w:b/>
                <w:sz w:val="22"/>
                <w:lang w:eastAsia="fr-FR"/>
              </w:rPr>
            </w:pPr>
            <w:r w:rsidRPr="00D94F24">
              <w:rPr>
                <w:rFonts w:eastAsia="Times New Roman" w:cs="Arial"/>
                <w:b/>
                <w:sz w:val="22"/>
                <w:lang w:eastAsia="fr-FR"/>
              </w:rPr>
              <w:t>Greffière de séance</w:t>
            </w:r>
          </w:p>
        </w:tc>
        <w:tc>
          <w:tcPr>
            <w:tcW w:w="4625" w:type="dxa"/>
          </w:tcPr>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6A6A2B" w:rsidRPr="00D94F24" w:rsidRDefault="00924E2A" w:rsidP="00C03789">
            <w:pPr>
              <w:tabs>
                <w:tab w:val="center" w:pos="4536"/>
                <w:tab w:val="right" w:pos="9072"/>
              </w:tabs>
              <w:spacing w:line="240" w:lineRule="auto"/>
              <w:jc w:val="center"/>
              <w:rPr>
                <w:rFonts w:eastAsia="Times New Roman" w:cs="Arial"/>
                <w:b/>
                <w:sz w:val="22"/>
                <w:lang w:eastAsia="fr-FR"/>
              </w:rPr>
            </w:pPr>
          </w:p>
          <w:p w:rsidR="00E95155" w:rsidRPr="00D94F24" w:rsidRDefault="00E95155" w:rsidP="00C03789">
            <w:pPr>
              <w:tabs>
                <w:tab w:val="center" w:pos="4536"/>
                <w:tab w:val="right" w:pos="9072"/>
              </w:tabs>
              <w:spacing w:line="240" w:lineRule="auto"/>
              <w:jc w:val="center"/>
              <w:rPr>
                <w:rFonts w:eastAsia="Times New Roman" w:cs="Arial"/>
                <w:b/>
                <w:sz w:val="22"/>
                <w:lang w:eastAsia="fr-FR"/>
              </w:rPr>
            </w:pPr>
          </w:p>
          <w:p w:rsidR="00E61C0C" w:rsidRPr="00D94F24" w:rsidRDefault="00E61C0C" w:rsidP="00C03789">
            <w:pPr>
              <w:tabs>
                <w:tab w:val="center" w:pos="4536"/>
                <w:tab w:val="right" w:pos="9072"/>
              </w:tabs>
              <w:spacing w:line="240" w:lineRule="auto"/>
              <w:jc w:val="center"/>
              <w:rPr>
                <w:rFonts w:eastAsia="Times New Roman" w:cs="Arial"/>
                <w:b/>
                <w:sz w:val="22"/>
                <w:lang w:eastAsia="fr-FR"/>
              </w:rPr>
            </w:pPr>
          </w:p>
          <w:p w:rsidR="00E61C0C" w:rsidRPr="00D94F24" w:rsidRDefault="00E61C0C" w:rsidP="00C03789">
            <w:pPr>
              <w:tabs>
                <w:tab w:val="center" w:pos="4536"/>
                <w:tab w:val="right" w:pos="9072"/>
              </w:tabs>
              <w:spacing w:line="240" w:lineRule="auto"/>
              <w:jc w:val="center"/>
              <w:rPr>
                <w:rFonts w:eastAsia="Times New Roman" w:cs="Arial"/>
                <w:b/>
                <w:sz w:val="22"/>
                <w:lang w:eastAsia="fr-FR"/>
              </w:rPr>
            </w:pPr>
          </w:p>
          <w:p w:rsidR="005F3EA9" w:rsidRPr="00D94F24" w:rsidRDefault="005F3EA9" w:rsidP="00C03789">
            <w:pPr>
              <w:tabs>
                <w:tab w:val="center" w:pos="4536"/>
                <w:tab w:val="right" w:pos="9072"/>
              </w:tabs>
              <w:spacing w:line="240" w:lineRule="auto"/>
              <w:jc w:val="center"/>
              <w:rPr>
                <w:rFonts w:eastAsia="Times New Roman" w:cs="Arial"/>
                <w:b/>
                <w:sz w:val="22"/>
                <w:lang w:eastAsia="fr-FR"/>
              </w:rPr>
            </w:pPr>
          </w:p>
          <w:p w:rsidR="00E95155" w:rsidRPr="00D94F24" w:rsidRDefault="00E95155" w:rsidP="00C03789">
            <w:pPr>
              <w:tabs>
                <w:tab w:val="center" w:pos="4536"/>
                <w:tab w:val="right" w:pos="9072"/>
              </w:tabs>
              <w:spacing w:line="240" w:lineRule="auto"/>
              <w:jc w:val="center"/>
              <w:rPr>
                <w:rFonts w:eastAsia="Times New Roman" w:cs="Arial"/>
                <w:b/>
                <w:sz w:val="22"/>
                <w:lang w:eastAsia="fr-FR"/>
              </w:rPr>
            </w:pPr>
          </w:p>
          <w:p w:rsidR="006A6A2B" w:rsidRPr="00D94F24" w:rsidRDefault="00E61C0C" w:rsidP="00C03789">
            <w:pPr>
              <w:tabs>
                <w:tab w:val="center" w:pos="4536"/>
                <w:tab w:val="right" w:pos="9072"/>
              </w:tabs>
              <w:jc w:val="center"/>
              <w:rPr>
                <w:rFonts w:eastAsia="Times New Roman" w:cs="Arial"/>
                <w:b/>
                <w:sz w:val="22"/>
                <w:lang w:eastAsia="fr-FR"/>
              </w:rPr>
            </w:pPr>
            <w:r w:rsidRPr="00D94F24">
              <w:rPr>
                <w:rFonts w:eastAsia="Times New Roman" w:cs="Arial"/>
                <w:b/>
                <w:sz w:val="22"/>
                <w:lang w:eastAsia="fr-FR"/>
              </w:rPr>
              <w:t>Yves ROLLAND</w:t>
            </w:r>
          </w:p>
          <w:p w:rsidR="00E61C0C" w:rsidRPr="00D94F24" w:rsidRDefault="00E61C0C" w:rsidP="00C03789">
            <w:pPr>
              <w:tabs>
                <w:tab w:val="center" w:pos="4536"/>
                <w:tab w:val="right" w:pos="9072"/>
              </w:tabs>
              <w:jc w:val="center"/>
              <w:rPr>
                <w:rFonts w:eastAsia="Times New Roman" w:cs="Arial"/>
                <w:b/>
                <w:sz w:val="22"/>
                <w:lang w:eastAsia="fr-FR"/>
              </w:rPr>
            </w:pPr>
            <w:r w:rsidRPr="00D94F24">
              <w:rPr>
                <w:rFonts w:eastAsia="Times New Roman" w:cs="Arial"/>
                <w:b/>
                <w:sz w:val="22"/>
                <w:lang w:eastAsia="fr-FR"/>
              </w:rPr>
              <w:t>Président de séance</w:t>
            </w:r>
          </w:p>
        </w:tc>
      </w:tr>
    </w:tbl>
    <w:p w:rsidR="00F942D7" w:rsidRPr="00D94F24" w:rsidRDefault="00924E2A" w:rsidP="00F942D7">
      <w:pPr>
        <w:tabs>
          <w:tab w:val="center" w:pos="4536"/>
        </w:tabs>
        <w:spacing w:line="240" w:lineRule="auto"/>
        <w:jc w:val="both"/>
        <w:rPr>
          <w:rFonts w:eastAsia="Times New Roman" w:cs="Arial"/>
          <w:sz w:val="22"/>
          <w:lang w:eastAsia="fr-FR"/>
        </w:rPr>
      </w:pPr>
    </w:p>
    <w:p w:rsidR="00903556" w:rsidRPr="00D94F24" w:rsidRDefault="00903556" w:rsidP="00F942D7">
      <w:pPr>
        <w:tabs>
          <w:tab w:val="center" w:pos="4536"/>
        </w:tabs>
        <w:spacing w:line="240" w:lineRule="auto"/>
        <w:jc w:val="both"/>
        <w:rPr>
          <w:rFonts w:eastAsia="Times New Roman" w:cs="Arial"/>
          <w:sz w:val="22"/>
          <w:lang w:eastAsia="fr-FR"/>
        </w:rPr>
      </w:pPr>
    </w:p>
    <w:p w:rsidR="008F197D" w:rsidRPr="00D94F24" w:rsidRDefault="00BA4F93" w:rsidP="00F35882">
      <w:pPr>
        <w:tabs>
          <w:tab w:val="center" w:pos="4536"/>
        </w:tabs>
        <w:spacing w:line="240" w:lineRule="auto"/>
        <w:jc w:val="both"/>
        <w:rPr>
          <w:rFonts w:cs="Arial"/>
          <w:sz w:val="22"/>
        </w:rPr>
      </w:pPr>
      <w:r w:rsidRPr="00D94F24">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w:t>
      </w:r>
      <w:r w:rsidR="00903556" w:rsidRPr="00D94F24">
        <w:rPr>
          <w:rFonts w:eastAsia="Times New Roman" w:cs="Arial"/>
          <w:sz w:val="22"/>
          <w:lang w:eastAsia="fr-FR"/>
        </w:rPr>
        <w:t> </w:t>
      </w:r>
      <w:r w:rsidRPr="00D94F24">
        <w:rPr>
          <w:rFonts w:eastAsia="Times New Roman" w:cs="Arial"/>
          <w:sz w:val="22"/>
          <w:lang w:eastAsia="fr-FR"/>
        </w:rPr>
        <w:t>l’article R. 142-15-I du même code.</w:t>
      </w:r>
    </w:p>
    <w:sectPr w:rsidR="008F197D" w:rsidRPr="00D94F24"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E2A" w:rsidRDefault="00924E2A" w:rsidP="00B41656">
      <w:pPr>
        <w:spacing w:line="240" w:lineRule="auto"/>
      </w:pPr>
      <w:r>
        <w:separator/>
      </w:r>
    </w:p>
  </w:endnote>
  <w:endnote w:type="continuationSeparator" w:id="0">
    <w:p w:rsidR="00924E2A" w:rsidRDefault="00924E2A"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E2A" w:rsidRDefault="00924E2A" w:rsidP="00B41656">
      <w:pPr>
        <w:spacing w:line="240" w:lineRule="auto"/>
      </w:pPr>
      <w:r>
        <w:separator/>
      </w:r>
    </w:p>
  </w:footnote>
  <w:footnote w:type="continuationSeparator" w:id="0">
    <w:p w:rsidR="00924E2A" w:rsidRDefault="00924E2A"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924E2A"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EE3CC3">
                <w:rPr>
                  <w:b/>
                  <w:noProof/>
                </w:rPr>
                <w:t>4</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EE3CC3">
                <w:rPr>
                  <w:b/>
                  <w:noProof/>
                </w:rPr>
                <w:t>4</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617BBCB2" wp14:editId="6302DB45">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6491"/>
    <w:rsid w:val="00057C1C"/>
    <w:rsid w:val="00060466"/>
    <w:rsid w:val="00067EA3"/>
    <w:rsid w:val="000A473C"/>
    <w:rsid w:val="000D47EC"/>
    <w:rsid w:val="000E31AD"/>
    <w:rsid w:val="000F5299"/>
    <w:rsid w:val="000F53CA"/>
    <w:rsid w:val="00110640"/>
    <w:rsid w:val="001248F5"/>
    <w:rsid w:val="0013115F"/>
    <w:rsid w:val="00131A38"/>
    <w:rsid w:val="001363EB"/>
    <w:rsid w:val="001440E9"/>
    <w:rsid w:val="0016783F"/>
    <w:rsid w:val="001733C8"/>
    <w:rsid w:val="00177B90"/>
    <w:rsid w:val="00193683"/>
    <w:rsid w:val="001D11BE"/>
    <w:rsid w:val="001E412A"/>
    <w:rsid w:val="001E671F"/>
    <w:rsid w:val="00201EBC"/>
    <w:rsid w:val="002040C2"/>
    <w:rsid w:val="002304DE"/>
    <w:rsid w:val="00231C67"/>
    <w:rsid w:val="00240C13"/>
    <w:rsid w:val="00244453"/>
    <w:rsid w:val="00265091"/>
    <w:rsid w:val="00283473"/>
    <w:rsid w:val="002878B1"/>
    <w:rsid w:val="002B74C3"/>
    <w:rsid w:val="002C0B4C"/>
    <w:rsid w:val="002D0DA9"/>
    <w:rsid w:val="002E75B7"/>
    <w:rsid w:val="00325C6F"/>
    <w:rsid w:val="003308E1"/>
    <w:rsid w:val="00361C06"/>
    <w:rsid w:val="00376FD6"/>
    <w:rsid w:val="003828AB"/>
    <w:rsid w:val="003955D7"/>
    <w:rsid w:val="003A09FE"/>
    <w:rsid w:val="003B7BA2"/>
    <w:rsid w:val="003C205E"/>
    <w:rsid w:val="003C582D"/>
    <w:rsid w:val="003C729C"/>
    <w:rsid w:val="003D7655"/>
    <w:rsid w:val="004022CB"/>
    <w:rsid w:val="00437765"/>
    <w:rsid w:val="004507C2"/>
    <w:rsid w:val="00466852"/>
    <w:rsid w:val="0047092C"/>
    <w:rsid w:val="00477C3D"/>
    <w:rsid w:val="004A1A11"/>
    <w:rsid w:val="004A49F1"/>
    <w:rsid w:val="004C6563"/>
    <w:rsid w:val="005269CE"/>
    <w:rsid w:val="005369EE"/>
    <w:rsid w:val="0054781F"/>
    <w:rsid w:val="00565D10"/>
    <w:rsid w:val="00590A51"/>
    <w:rsid w:val="005B4CA5"/>
    <w:rsid w:val="005C5994"/>
    <w:rsid w:val="005E153D"/>
    <w:rsid w:val="005F3EA9"/>
    <w:rsid w:val="005F61B5"/>
    <w:rsid w:val="00604974"/>
    <w:rsid w:val="0063164F"/>
    <w:rsid w:val="006344B0"/>
    <w:rsid w:val="00647807"/>
    <w:rsid w:val="00662166"/>
    <w:rsid w:val="00662E7F"/>
    <w:rsid w:val="00676091"/>
    <w:rsid w:val="006774B5"/>
    <w:rsid w:val="00687F6F"/>
    <w:rsid w:val="006A49D9"/>
    <w:rsid w:val="006A4EB5"/>
    <w:rsid w:val="006A568B"/>
    <w:rsid w:val="006A7750"/>
    <w:rsid w:val="006C72CB"/>
    <w:rsid w:val="006E170E"/>
    <w:rsid w:val="006E3A7F"/>
    <w:rsid w:val="00703913"/>
    <w:rsid w:val="00707BD1"/>
    <w:rsid w:val="00716157"/>
    <w:rsid w:val="00724014"/>
    <w:rsid w:val="007252C5"/>
    <w:rsid w:val="007410AA"/>
    <w:rsid w:val="00764F62"/>
    <w:rsid w:val="00765A21"/>
    <w:rsid w:val="0077703E"/>
    <w:rsid w:val="007A448C"/>
    <w:rsid w:val="007B06F6"/>
    <w:rsid w:val="007D5BDF"/>
    <w:rsid w:val="007E06F2"/>
    <w:rsid w:val="007F2707"/>
    <w:rsid w:val="00811243"/>
    <w:rsid w:val="0081551A"/>
    <w:rsid w:val="008256E2"/>
    <w:rsid w:val="0085194D"/>
    <w:rsid w:val="00863D04"/>
    <w:rsid w:val="0086760B"/>
    <w:rsid w:val="00875AE9"/>
    <w:rsid w:val="008844EF"/>
    <w:rsid w:val="008A34BF"/>
    <w:rsid w:val="008A6ACF"/>
    <w:rsid w:val="008C244D"/>
    <w:rsid w:val="008E360F"/>
    <w:rsid w:val="008E5EE8"/>
    <w:rsid w:val="008E6349"/>
    <w:rsid w:val="00903556"/>
    <w:rsid w:val="00924E2A"/>
    <w:rsid w:val="009405CE"/>
    <w:rsid w:val="00950441"/>
    <w:rsid w:val="00963F44"/>
    <w:rsid w:val="00966697"/>
    <w:rsid w:val="009802E3"/>
    <w:rsid w:val="009B22BF"/>
    <w:rsid w:val="00A02D30"/>
    <w:rsid w:val="00A16AA4"/>
    <w:rsid w:val="00A248A8"/>
    <w:rsid w:val="00A32C49"/>
    <w:rsid w:val="00A4059D"/>
    <w:rsid w:val="00A56A52"/>
    <w:rsid w:val="00A749C5"/>
    <w:rsid w:val="00A755A3"/>
    <w:rsid w:val="00A83FC9"/>
    <w:rsid w:val="00A846F4"/>
    <w:rsid w:val="00A9735F"/>
    <w:rsid w:val="00AE774F"/>
    <w:rsid w:val="00AF1421"/>
    <w:rsid w:val="00B128E3"/>
    <w:rsid w:val="00B41656"/>
    <w:rsid w:val="00B645D1"/>
    <w:rsid w:val="00B967C8"/>
    <w:rsid w:val="00BA48C2"/>
    <w:rsid w:val="00BA4F93"/>
    <w:rsid w:val="00BA60D8"/>
    <w:rsid w:val="00BB2920"/>
    <w:rsid w:val="00BB7176"/>
    <w:rsid w:val="00BC40A5"/>
    <w:rsid w:val="00BD40C9"/>
    <w:rsid w:val="00C013BB"/>
    <w:rsid w:val="00C04525"/>
    <w:rsid w:val="00C17123"/>
    <w:rsid w:val="00C22187"/>
    <w:rsid w:val="00C23B89"/>
    <w:rsid w:val="00C32D50"/>
    <w:rsid w:val="00C470E9"/>
    <w:rsid w:val="00C6540F"/>
    <w:rsid w:val="00C77CA2"/>
    <w:rsid w:val="00CA1BD5"/>
    <w:rsid w:val="00CC39B0"/>
    <w:rsid w:val="00CE1BD7"/>
    <w:rsid w:val="00CE4F79"/>
    <w:rsid w:val="00CF6809"/>
    <w:rsid w:val="00D21CDB"/>
    <w:rsid w:val="00D500EF"/>
    <w:rsid w:val="00D511B7"/>
    <w:rsid w:val="00D51C43"/>
    <w:rsid w:val="00D62649"/>
    <w:rsid w:val="00D817B5"/>
    <w:rsid w:val="00D94F24"/>
    <w:rsid w:val="00DA6392"/>
    <w:rsid w:val="00DE48AF"/>
    <w:rsid w:val="00DE6999"/>
    <w:rsid w:val="00DE76F3"/>
    <w:rsid w:val="00E03E5C"/>
    <w:rsid w:val="00E234E7"/>
    <w:rsid w:val="00E25406"/>
    <w:rsid w:val="00E35B8A"/>
    <w:rsid w:val="00E430FB"/>
    <w:rsid w:val="00E55D24"/>
    <w:rsid w:val="00E61C0C"/>
    <w:rsid w:val="00E86FB6"/>
    <w:rsid w:val="00E87137"/>
    <w:rsid w:val="00E95155"/>
    <w:rsid w:val="00ED3235"/>
    <w:rsid w:val="00ED3BBB"/>
    <w:rsid w:val="00EE291D"/>
    <w:rsid w:val="00EE3AA4"/>
    <w:rsid w:val="00EE3CC3"/>
    <w:rsid w:val="00EE4F42"/>
    <w:rsid w:val="00F02D0A"/>
    <w:rsid w:val="00F34BAC"/>
    <w:rsid w:val="00F63CE2"/>
    <w:rsid w:val="00F73ABC"/>
    <w:rsid w:val="00F8606B"/>
    <w:rsid w:val="00FA2EC4"/>
    <w:rsid w:val="00FC3558"/>
    <w:rsid w:val="00FD31C9"/>
    <w:rsid w:val="00FD3445"/>
    <w:rsid w:val="00FD7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Normal"/>
    <w:link w:val="Titre1Car"/>
    <w:qFormat/>
    <w:rsid w:val="00193683"/>
    <w:pPr>
      <w:keepNext/>
      <w:spacing w:line="240" w:lineRule="auto"/>
      <w:jc w:val="right"/>
      <w:outlineLvl w:val="0"/>
    </w:pPr>
    <w:rPr>
      <w:rFonts w:ascii="Times New Roman" w:eastAsia="Times New Roman" w:hAnsi="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193683"/>
    <w:rPr>
      <w:rFonts w:ascii="Times New Roman" w:eastAsia="Times New Roman" w:hAnsi="Times New Roman"/>
      <w:sz w:val="24"/>
    </w:rPr>
  </w:style>
  <w:style w:type="paragraph" w:customStyle="1" w:styleId="PS">
    <w:name w:val="PS"/>
    <w:basedOn w:val="Normal"/>
    <w:link w:val="PSCar"/>
    <w:rsid w:val="00193683"/>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
    <w:rsid w:val="00193683"/>
    <w:rPr>
      <w:rFonts w:ascii="CG Times (WN)" w:eastAsia="Times New Roman" w:hAnsi="CG Times (WN)"/>
      <w:sz w:val="24"/>
    </w:rPr>
  </w:style>
  <w:style w:type="paragraph" w:styleId="Rvision">
    <w:name w:val="Revision"/>
    <w:hidden/>
    <w:uiPriority w:val="71"/>
    <w:rsid w:val="00A749C5"/>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Normal"/>
    <w:link w:val="Titre1Car"/>
    <w:qFormat/>
    <w:rsid w:val="00193683"/>
    <w:pPr>
      <w:keepNext/>
      <w:spacing w:line="240" w:lineRule="auto"/>
      <w:jc w:val="right"/>
      <w:outlineLvl w:val="0"/>
    </w:pPr>
    <w:rPr>
      <w:rFonts w:ascii="Times New Roman" w:eastAsia="Times New Roman" w:hAnsi="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193683"/>
    <w:rPr>
      <w:rFonts w:ascii="Times New Roman" w:eastAsia="Times New Roman" w:hAnsi="Times New Roman"/>
      <w:sz w:val="24"/>
    </w:rPr>
  </w:style>
  <w:style w:type="paragraph" w:customStyle="1" w:styleId="PS">
    <w:name w:val="PS"/>
    <w:basedOn w:val="Normal"/>
    <w:link w:val="PSCar"/>
    <w:rsid w:val="00193683"/>
    <w:pPr>
      <w:spacing w:after="480" w:line="240" w:lineRule="auto"/>
      <w:ind w:left="1701" w:firstLine="1134"/>
      <w:jc w:val="both"/>
    </w:pPr>
    <w:rPr>
      <w:rFonts w:ascii="CG Times (WN)" w:eastAsia="Times New Roman" w:hAnsi="CG Times (WN)"/>
      <w:sz w:val="24"/>
      <w:szCs w:val="20"/>
      <w:lang w:eastAsia="fr-FR"/>
    </w:rPr>
  </w:style>
  <w:style w:type="character" w:customStyle="1" w:styleId="PSCar">
    <w:name w:val="PS Car"/>
    <w:link w:val="PS"/>
    <w:rsid w:val="00193683"/>
    <w:rPr>
      <w:rFonts w:ascii="CG Times (WN)" w:eastAsia="Times New Roman" w:hAnsi="CG Times (WN)"/>
      <w:sz w:val="24"/>
    </w:rPr>
  </w:style>
  <w:style w:type="paragraph" w:styleId="Rvision">
    <w:name w:val="Revision"/>
    <w:hidden/>
    <w:uiPriority w:val="71"/>
    <w:rsid w:val="00A749C5"/>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F6845-C823-44ED-B1AE-0139B38B7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1649</Words>
  <Characters>9074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41</cp:revision>
  <cp:lastPrinted>2015-12-07T14:02:00Z</cp:lastPrinted>
  <dcterms:created xsi:type="dcterms:W3CDTF">2015-12-04T09:05:00Z</dcterms:created>
  <dcterms:modified xsi:type="dcterms:W3CDTF">2016-03-11T14:30:00Z</dcterms:modified>
</cp:coreProperties>
</file>