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Pr="004A1A11" w:rsidRDefault="00FA2EC4" w:rsidP="004A1A11"/>
    <w:tbl>
      <w:tblPr>
        <w:tblW w:w="9180" w:type="dxa"/>
        <w:tblLook w:val="00A0" w:firstRow="1" w:lastRow="0" w:firstColumn="1" w:lastColumn="0" w:noHBand="0" w:noVBand="0"/>
      </w:tblPr>
      <w:tblGrid>
        <w:gridCol w:w="4644"/>
        <w:gridCol w:w="4536"/>
      </w:tblGrid>
      <w:tr w:rsidR="008433DB" w:rsidRPr="00C15660" w:rsidTr="008433DB">
        <w:tc>
          <w:tcPr>
            <w:tcW w:w="4644" w:type="dxa"/>
          </w:tcPr>
          <w:p w:rsidR="008433DB" w:rsidRPr="00C15660" w:rsidRDefault="00D21063" w:rsidP="00C22E90">
            <w:pPr>
              <w:ind w:right="340"/>
              <w:jc w:val="center"/>
              <w:rPr>
                <w:rFonts w:cs="Arial"/>
                <w:sz w:val="22"/>
              </w:rPr>
            </w:pPr>
            <w:r w:rsidRPr="00C15660">
              <w:rPr>
                <w:rFonts w:cs="Arial"/>
                <w:sz w:val="22"/>
              </w:rPr>
              <w:t xml:space="preserve">PREMIERE </w:t>
            </w:r>
            <w:r w:rsidR="008029BD" w:rsidRPr="00C15660">
              <w:rPr>
                <w:rFonts w:cs="Arial"/>
                <w:sz w:val="22"/>
              </w:rPr>
              <w:t>CHAMBRE</w:t>
            </w:r>
          </w:p>
          <w:p w:rsidR="008433DB" w:rsidRPr="00C15660" w:rsidRDefault="008029BD" w:rsidP="00C22E90">
            <w:pPr>
              <w:ind w:right="340"/>
              <w:jc w:val="center"/>
              <w:rPr>
                <w:rFonts w:cs="Arial"/>
                <w:b/>
                <w:sz w:val="22"/>
              </w:rPr>
            </w:pPr>
            <w:r w:rsidRPr="00C15660">
              <w:rPr>
                <w:rFonts w:cs="Arial"/>
                <w:b/>
                <w:sz w:val="22"/>
              </w:rPr>
              <w:t>-------</w:t>
            </w:r>
          </w:p>
          <w:p w:rsidR="008433DB" w:rsidRPr="00C15660" w:rsidRDefault="00D21063" w:rsidP="00C22E90">
            <w:pPr>
              <w:ind w:right="340"/>
              <w:jc w:val="center"/>
              <w:rPr>
                <w:rFonts w:cs="Arial"/>
                <w:sz w:val="22"/>
              </w:rPr>
            </w:pPr>
            <w:r w:rsidRPr="00C15660">
              <w:rPr>
                <w:rFonts w:cs="Arial"/>
                <w:sz w:val="22"/>
              </w:rPr>
              <w:t>Formation plénière</w:t>
            </w:r>
          </w:p>
          <w:p w:rsidR="008433DB" w:rsidRPr="00C15660" w:rsidRDefault="008029BD" w:rsidP="00C22E90">
            <w:pPr>
              <w:ind w:right="340"/>
              <w:jc w:val="center"/>
              <w:rPr>
                <w:rFonts w:cs="Arial"/>
                <w:b/>
                <w:sz w:val="22"/>
              </w:rPr>
            </w:pPr>
            <w:r w:rsidRPr="00C15660">
              <w:rPr>
                <w:rFonts w:cs="Arial"/>
                <w:b/>
                <w:sz w:val="22"/>
              </w:rPr>
              <w:t>-------</w:t>
            </w:r>
          </w:p>
          <w:p w:rsidR="008433DB" w:rsidRPr="00C15660" w:rsidRDefault="008029BD" w:rsidP="00C22E90">
            <w:pPr>
              <w:ind w:right="340"/>
              <w:jc w:val="center"/>
              <w:rPr>
                <w:rFonts w:cs="Arial"/>
                <w:sz w:val="22"/>
              </w:rPr>
            </w:pPr>
            <w:r w:rsidRPr="00C15660">
              <w:rPr>
                <w:rFonts w:cs="Arial"/>
                <w:sz w:val="22"/>
              </w:rPr>
              <w:t>Arrêt n°</w:t>
            </w:r>
            <w:r w:rsidR="000C69EB">
              <w:rPr>
                <w:rFonts w:cs="Arial"/>
                <w:sz w:val="22"/>
              </w:rPr>
              <w:t>S2015-1777</w:t>
            </w:r>
          </w:p>
          <w:p w:rsidR="008433DB" w:rsidRPr="00C15660" w:rsidRDefault="008433DB" w:rsidP="00C22E90">
            <w:pPr>
              <w:tabs>
                <w:tab w:val="center" w:pos="4819"/>
                <w:tab w:val="right" w:pos="9071"/>
              </w:tabs>
              <w:ind w:right="340"/>
              <w:jc w:val="center"/>
              <w:rPr>
                <w:rFonts w:cs="Arial"/>
                <w:sz w:val="22"/>
              </w:rPr>
            </w:pPr>
          </w:p>
          <w:p w:rsidR="008433DB" w:rsidRPr="00C15660" w:rsidRDefault="008029BD" w:rsidP="00C22E90">
            <w:pPr>
              <w:ind w:right="340"/>
              <w:jc w:val="center"/>
              <w:rPr>
                <w:rFonts w:cs="Arial"/>
                <w:sz w:val="22"/>
              </w:rPr>
            </w:pPr>
            <w:r w:rsidRPr="00C15660">
              <w:rPr>
                <w:rFonts w:cs="Arial"/>
                <w:sz w:val="22"/>
              </w:rPr>
              <w:t xml:space="preserve">Audience publique du </w:t>
            </w:r>
            <w:r w:rsidR="00D21063" w:rsidRPr="00C15660">
              <w:rPr>
                <w:rFonts w:cs="Arial"/>
                <w:sz w:val="22"/>
              </w:rPr>
              <w:t>19 novembre 2015</w:t>
            </w:r>
          </w:p>
          <w:p w:rsidR="008433DB" w:rsidRPr="00C15660" w:rsidRDefault="008433DB" w:rsidP="00C22E90">
            <w:pPr>
              <w:ind w:right="340"/>
              <w:jc w:val="center"/>
              <w:rPr>
                <w:rFonts w:cs="Arial"/>
                <w:sz w:val="22"/>
              </w:rPr>
            </w:pPr>
          </w:p>
          <w:p w:rsidR="008433DB" w:rsidRPr="00C22E90" w:rsidRDefault="008029BD" w:rsidP="00C22E90">
            <w:pPr>
              <w:ind w:right="340"/>
              <w:jc w:val="center"/>
              <w:rPr>
                <w:rFonts w:cs="Arial"/>
                <w:i/>
                <w:sz w:val="22"/>
              </w:rPr>
            </w:pPr>
            <w:r w:rsidRPr="00C15660">
              <w:rPr>
                <w:rFonts w:cs="Arial"/>
                <w:sz w:val="22"/>
              </w:rPr>
              <w:t xml:space="preserve">Prononcé du </w:t>
            </w:r>
            <w:r w:rsidR="00D21063" w:rsidRPr="00C15660">
              <w:rPr>
                <w:rFonts w:cs="Arial"/>
                <w:sz w:val="22"/>
              </w:rPr>
              <w:t>21 décembre 2015</w:t>
            </w:r>
          </w:p>
        </w:tc>
        <w:tc>
          <w:tcPr>
            <w:tcW w:w="4536" w:type="dxa"/>
          </w:tcPr>
          <w:p w:rsidR="008433DB" w:rsidRPr="00C15660" w:rsidRDefault="00D21063" w:rsidP="008433DB">
            <w:pPr>
              <w:rPr>
                <w:rFonts w:cs="Arial"/>
                <w:sz w:val="22"/>
              </w:rPr>
            </w:pPr>
            <w:r w:rsidRPr="00C15660">
              <w:rPr>
                <w:rFonts w:cs="Arial"/>
                <w:sz w:val="22"/>
              </w:rPr>
              <w:t>GESTION DE FAIT PRESUMEE DES DENIERS DE L’ETAT</w:t>
            </w:r>
          </w:p>
          <w:p w:rsidR="00D21063" w:rsidRPr="00C15660" w:rsidRDefault="00D21063" w:rsidP="008433DB">
            <w:pPr>
              <w:rPr>
                <w:rFonts w:cs="Arial"/>
                <w:sz w:val="22"/>
              </w:rPr>
            </w:pPr>
            <w:r w:rsidRPr="00C15660">
              <w:rPr>
                <w:rFonts w:cs="Arial"/>
                <w:sz w:val="22"/>
              </w:rPr>
              <w:t>DIRECTION GENERALE DU TRESOR / CAISSE DES DEPOTS ET</w:t>
            </w:r>
            <w:r w:rsidR="00C22E90">
              <w:rPr>
                <w:rFonts w:cs="Arial"/>
                <w:sz w:val="22"/>
              </w:rPr>
              <w:t xml:space="preserve"> </w:t>
            </w:r>
            <w:r w:rsidRPr="00C15660">
              <w:rPr>
                <w:rFonts w:cs="Arial"/>
                <w:sz w:val="22"/>
              </w:rPr>
              <w:t>CONSIGNATIONS</w:t>
            </w:r>
          </w:p>
          <w:p w:rsidR="008433DB" w:rsidRPr="00C15660" w:rsidRDefault="008433DB" w:rsidP="008433DB">
            <w:pPr>
              <w:ind w:left="5670" w:hanging="4245"/>
              <w:rPr>
                <w:rFonts w:cs="Arial"/>
                <w:sz w:val="22"/>
              </w:rPr>
            </w:pPr>
          </w:p>
          <w:p w:rsidR="005B3F72" w:rsidRDefault="005B3F72" w:rsidP="008433DB">
            <w:pPr>
              <w:rPr>
                <w:rFonts w:cs="Arial"/>
                <w:i/>
                <w:noProof/>
                <w:color w:val="000000"/>
                <w:sz w:val="22"/>
              </w:rPr>
            </w:pPr>
          </w:p>
          <w:p w:rsidR="006E4912" w:rsidRPr="00C15660" w:rsidRDefault="006E4912" w:rsidP="008433DB">
            <w:pPr>
              <w:rPr>
                <w:rFonts w:cs="Arial"/>
                <w:i/>
                <w:noProof/>
                <w:color w:val="000000"/>
                <w:sz w:val="22"/>
              </w:rPr>
            </w:pPr>
          </w:p>
          <w:p w:rsidR="008433DB" w:rsidRPr="00C15660" w:rsidRDefault="008029BD" w:rsidP="008433DB">
            <w:pPr>
              <w:rPr>
                <w:rFonts w:cs="Arial"/>
                <w:sz w:val="22"/>
              </w:rPr>
            </w:pPr>
            <w:r w:rsidRPr="00C15660">
              <w:rPr>
                <w:rFonts w:cs="Arial"/>
                <w:noProof/>
                <w:color w:val="000000"/>
                <w:sz w:val="22"/>
              </w:rPr>
              <w:t xml:space="preserve">Rapport n° </w:t>
            </w:r>
            <w:r w:rsidR="00D21063" w:rsidRPr="00C15660">
              <w:rPr>
                <w:rFonts w:cs="Arial"/>
                <w:noProof/>
                <w:color w:val="000000"/>
                <w:sz w:val="22"/>
              </w:rPr>
              <w:t>2015-237-0</w:t>
            </w:r>
          </w:p>
        </w:tc>
      </w:tr>
    </w:tbl>
    <w:p w:rsidR="008433DB" w:rsidRDefault="008433DB" w:rsidP="00C22E90">
      <w:pPr>
        <w:jc w:val="center"/>
        <w:rPr>
          <w:rFonts w:cs="Arial"/>
          <w:sz w:val="22"/>
        </w:rPr>
      </w:pPr>
    </w:p>
    <w:p w:rsidR="00C22E90" w:rsidRDefault="00C22E90" w:rsidP="00C22E90">
      <w:pPr>
        <w:jc w:val="center"/>
        <w:rPr>
          <w:rFonts w:cs="Arial"/>
          <w:sz w:val="22"/>
        </w:rPr>
      </w:pPr>
    </w:p>
    <w:p w:rsidR="00C22E90" w:rsidRPr="00C15660" w:rsidRDefault="00C22E90" w:rsidP="00C22E90">
      <w:pPr>
        <w:jc w:val="center"/>
        <w:rPr>
          <w:rFonts w:cs="Arial"/>
          <w:sz w:val="22"/>
        </w:rPr>
      </w:pPr>
    </w:p>
    <w:p w:rsidR="008433DB" w:rsidRPr="00C15660" w:rsidRDefault="008029BD" w:rsidP="008433DB">
      <w:pPr>
        <w:tabs>
          <w:tab w:val="center" w:pos="9072"/>
        </w:tabs>
        <w:jc w:val="center"/>
        <w:rPr>
          <w:rFonts w:cs="Arial"/>
          <w:sz w:val="22"/>
        </w:rPr>
      </w:pPr>
      <w:r w:rsidRPr="00C15660">
        <w:rPr>
          <w:rFonts w:cs="Arial"/>
          <w:sz w:val="22"/>
        </w:rPr>
        <w:t>République Française,</w:t>
      </w:r>
    </w:p>
    <w:p w:rsidR="008433DB" w:rsidRPr="00C15660" w:rsidRDefault="008029BD" w:rsidP="008433DB">
      <w:pPr>
        <w:tabs>
          <w:tab w:val="center" w:pos="9072"/>
        </w:tabs>
        <w:jc w:val="center"/>
        <w:rPr>
          <w:rFonts w:cs="Arial"/>
          <w:sz w:val="22"/>
        </w:rPr>
      </w:pPr>
      <w:r w:rsidRPr="00C15660">
        <w:rPr>
          <w:rFonts w:cs="Arial"/>
          <w:sz w:val="22"/>
        </w:rPr>
        <w:t>Au nom du peuple français,</w:t>
      </w:r>
    </w:p>
    <w:p w:rsidR="008433DB" w:rsidRPr="00C15660" w:rsidRDefault="008433DB" w:rsidP="008433DB">
      <w:pPr>
        <w:tabs>
          <w:tab w:val="center" w:pos="9072"/>
        </w:tabs>
        <w:jc w:val="center"/>
        <w:rPr>
          <w:rFonts w:cs="Arial"/>
          <w:sz w:val="22"/>
        </w:rPr>
      </w:pPr>
    </w:p>
    <w:p w:rsidR="008433DB" w:rsidRPr="00C15660" w:rsidRDefault="008029BD" w:rsidP="008433DB">
      <w:pPr>
        <w:tabs>
          <w:tab w:val="center" w:pos="9072"/>
        </w:tabs>
        <w:jc w:val="center"/>
        <w:rPr>
          <w:rFonts w:cs="Arial"/>
          <w:sz w:val="22"/>
        </w:rPr>
      </w:pPr>
      <w:r w:rsidRPr="00C15660">
        <w:rPr>
          <w:rFonts w:cs="Arial"/>
          <w:sz w:val="22"/>
        </w:rPr>
        <w:t>La Cour,</w:t>
      </w:r>
    </w:p>
    <w:p w:rsidR="008433DB" w:rsidRPr="00C15660" w:rsidRDefault="008433DB" w:rsidP="008433DB">
      <w:pPr>
        <w:tabs>
          <w:tab w:val="center" w:pos="4536"/>
          <w:tab w:val="right" w:pos="9072"/>
        </w:tabs>
        <w:spacing w:line="240" w:lineRule="auto"/>
        <w:ind w:left="-567"/>
        <w:jc w:val="both"/>
        <w:rPr>
          <w:rFonts w:eastAsia="Times New Roman" w:cs="Arial"/>
          <w:sz w:val="22"/>
          <w:lang w:eastAsia="fr-FR"/>
        </w:rPr>
      </w:pPr>
    </w:p>
    <w:p w:rsidR="008433DB" w:rsidRPr="00C15660" w:rsidRDefault="008029BD" w:rsidP="008433DB">
      <w:pPr>
        <w:spacing w:line="240" w:lineRule="auto"/>
        <w:jc w:val="both"/>
        <w:rPr>
          <w:rFonts w:cs="Arial"/>
          <w:sz w:val="22"/>
        </w:rPr>
      </w:pPr>
      <w:r w:rsidRPr="00C15660">
        <w:rPr>
          <w:rFonts w:cs="Arial"/>
          <w:sz w:val="22"/>
        </w:rPr>
        <w:t>Vu le</w:t>
      </w:r>
      <w:r w:rsidR="00D21063" w:rsidRPr="00C15660">
        <w:rPr>
          <w:rFonts w:cs="Arial"/>
          <w:sz w:val="22"/>
        </w:rPr>
        <w:t>s</w:t>
      </w:r>
      <w:r w:rsidRPr="00C15660">
        <w:rPr>
          <w:rFonts w:cs="Arial"/>
          <w:sz w:val="22"/>
        </w:rPr>
        <w:t xml:space="preserve"> réquisitoire</w:t>
      </w:r>
      <w:r w:rsidR="00D21063" w:rsidRPr="00C15660">
        <w:rPr>
          <w:rFonts w:cs="Arial"/>
          <w:sz w:val="22"/>
        </w:rPr>
        <w:t>s</w:t>
      </w:r>
      <w:r w:rsidRPr="00C15660">
        <w:rPr>
          <w:rFonts w:cs="Arial"/>
          <w:sz w:val="22"/>
        </w:rPr>
        <w:t xml:space="preserve"> </w:t>
      </w:r>
      <w:r w:rsidR="00D21063" w:rsidRPr="00C15660">
        <w:rPr>
          <w:rFonts w:cs="Arial"/>
          <w:sz w:val="22"/>
        </w:rPr>
        <w:t>n°</w:t>
      </w:r>
      <w:r w:rsidR="008435E3">
        <w:rPr>
          <w:rFonts w:cs="Arial"/>
          <w:sz w:val="22"/>
        </w:rPr>
        <w:t> </w:t>
      </w:r>
      <w:r w:rsidR="00D21063" w:rsidRPr="00C15660">
        <w:rPr>
          <w:rFonts w:cs="Arial"/>
          <w:sz w:val="22"/>
        </w:rPr>
        <w:t>2010-16 en date du 9 mars 2010 et n°</w:t>
      </w:r>
      <w:r w:rsidR="00A20C35">
        <w:rPr>
          <w:rFonts w:cs="Arial"/>
          <w:sz w:val="22"/>
        </w:rPr>
        <w:t> </w:t>
      </w:r>
      <w:r w:rsidR="00D21063" w:rsidRPr="00C15660">
        <w:rPr>
          <w:rFonts w:cs="Arial"/>
          <w:sz w:val="22"/>
        </w:rPr>
        <w:t>2012-73 en date du 7</w:t>
      </w:r>
      <w:r w:rsidR="00C22E90">
        <w:rPr>
          <w:rFonts w:cs="Arial"/>
          <w:sz w:val="22"/>
        </w:rPr>
        <w:t xml:space="preserve"> </w:t>
      </w:r>
      <w:r w:rsidR="00D21063" w:rsidRPr="00C15660">
        <w:rPr>
          <w:rFonts w:cs="Arial"/>
          <w:sz w:val="22"/>
        </w:rPr>
        <w:t>novembre</w:t>
      </w:r>
      <w:r w:rsidR="00C22E90">
        <w:rPr>
          <w:rFonts w:cs="Arial"/>
          <w:sz w:val="22"/>
        </w:rPr>
        <w:t xml:space="preserve"> </w:t>
      </w:r>
      <w:r w:rsidR="00D21063" w:rsidRPr="00C15660">
        <w:rPr>
          <w:rFonts w:cs="Arial"/>
          <w:sz w:val="22"/>
        </w:rPr>
        <w:t>2012</w:t>
      </w:r>
      <w:r w:rsidRPr="00C15660">
        <w:rPr>
          <w:rFonts w:cs="Arial"/>
          <w:sz w:val="22"/>
        </w:rPr>
        <w:t>, par le</w:t>
      </w:r>
      <w:r w:rsidR="00D21063" w:rsidRPr="00C15660">
        <w:rPr>
          <w:rFonts w:cs="Arial"/>
          <w:sz w:val="22"/>
        </w:rPr>
        <w:t>s</w:t>
      </w:r>
      <w:r w:rsidRPr="00C15660">
        <w:rPr>
          <w:rFonts w:cs="Arial"/>
          <w:sz w:val="22"/>
        </w:rPr>
        <w:t>quel</w:t>
      </w:r>
      <w:r w:rsidR="00D21063" w:rsidRPr="00C15660">
        <w:rPr>
          <w:rFonts w:cs="Arial"/>
          <w:sz w:val="22"/>
        </w:rPr>
        <w:t>s</w:t>
      </w:r>
      <w:r w:rsidRPr="00C15660">
        <w:rPr>
          <w:rFonts w:cs="Arial"/>
          <w:sz w:val="22"/>
        </w:rPr>
        <w:t xml:space="preserve"> le Procureur général près la Cour des comptes a saisi la </w:t>
      </w:r>
      <w:r w:rsidR="00D21063" w:rsidRPr="00C15660">
        <w:rPr>
          <w:rFonts w:cs="Arial"/>
          <w:sz w:val="22"/>
        </w:rPr>
        <w:t xml:space="preserve">première chambre </w:t>
      </w:r>
      <w:r w:rsidRPr="00C15660">
        <w:rPr>
          <w:rFonts w:cs="Arial"/>
          <w:sz w:val="22"/>
        </w:rPr>
        <w:t xml:space="preserve">de la Cour des comptes </w:t>
      </w:r>
      <w:r w:rsidR="00373751" w:rsidRPr="000E6081">
        <w:rPr>
          <w:rFonts w:cs="Arial"/>
          <w:sz w:val="22"/>
        </w:rPr>
        <w:t>d’</w:t>
      </w:r>
      <w:r w:rsidR="00174245" w:rsidRPr="000E6081">
        <w:rPr>
          <w:rFonts w:cs="Arial"/>
          <w:sz w:val="22"/>
        </w:rPr>
        <w:t>éléments présumés constitutifs</w:t>
      </w:r>
      <w:r w:rsidR="00373751" w:rsidRPr="00C15660">
        <w:rPr>
          <w:rFonts w:cs="Arial"/>
          <w:sz w:val="22"/>
        </w:rPr>
        <w:t xml:space="preserve"> d’</w:t>
      </w:r>
      <w:r w:rsidR="00D21063" w:rsidRPr="00C15660">
        <w:rPr>
          <w:rFonts w:cs="Arial"/>
          <w:sz w:val="22"/>
        </w:rPr>
        <w:t>une gestion de fait des deniers de l’Etat</w:t>
      </w:r>
      <w:r w:rsidRPr="00C15660">
        <w:rPr>
          <w:rFonts w:cs="Arial"/>
          <w:sz w:val="22"/>
        </w:rPr>
        <w:t>, notifié</w:t>
      </w:r>
      <w:r w:rsidR="00F114E0" w:rsidRPr="00C15660">
        <w:rPr>
          <w:rFonts w:cs="Arial"/>
          <w:sz w:val="22"/>
        </w:rPr>
        <w:t>s</w:t>
      </w:r>
      <w:r w:rsidRPr="00C15660">
        <w:rPr>
          <w:rFonts w:cs="Arial"/>
          <w:sz w:val="22"/>
        </w:rPr>
        <w:t xml:space="preserve"> le</w:t>
      </w:r>
      <w:r w:rsidR="00F114E0" w:rsidRPr="00C15660">
        <w:rPr>
          <w:rFonts w:cs="Arial"/>
          <w:sz w:val="22"/>
        </w:rPr>
        <w:t xml:space="preserve"> 21 décembre 2012 au directeur général du Trésor, au directeur général de la Caisse des dépôts et consignations, au contrôleur budgétaire et comptable ministériel du ministère en charge de l’économie et des finances, au directeur général des finances publiques, au secrétaire général des ministères économique et financier, au directeur général de l’</w:t>
      </w:r>
      <w:r w:rsidR="00C15660" w:rsidRPr="00C15660">
        <w:rPr>
          <w:rFonts w:cs="Arial"/>
          <w:sz w:val="22"/>
        </w:rPr>
        <w:t>A</w:t>
      </w:r>
      <w:r w:rsidR="00F114E0" w:rsidRPr="00C15660">
        <w:rPr>
          <w:rFonts w:cs="Arial"/>
          <w:sz w:val="22"/>
        </w:rPr>
        <w:t>gence des participations de l’Etat, à</w:t>
      </w:r>
      <w:r w:rsidR="00C22E90">
        <w:rPr>
          <w:rFonts w:cs="Arial"/>
          <w:sz w:val="22"/>
        </w:rPr>
        <w:t xml:space="preserve"> </w:t>
      </w:r>
      <w:r w:rsidR="00454F39" w:rsidRPr="00C15660">
        <w:rPr>
          <w:rFonts w:cs="Arial"/>
          <w:sz w:val="22"/>
        </w:rPr>
        <w:t>M</w:t>
      </w:r>
      <w:r w:rsidR="00F114E0" w:rsidRPr="00C15660">
        <w:rPr>
          <w:rFonts w:cs="Arial"/>
          <w:sz w:val="22"/>
        </w:rPr>
        <w:t>.</w:t>
      </w:r>
      <w:r w:rsidR="00454F39" w:rsidRPr="00C15660">
        <w:rPr>
          <w:rFonts w:cs="Arial"/>
          <w:sz w:val="22"/>
        </w:rPr>
        <w:t> </w:t>
      </w:r>
      <w:r w:rsidR="000C64BE">
        <w:rPr>
          <w:rFonts w:cs="Arial"/>
          <w:sz w:val="22"/>
        </w:rPr>
        <w:t>X</w:t>
      </w:r>
      <w:r w:rsidR="00F114E0" w:rsidRPr="00C15660">
        <w:rPr>
          <w:rFonts w:cs="Arial"/>
          <w:sz w:val="22"/>
        </w:rPr>
        <w:t>, à M.</w:t>
      </w:r>
      <w:r w:rsidR="000775A1">
        <w:rPr>
          <w:rFonts w:cs="Arial"/>
          <w:sz w:val="22"/>
        </w:rPr>
        <w:t> </w:t>
      </w:r>
      <w:r w:rsidR="000C64BE">
        <w:rPr>
          <w:rFonts w:cs="Arial"/>
          <w:sz w:val="22"/>
        </w:rPr>
        <w:t>Y</w:t>
      </w:r>
      <w:r w:rsidR="00454F39" w:rsidRPr="00C15660">
        <w:rPr>
          <w:rFonts w:cs="Arial"/>
          <w:sz w:val="22"/>
        </w:rPr>
        <w:t xml:space="preserve"> et </w:t>
      </w:r>
      <w:r w:rsidR="00F114E0" w:rsidRPr="00C15660">
        <w:rPr>
          <w:rFonts w:cs="Arial"/>
          <w:sz w:val="22"/>
        </w:rPr>
        <w:t>à M.</w:t>
      </w:r>
      <w:r w:rsidR="008435E3">
        <w:rPr>
          <w:rFonts w:cs="Arial"/>
          <w:sz w:val="22"/>
        </w:rPr>
        <w:t> </w:t>
      </w:r>
      <w:r w:rsidR="000C64BE">
        <w:rPr>
          <w:rFonts w:cs="Arial"/>
          <w:sz w:val="22"/>
        </w:rPr>
        <w:t>Z</w:t>
      </w:r>
      <w:r w:rsidR="00454F39" w:rsidRPr="00C15660">
        <w:rPr>
          <w:rFonts w:cs="Arial"/>
          <w:sz w:val="22"/>
        </w:rPr>
        <w:t xml:space="preserve">, </w:t>
      </w:r>
      <w:r w:rsidR="00F114E0" w:rsidRPr="00C15660">
        <w:rPr>
          <w:rFonts w:cs="Arial"/>
          <w:sz w:val="22"/>
        </w:rPr>
        <w:t>le</w:t>
      </w:r>
      <w:r w:rsidR="00C22E90">
        <w:rPr>
          <w:rFonts w:cs="Arial"/>
          <w:sz w:val="22"/>
        </w:rPr>
        <w:t xml:space="preserve"> </w:t>
      </w:r>
      <w:r w:rsidR="00F114E0" w:rsidRPr="00C15660">
        <w:rPr>
          <w:rFonts w:cs="Arial"/>
          <w:sz w:val="22"/>
        </w:rPr>
        <w:t>24</w:t>
      </w:r>
      <w:r w:rsidR="00C22E90">
        <w:rPr>
          <w:rFonts w:cs="Arial"/>
          <w:sz w:val="22"/>
        </w:rPr>
        <w:t xml:space="preserve"> </w:t>
      </w:r>
      <w:r w:rsidR="00F114E0" w:rsidRPr="00C15660">
        <w:rPr>
          <w:rFonts w:cs="Arial"/>
          <w:sz w:val="22"/>
        </w:rPr>
        <w:t xml:space="preserve">décembre 2012 à </w:t>
      </w:r>
      <w:r w:rsidR="000C64BE">
        <w:rPr>
          <w:rFonts w:cs="Arial"/>
          <w:sz w:val="22"/>
        </w:rPr>
        <w:t>M. A</w:t>
      </w:r>
      <w:r w:rsidR="00454F39" w:rsidRPr="00C15660">
        <w:rPr>
          <w:rFonts w:cs="Arial"/>
          <w:sz w:val="22"/>
        </w:rPr>
        <w:t xml:space="preserve"> et </w:t>
      </w:r>
      <w:r w:rsidR="00F114E0" w:rsidRPr="00C15660">
        <w:rPr>
          <w:rFonts w:cs="Arial"/>
          <w:sz w:val="22"/>
        </w:rPr>
        <w:t xml:space="preserve">le 9 janvier 2013 à </w:t>
      </w:r>
      <w:r w:rsidR="000C64BE">
        <w:rPr>
          <w:rFonts w:cs="Arial"/>
          <w:sz w:val="22"/>
        </w:rPr>
        <w:t>M. B</w:t>
      </w:r>
      <w:r w:rsidR="00F114E0" w:rsidRPr="00C15660">
        <w:rPr>
          <w:rFonts w:cs="Arial"/>
          <w:sz w:val="22"/>
        </w:rPr>
        <w:t>;</w:t>
      </w:r>
    </w:p>
    <w:p w:rsidR="008433DB" w:rsidRPr="00C15660" w:rsidRDefault="008433DB" w:rsidP="008433DB">
      <w:pPr>
        <w:spacing w:line="240" w:lineRule="auto"/>
        <w:jc w:val="both"/>
        <w:rPr>
          <w:rFonts w:cs="Arial"/>
          <w:sz w:val="22"/>
        </w:rPr>
      </w:pPr>
    </w:p>
    <w:p w:rsidR="008433DB" w:rsidRPr="00C15660" w:rsidRDefault="008029BD" w:rsidP="008433DB">
      <w:pPr>
        <w:spacing w:line="240" w:lineRule="auto"/>
        <w:jc w:val="both"/>
        <w:rPr>
          <w:rFonts w:cs="Arial"/>
          <w:sz w:val="22"/>
        </w:rPr>
      </w:pPr>
      <w:r w:rsidRPr="00C15660">
        <w:rPr>
          <w:rFonts w:cs="Arial"/>
          <w:sz w:val="22"/>
        </w:rPr>
        <w:t>Vu le code des juridictions financières ;</w:t>
      </w:r>
    </w:p>
    <w:p w:rsidR="00D21063" w:rsidRPr="00C15660" w:rsidRDefault="00D21063" w:rsidP="008433DB">
      <w:pPr>
        <w:spacing w:line="240" w:lineRule="auto"/>
        <w:jc w:val="both"/>
        <w:rPr>
          <w:rFonts w:cs="Arial"/>
          <w:bCs/>
          <w:sz w:val="22"/>
        </w:rPr>
      </w:pPr>
    </w:p>
    <w:p w:rsidR="00D21063" w:rsidRPr="00C15660" w:rsidRDefault="008029BD" w:rsidP="008433DB">
      <w:pPr>
        <w:spacing w:line="240" w:lineRule="auto"/>
        <w:jc w:val="both"/>
        <w:rPr>
          <w:rFonts w:cs="Arial"/>
          <w:sz w:val="22"/>
        </w:rPr>
      </w:pPr>
      <w:r w:rsidRPr="00C15660">
        <w:rPr>
          <w:rFonts w:cs="Arial"/>
          <w:bCs/>
          <w:sz w:val="22"/>
        </w:rPr>
        <w:t xml:space="preserve">Vu </w:t>
      </w:r>
      <w:r w:rsidR="00D21063" w:rsidRPr="00C15660">
        <w:rPr>
          <w:rFonts w:cs="Arial"/>
          <w:bCs/>
          <w:sz w:val="22"/>
        </w:rPr>
        <w:t xml:space="preserve">le code monétaire et financier, notamment </w:t>
      </w:r>
      <w:r w:rsidR="00244112">
        <w:rPr>
          <w:rFonts w:cs="Arial"/>
          <w:bCs/>
          <w:sz w:val="22"/>
        </w:rPr>
        <w:t xml:space="preserve">son </w:t>
      </w:r>
      <w:r w:rsidR="00D21063" w:rsidRPr="00C15660">
        <w:rPr>
          <w:rFonts w:cs="Arial"/>
          <w:bCs/>
          <w:sz w:val="22"/>
        </w:rPr>
        <w:t>article</w:t>
      </w:r>
      <w:r w:rsidR="00FE6544" w:rsidRPr="00C15660">
        <w:rPr>
          <w:rFonts w:cs="Arial"/>
          <w:bCs/>
          <w:sz w:val="22"/>
        </w:rPr>
        <w:t xml:space="preserve"> L. 518-2</w:t>
      </w:r>
      <w:r w:rsidR="00244112">
        <w:rPr>
          <w:rFonts w:cs="Arial"/>
          <w:bCs/>
          <w:sz w:val="22"/>
        </w:rPr>
        <w:t xml:space="preserve"> </w:t>
      </w:r>
      <w:r w:rsidRPr="00C15660">
        <w:rPr>
          <w:rFonts w:cs="Arial"/>
          <w:bCs/>
          <w:sz w:val="22"/>
        </w:rPr>
        <w:t xml:space="preserve">; </w:t>
      </w:r>
    </w:p>
    <w:p w:rsidR="00D21063" w:rsidRPr="00C15660" w:rsidRDefault="00D21063" w:rsidP="008433DB">
      <w:pPr>
        <w:spacing w:line="240" w:lineRule="auto"/>
        <w:jc w:val="both"/>
        <w:rPr>
          <w:rFonts w:cs="Arial"/>
          <w:sz w:val="22"/>
        </w:rPr>
      </w:pPr>
    </w:p>
    <w:p w:rsidR="00D21063" w:rsidRPr="00C15660" w:rsidRDefault="00D21063" w:rsidP="00D21063">
      <w:pPr>
        <w:spacing w:line="240" w:lineRule="auto"/>
        <w:jc w:val="both"/>
        <w:rPr>
          <w:rFonts w:cs="Arial"/>
          <w:sz w:val="22"/>
        </w:rPr>
      </w:pPr>
      <w:r w:rsidRPr="00C15660">
        <w:rPr>
          <w:rFonts w:cs="Arial"/>
          <w:sz w:val="22"/>
        </w:rPr>
        <w:t>Vu l’arti</w:t>
      </w:r>
      <w:r w:rsidR="003E7CFE" w:rsidRPr="00C15660">
        <w:rPr>
          <w:rFonts w:cs="Arial"/>
          <w:sz w:val="22"/>
        </w:rPr>
        <w:t xml:space="preserve">cle 60 de la loi de finances </w:t>
      </w:r>
      <w:r w:rsidR="00454F39" w:rsidRPr="00C15660">
        <w:rPr>
          <w:rFonts w:cs="Arial"/>
          <w:sz w:val="22"/>
        </w:rPr>
        <w:t xml:space="preserve">n° </w:t>
      </w:r>
      <w:r w:rsidRPr="00C15660">
        <w:rPr>
          <w:rFonts w:cs="Arial"/>
          <w:sz w:val="22"/>
        </w:rPr>
        <w:t>63-156 du 23 février 1963 ;</w:t>
      </w:r>
    </w:p>
    <w:p w:rsidR="00D21063" w:rsidRPr="00C15660" w:rsidRDefault="00D21063" w:rsidP="008433DB">
      <w:pPr>
        <w:spacing w:line="240" w:lineRule="auto"/>
        <w:jc w:val="both"/>
        <w:rPr>
          <w:rFonts w:cs="Arial"/>
          <w:sz w:val="22"/>
        </w:rPr>
      </w:pPr>
    </w:p>
    <w:p w:rsidR="00D21063" w:rsidRPr="00C15660" w:rsidRDefault="00D21063" w:rsidP="008433DB">
      <w:pPr>
        <w:spacing w:line="240" w:lineRule="auto"/>
        <w:jc w:val="both"/>
        <w:rPr>
          <w:rFonts w:cs="Arial"/>
          <w:sz w:val="22"/>
        </w:rPr>
      </w:pPr>
      <w:r w:rsidRPr="00C15660">
        <w:rPr>
          <w:rFonts w:cs="Arial"/>
          <w:sz w:val="22"/>
        </w:rPr>
        <w:t>Vu l</w:t>
      </w:r>
      <w:r w:rsidR="00DB4B44" w:rsidRPr="00C15660">
        <w:rPr>
          <w:rFonts w:cs="Arial"/>
          <w:sz w:val="22"/>
        </w:rPr>
        <w:t xml:space="preserve">’article 40 de la </w:t>
      </w:r>
      <w:r w:rsidRPr="00C15660">
        <w:rPr>
          <w:rFonts w:cs="Arial"/>
          <w:sz w:val="22"/>
        </w:rPr>
        <w:t xml:space="preserve">loi </w:t>
      </w:r>
      <w:r w:rsidR="00454F39" w:rsidRPr="00C15660">
        <w:rPr>
          <w:rFonts w:cs="Arial"/>
          <w:sz w:val="22"/>
        </w:rPr>
        <w:t>n°</w:t>
      </w:r>
      <w:r w:rsidR="008435E3">
        <w:rPr>
          <w:rFonts w:cs="Arial"/>
          <w:sz w:val="22"/>
        </w:rPr>
        <w:t> </w:t>
      </w:r>
      <w:r w:rsidR="00DB4B44" w:rsidRPr="00C15660">
        <w:rPr>
          <w:rFonts w:cs="Arial"/>
          <w:sz w:val="22"/>
        </w:rPr>
        <w:t>2014-1545 du 20 décembre 2014 relative à la simplification de la vie des entreprises et portant diverses dispositions de simplification et de clarification du droit et d</w:t>
      </w:r>
      <w:r w:rsidR="003E7CFE" w:rsidRPr="00C15660">
        <w:rPr>
          <w:rFonts w:cs="Arial"/>
          <w:sz w:val="22"/>
        </w:rPr>
        <w:t>es procédures administratives ;</w:t>
      </w:r>
    </w:p>
    <w:p w:rsidR="00D21063" w:rsidRPr="00C15660" w:rsidRDefault="00D21063" w:rsidP="008433DB">
      <w:pPr>
        <w:spacing w:line="240" w:lineRule="auto"/>
        <w:jc w:val="both"/>
        <w:rPr>
          <w:rFonts w:cs="Arial"/>
          <w:sz w:val="22"/>
        </w:rPr>
      </w:pPr>
    </w:p>
    <w:p w:rsidR="008433DB" w:rsidRPr="00C15660" w:rsidRDefault="003E7CFE" w:rsidP="008433DB">
      <w:pPr>
        <w:spacing w:line="240" w:lineRule="auto"/>
        <w:jc w:val="both"/>
        <w:rPr>
          <w:rFonts w:cs="Arial"/>
          <w:sz w:val="22"/>
        </w:rPr>
      </w:pPr>
      <w:r w:rsidRPr="00C15660">
        <w:rPr>
          <w:rFonts w:cs="Arial"/>
          <w:sz w:val="22"/>
        </w:rPr>
        <w:t xml:space="preserve">Vu le décret </w:t>
      </w:r>
      <w:r w:rsidR="00454F39" w:rsidRPr="00C15660">
        <w:rPr>
          <w:rFonts w:cs="Arial"/>
          <w:sz w:val="22"/>
        </w:rPr>
        <w:t>n°</w:t>
      </w:r>
      <w:r w:rsidR="008435E3">
        <w:rPr>
          <w:rFonts w:cs="Arial"/>
          <w:sz w:val="22"/>
        </w:rPr>
        <w:t> </w:t>
      </w:r>
      <w:r w:rsidR="008029BD" w:rsidRPr="00C15660">
        <w:rPr>
          <w:rFonts w:cs="Arial"/>
          <w:sz w:val="22"/>
        </w:rPr>
        <w:t>62-1587 du 29 décembre 1962 portant règlement général sur la comptabilité publique</w:t>
      </w:r>
      <w:r w:rsidRPr="00C15660">
        <w:rPr>
          <w:rFonts w:cs="Arial"/>
          <w:sz w:val="22"/>
        </w:rPr>
        <w:t>,</w:t>
      </w:r>
      <w:r w:rsidR="008029BD" w:rsidRPr="00C15660">
        <w:rPr>
          <w:rFonts w:cs="Arial"/>
          <w:sz w:val="22"/>
        </w:rPr>
        <w:t xml:space="preserve"> alors en vigueur</w:t>
      </w:r>
      <w:r w:rsidR="00C22E90">
        <w:rPr>
          <w:rFonts w:cs="Arial"/>
          <w:sz w:val="22"/>
        </w:rPr>
        <w:t> </w:t>
      </w:r>
      <w:r w:rsidR="008029BD" w:rsidRPr="00C15660">
        <w:rPr>
          <w:rFonts w:cs="Arial"/>
          <w:sz w:val="22"/>
        </w:rPr>
        <w:t>;</w:t>
      </w:r>
    </w:p>
    <w:p w:rsidR="00D21063" w:rsidRPr="00C15660" w:rsidRDefault="00D21063" w:rsidP="008433DB">
      <w:pPr>
        <w:spacing w:line="240" w:lineRule="auto"/>
        <w:jc w:val="both"/>
        <w:rPr>
          <w:rFonts w:cs="Arial"/>
          <w:sz w:val="22"/>
        </w:rPr>
      </w:pPr>
    </w:p>
    <w:p w:rsidR="008433DB" w:rsidRPr="00C15660" w:rsidRDefault="008029BD" w:rsidP="008433DB">
      <w:pPr>
        <w:spacing w:line="240" w:lineRule="auto"/>
        <w:jc w:val="both"/>
        <w:rPr>
          <w:rFonts w:cs="Arial"/>
          <w:sz w:val="22"/>
        </w:rPr>
      </w:pPr>
      <w:r w:rsidRPr="00C15660">
        <w:rPr>
          <w:rFonts w:cs="Arial"/>
          <w:sz w:val="22"/>
        </w:rPr>
        <w:t xml:space="preserve">Vu le rapport de </w:t>
      </w:r>
      <w:r w:rsidR="00D21063" w:rsidRPr="00C15660">
        <w:rPr>
          <w:rFonts w:cs="Arial"/>
          <w:sz w:val="22"/>
        </w:rPr>
        <w:t>M</w:t>
      </w:r>
      <w:r w:rsidR="00E4326F" w:rsidRPr="00C15660">
        <w:rPr>
          <w:rFonts w:cs="Arial"/>
          <w:sz w:val="22"/>
        </w:rPr>
        <w:t>M</w:t>
      </w:r>
      <w:r w:rsidR="00D21063" w:rsidRPr="00C15660">
        <w:rPr>
          <w:rFonts w:cs="Arial"/>
          <w:sz w:val="22"/>
        </w:rPr>
        <w:t xml:space="preserve">. </w:t>
      </w:r>
      <w:r w:rsidR="00E4326F" w:rsidRPr="00C15660">
        <w:rPr>
          <w:rFonts w:cs="Arial"/>
          <w:sz w:val="22"/>
        </w:rPr>
        <w:t xml:space="preserve">Jean-Michel de </w:t>
      </w:r>
      <w:proofErr w:type="spellStart"/>
      <w:r w:rsidR="00E4326F" w:rsidRPr="00C15660">
        <w:rPr>
          <w:rFonts w:cs="Arial"/>
          <w:sz w:val="22"/>
        </w:rPr>
        <w:t>Mourgues</w:t>
      </w:r>
      <w:proofErr w:type="spellEnd"/>
      <w:r w:rsidR="00E4326F" w:rsidRPr="00C15660">
        <w:rPr>
          <w:rFonts w:cs="Arial"/>
          <w:sz w:val="22"/>
        </w:rPr>
        <w:t xml:space="preserve"> et </w:t>
      </w:r>
      <w:r w:rsidR="00D21063" w:rsidRPr="00C15660">
        <w:rPr>
          <w:rFonts w:cs="Arial"/>
          <w:sz w:val="22"/>
        </w:rPr>
        <w:t xml:space="preserve">Bruno </w:t>
      </w:r>
      <w:proofErr w:type="spellStart"/>
      <w:r w:rsidR="00D21063" w:rsidRPr="00C15660">
        <w:rPr>
          <w:rFonts w:cs="Arial"/>
          <w:sz w:val="22"/>
        </w:rPr>
        <w:t>Ory-Lavollée</w:t>
      </w:r>
      <w:proofErr w:type="spellEnd"/>
      <w:r w:rsidRPr="00C15660">
        <w:rPr>
          <w:rFonts w:cs="Arial"/>
          <w:sz w:val="22"/>
        </w:rPr>
        <w:t xml:space="preserve">, </w:t>
      </w:r>
      <w:r w:rsidR="00D21063" w:rsidRPr="00C15660">
        <w:rPr>
          <w:rFonts w:cs="Arial"/>
          <w:sz w:val="22"/>
        </w:rPr>
        <w:t>conseiller</w:t>
      </w:r>
      <w:r w:rsidR="00E4326F" w:rsidRPr="00C15660">
        <w:rPr>
          <w:rFonts w:cs="Arial"/>
          <w:sz w:val="22"/>
        </w:rPr>
        <w:t>s</w:t>
      </w:r>
      <w:r w:rsidR="00D21063" w:rsidRPr="00C15660">
        <w:rPr>
          <w:rFonts w:cs="Arial"/>
          <w:sz w:val="22"/>
        </w:rPr>
        <w:t xml:space="preserve"> maître</w:t>
      </w:r>
      <w:r w:rsidR="00E4326F" w:rsidRPr="00C15660">
        <w:rPr>
          <w:rFonts w:cs="Arial"/>
          <w:sz w:val="22"/>
        </w:rPr>
        <w:t>s</w:t>
      </w:r>
      <w:r w:rsidR="00D21063" w:rsidRPr="00C15660">
        <w:rPr>
          <w:rFonts w:cs="Arial"/>
          <w:sz w:val="22"/>
        </w:rPr>
        <w:t xml:space="preserve">, </w:t>
      </w:r>
      <w:r w:rsidRPr="00C15660">
        <w:rPr>
          <w:rFonts w:cs="Arial"/>
          <w:sz w:val="22"/>
        </w:rPr>
        <w:t>magistrat</w:t>
      </w:r>
      <w:r w:rsidR="00E4326F" w:rsidRPr="00C15660">
        <w:rPr>
          <w:rFonts w:cs="Arial"/>
          <w:sz w:val="22"/>
        </w:rPr>
        <w:t>s</w:t>
      </w:r>
      <w:r w:rsidRPr="00C15660">
        <w:rPr>
          <w:rFonts w:cs="Arial"/>
          <w:sz w:val="22"/>
        </w:rPr>
        <w:t xml:space="preserve"> chargé</w:t>
      </w:r>
      <w:r w:rsidR="00E4326F" w:rsidRPr="00C15660">
        <w:rPr>
          <w:rFonts w:cs="Arial"/>
          <w:sz w:val="22"/>
        </w:rPr>
        <w:t>s</w:t>
      </w:r>
      <w:r w:rsidRPr="00C15660">
        <w:rPr>
          <w:rFonts w:cs="Arial"/>
          <w:sz w:val="22"/>
        </w:rPr>
        <w:t xml:space="preserve"> de l’instruction ;</w:t>
      </w:r>
    </w:p>
    <w:p w:rsidR="00D21063" w:rsidRPr="00C15660" w:rsidRDefault="00D21063" w:rsidP="008433DB">
      <w:pPr>
        <w:spacing w:line="240" w:lineRule="auto"/>
        <w:jc w:val="both"/>
        <w:rPr>
          <w:rFonts w:cs="Arial"/>
          <w:sz w:val="22"/>
        </w:rPr>
      </w:pPr>
    </w:p>
    <w:p w:rsidR="004C4467" w:rsidRPr="00C15660" w:rsidRDefault="004C4467" w:rsidP="004C4467">
      <w:pPr>
        <w:spacing w:line="240" w:lineRule="auto"/>
        <w:jc w:val="both"/>
        <w:rPr>
          <w:rFonts w:cs="Arial"/>
          <w:sz w:val="22"/>
        </w:rPr>
      </w:pPr>
      <w:r w:rsidRPr="00C15660">
        <w:rPr>
          <w:rFonts w:cs="Arial"/>
          <w:sz w:val="22"/>
        </w:rPr>
        <w:t>Vu le mémoire produit par M</w:t>
      </w:r>
      <w:r w:rsidRPr="00C22E90">
        <w:rPr>
          <w:rFonts w:cs="Arial"/>
          <w:sz w:val="22"/>
          <w:vertAlign w:val="superscript"/>
        </w:rPr>
        <w:t>e</w:t>
      </w:r>
      <w:r w:rsidRPr="00C15660">
        <w:rPr>
          <w:rFonts w:cs="Arial"/>
          <w:sz w:val="22"/>
        </w:rPr>
        <w:t xml:space="preserve"> Bernard </w:t>
      </w:r>
      <w:proofErr w:type="spellStart"/>
      <w:r w:rsidRPr="00C15660">
        <w:rPr>
          <w:rFonts w:cs="Arial"/>
          <w:sz w:val="22"/>
        </w:rPr>
        <w:t>Grelon</w:t>
      </w:r>
      <w:proofErr w:type="spellEnd"/>
      <w:r w:rsidRPr="00C15660">
        <w:rPr>
          <w:rFonts w:cs="Arial"/>
          <w:sz w:val="22"/>
        </w:rPr>
        <w:t xml:space="preserve"> pour le compte de MM.</w:t>
      </w:r>
      <w:r w:rsidR="00B27DA3">
        <w:rPr>
          <w:rFonts w:cs="Arial"/>
          <w:sz w:val="22"/>
        </w:rPr>
        <w:t> </w:t>
      </w:r>
      <w:r w:rsidR="000C64BE">
        <w:rPr>
          <w:rFonts w:cs="Arial"/>
          <w:sz w:val="22"/>
        </w:rPr>
        <w:t>Z</w:t>
      </w:r>
      <w:r w:rsidRPr="00C15660">
        <w:rPr>
          <w:rFonts w:cs="Arial"/>
          <w:sz w:val="22"/>
        </w:rPr>
        <w:t xml:space="preserve">, </w:t>
      </w:r>
      <w:r w:rsidR="000C64BE">
        <w:rPr>
          <w:rFonts w:cs="Arial"/>
          <w:sz w:val="22"/>
        </w:rPr>
        <w:t>X</w:t>
      </w:r>
      <w:r w:rsidRPr="00C15660">
        <w:rPr>
          <w:rFonts w:cs="Arial"/>
          <w:sz w:val="22"/>
        </w:rPr>
        <w:t xml:space="preserve">, </w:t>
      </w:r>
      <w:r w:rsidR="000C64BE">
        <w:rPr>
          <w:rFonts w:cs="Arial"/>
          <w:sz w:val="22"/>
        </w:rPr>
        <w:t>A</w:t>
      </w:r>
      <w:r w:rsidRPr="00C15660">
        <w:rPr>
          <w:rFonts w:cs="Arial"/>
          <w:sz w:val="22"/>
        </w:rPr>
        <w:t xml:space="preserve">, </w:t>
      </w:r>
      <w:r w:rsidR="000C64BE">
        <w:rPr>
          <w:rFonts w:cs="Arial"/>
          <w:sz w:val="22"/>
        </w:rPr>
        <w:t>Y</w:t>
      </w:r>
      <w:r w:rsidRPr="00C15660">
        <w:rPr>
          <w:rFonts w:cs="Arial"/>
          <w:sz w:val="22"/>
        </w:rPr>
        <w:t xml:space="preserve"> et </w:t>
      </w:r>
      <w:r w:rsidR="000C64BE">
        <w:rPr>
          <w:rFonts w:cs="Arial"/>
          <w:sz w:val="22"/>
        </w:rPr>
        <w:t>B</w:t>
      </w:r>
      <w:r w:rsidRPr="00C15660">
        <w:rPr>
          <w:rFonts w:cs="Arial"/>
          <w:sz w:val="22"/>
        </w:rPr>
        <w:t>, en date du 12 novembre 2015 ;</w:t>
      </w:r>
    </w:p>
    <w:p w:rsidR="004C4467" w:rsidRPr="00C15660" w:rsidRDefault="004C4467" w:rsidP="008433DB">
      <w:pPr>
        <w:spacing w:line="240" w:lineRule="auto"/>
        <w:jc w:val="both"/>
        <w:rPr>
          <w:rFonts w:cs="Arial"/>
          <w:sz w:val="22"/>
        </w:rPr>
      </w:pPr>
    </w:p>
    <w:p w:rsidR="00D21063" w:rsidRPr="00C15660" w:rsidRDefault="00D21063" w:rsidP="008433DB">
      <w:pPr>
        <w:spacing w:line="240" w:lineRule="auto"/>
        <w:jc w:val="both"/>
        <w:rPr>
          <w:rFonts w:cs="Arial"/>
          <w:sz w:val="22"/>
        </w:rPr>
      </w:pPr>
      <w:r w:rsidRPr="00C15660">
        <w:rPr>
          <w:rFonts w:cs="Arial"/>
          <w:sz w:val="22"/>
        </w:rPr>
        <w:t xml:space="preserve">Vu le </w:t>
      </w:r>
      <w:r w:rsidR="009D51FB" w:rsidRPr="00C15660">
        <w:rPr>
          <w:rFonts w:cs="Arial"/>
          <w:sz w:val="22"/>
        </w:rPr>
        <w:t>mémoire</w:t>
      </w:r>
      <w:r w:rsidR="004C4467" w:rsidRPr="00C15660">
        <w:rPr>
          <w:rFonts w:cs="Arial"/>
          <w:sz w:val="22"/>
        </w:rPr>
        <w:t xml:space="preserve"> produit</w:t>
      </w:r>
      <w:r w:rsidR="009D51FB" w:rsidRPr="00C15660">
        <w:rPr>
          <w:rFonts w:cs="Arial"/>
          <w:sz w:val="22"/>
        </w:rPr>
        <w:t xml:space="preserve"> par </w:t>
      </w:r>
      <w:r w:rsidR="00F114E0" w:rsidRPr="00C15660">
        <w:rPr>
          <w:rFonts w:cs="Arial"/>
          <w:sz w:val="22"/>
        </w:rPr>
        <w:t>M</w:t>
      </w:r>
      <w:r w:rsidR="00F114E0" w:rsidRPr="00C22E90">
        <w:rPr>
          <w:rFonts w:cs="Arial"/>
          <w:sz w:val="22"/>
          <w:vertAlign w:val="superscript"/>
        </w:rPr>
        <w:t>e</w:t>
      </w:r>
      <w:r w:rsidR="00F114E0" w:rsidRPr="00C15660">
        <w:rPr>
          <w:rFonts w:cs="Arial"/>
          <w:sz w:val="22"/>
        </w:rPr>
        <w:t xml:space="preserve"> Emmanuel Glaser pour le compte de la Caisse des dépôts et consignations, </w:t>
      </w:r>
      <w:r w:rsidR="004C4467" w:rsidRPr="00C15660">
        <w:rPr>
          <w:rFonts w:cs="Arial"/>
          <w:sz w:val="22"/>
        </w:rPr>
        <w:t xml:space="preserve">en date </w:t>
      </w:r>
      <w:r w:rsidR="00F114E0" w:rsidRPr="00C15660">
        <w:rPr>
          <w:rFonts w:cs="Arial"/>
          <w:sz w:val="22"/>
        </w:rPr>
        <w:t xml:space="preserve">du </w:t>
      </w:r>
      <w:r w:rsidR="004C4467" w:rsidRPr="00C15660">
        <w:rPr>
          <w:rFonts w:cs="Arial"/>
          <w:sz w:val="22"/>
        </w:rPr>
        <w:t>13 novembre 2015 ;</w:t>
      </w:r>
    </w:p>
    <w:p w:rsidR="00D21063" w:rsidRPr="00C15660" w:rsidRDefault="00D21063" w:rsidP="008433DB">
      <w:pPr>
        <w:spacing w:line="240" w:lineRule="auto"/>
        <w:jc w:val="both"/>
        <w:rPr>
          <w:rFonts w:cs="Arial"/>
          <w:sz w:val="22"/>
        </w:rPr>
      </w:pPr>
    </w:p>
    <w:p w:rsidR="008433DB" w:rsidRPr="00C15660" w:rsidRDefault="008029BD" w:rsidP="008433DB">
      <w:pPr>
        <w:spacing w:line="240" w:lineRule="auto"/>
        <w:jc w:val="both"/>
        <w:rPr>
          <w:rFonts w:cs="Arial"/>
          <w:sz w:val="22"/>
        </w:rPr>
      </w:pPr>
      <w:r w:rsidRPr="00C15660">
        <w:rPr>
          <w:rFonts w:cs="Arial"/>
          <w:sz w:val="22"/>
        </w:rPr>
        <w:t xml:space="preserve">Vu les conclusions du Procureur général </w:t>
      </w:r>
      <w:r w:rsidR="004C4467" w:rsidRPr="00C15660">
        <w:rPr>
          <w:rFonts w:cs="Arial"/>
          <w:sz w:val="22"/>
        </w:rPr>
        <w:t>des 31 juillet et 18 novembre 2015</w:t>
      </w:r>
      <w:r w:rsidR="00C22E90">
        <w:rPr>
          <w:rFonts w:cs="Arial"/>
          <w:sz w:val="22"/>
        </w:rPr>
        <w:t> </w:t>
      </w:r>
      <w:r w:rsidRPr="00C15660">
        <w:rPr>
          <w:rFonts w:cs="Arial"/>
          <w:sz w:val="22"/>
        </w:rPr>
        <w:t>;</w:t>
      </w:r>
    </w:p>
    <w:p w:rsidR="00D21063" w:rsidRPr="00C15660" w:rsidRDefault="00D21063" w:rsidP="008433DB">
      <w:pPr>
        <w:spacing w:line="240" w:lineRule="auto"/>
        <w:jc w:val="both"/>
        <w:rPr>
          <w:rFonts w:cs="Arial"/>
          <w:sz w:val="22"/>
        </w:rPr>
      </w:pPr>
    </w:p>
    <w:p w:rsidR="008433DB" w:rsidRPr="00C15660" w:rsidRDefault="008029BD" w:rsidP="008433DB">
      <w:pPr>
        <w:spacing w:line="240" w:lineRule="auto"/>
        <w:jc w:val="both"/>
        <w:rPr>
          <w:rFonts w:cs="Arial"/>
          <w:sz w:val="22"/>
        </w:rPr>
      </w:pPr>
      <w:r w:rsidRPr="00C15660">
        <w:rPr>
          <w:rFonts w:cs="Arial"/>
          <w:sz w:val="22"/>
        </w:rPr>
        <w:t>Vu les pièces du dossier ; </w:t>
      </w:r>
    </w:p>
    <w:p w:rsidR="00D21063" w:rsidRPr="00C15660" w:rsidRDefault="00D21063" w:rsidP="008433DB">
      <w:pPr>
        <w:spacing w:line="240" w:lineRule="auto"/>
        <w:jc w:val="both"/>
        <w:rPr>
          <w:rFonts w:cs="Arial"/>
          <w:sz w:val="22"/>
        </w:rPr>
      </w:pPr>
    </w:p>
    <w:p w:rsidR="008433DB" w:rsidRPr="00C15660" w:rsidRDefault="008029BD" w:rsidP="008433DB">
      <w:pPr>
        <w:spacing w:line="240" w:lineRule="auto"/>
        <w:jc w:val="both"/>
        <w:rPr>
          <w:rFonts w:cs="Arial"/>
          <w:sz w:val="22"/>
        </w:rPr>
      </w:pPr>
      <w:r w:rsidRPr="00C15660">
        <w:rPr>
          <w:rFonts w:cs="Arial"/>
          <w:sz w:val="22"/>
        </w:rPr>
        <w:t xml:space="preserve">Entendu lors de l’audience publique du </w:t>
      </w:r>
      <w:r w:rsidR="00DB4B44" w:rsidRPr="00C15660">
        <w:rPr>
          <w:rFonts w:cs="Arial"/>
          <w:sz w:val="22"/>
        </w:rPr>
        <w:t xml:space="preserve">19 novembre 2015, M. </w:t>
      </w:r>
      <w:proofErr w:type="spellStart"/>
      <w:r w:rsidR="00DB4B44" w:rsidRPr="00C15660">
        <w:rPr>
          <w:rFonts w:cs="Arial"/>
          <w:sz w:val="22"/>
        </w:rPr>
        <w:t>Ory-Lavollée</w:t>
      </w:r>
      <w:proofErr w:type="spellEnd"/>
      <w:r w:rsidR="00DB4B44" w:rsidRPr="00C15660">
        <w:rPr>
          <w:rFonts w:cs="Arial"/>
          <w:sz w:val="22"/>
        </w:rPr>
        <w:t xml:space="preserve"> en son rapport, M.</w:t>
      </w:r>
      <w:r w:rsidR="008435E3">
        <w:rPr>
          <w:rFonts w:cs="Arial"/>
          <w:sz w:val="22"/>
        </w:rPr>
        <w:t> </w:t>
      </w:r>
      <w:r w:rsidR="00DB4B44" w:rsidRPr="00C15660">
        <w:rPr>
          <w:rFonts w:cs="Arial"/>
          <w:sz w:val="22"/>
        </w:rPr>
        <w:t xml:space="preserve">Bertrand Diringer, </w:t>
      </w:r>
      <w:r w:rsidRPr="00C15660">
        <w:rPr>
          <w:rFonts w:cs="Arial"/>
          <w:sz w:val="22"/>
        </w:rPr>
        <w:t xml:space="preserve">avocat général, en les conclusions du ministère public, </w:t>
      </w:r>
      <w:r w:rsidR="000C64BE">
        <w:rPr>
          <w:rFonts w:cs="Arial"/>
          <w:sz w:val="22"/>
        </w:rPr>
        <w:t>M. B</w:t>
      </w:r>
      <w:r w:rsidR="00476BBC" w:rsidRPr="00C15660">
        <w:rPr>
          <w:rFonts w:cs="Arial"/>
          <w:sz w:val="22"/>
        </w:rPr>
        <w:t xml:space="preserve"> et M</w:t>
      </w:r>
      <w:r w:rsidR="00476BBC" w:rsidRPr="00C22E90">
        <w:rPr>
          <w:rFonts w:cs="Arial"/>
          <w:sz w:val="22"/>
          <w:vertAlign w:val="superscript"/>
        </w:rPr>
        <w:t>e</w:t>
      </w:r>
      <w:r w:rsidR="00C22E90">
        <w:rPr>
          <w:rFonts w:cs="Arial"/>
          <w:sz w:val="22"/>
        </w:rPr>
        <w:t> </w:t>
      </w:r>
      <w:r w:rsidR="00476BBC" w:rsidRPr="00C15660">
        <w:rPr>
          <w:rFonts w:cs="Arial"/>
          <w:sz w:val="22"/>
        </w:rPr>
        <w:t xml:space="preserve">Glaser </w:t>
      </w:r>
      <w:r w:rsidR="001175B5" w:rsidRPr="00C15660">
        <w:rPr>
          <w:rFonts w:cs="Arial"/>
          <w:sz w:val="22"/>
        </w:rPr>
        <w:t xml:space="preserve">pour la </w:t>
      </w:r>
      <w:r w:rsidR="00DB4B44" w:rsidRPr="00C15660">
        <w:rPr>
          <w:rFonts w:cs="Arial"/>
          <w:sz w:val="22"/>
        </w:rPr>
        <w:t xml:space="preserve">Caisse des dépôts et consignations, </w:t>
      </w:r>
      <w:r w:rsidR="001175B5" w:rsidRPr="00C15660">
        <w:rPr>
          <w:rFonts w:cs="Arial"/>
          <w:sz w:val="22"/>
        </w:rPr>
        <w:t xml:space="preserve">MM. </w:t>
      </w:r>
      <w:r w:rsidR="000C64BE">
        <w:rPr>
          <w:rFonts w:cs="Arial"/>
          <w:sz w:val="22"/>
        </w:rPr>
        <w:t>A</w:t>
      </w:r>
      <w:r w:rsidR="001175B5" w:rsidRPr="00C15660">
        <w:rPr>
          <w:rFonts w:cs="Arial"/>
          <w:sz w:val="22"/>
        </w:rPr>
        <w:t xml:space="preserve">, </w:t>
      </w:r>
      <w:r w:rsidR="000C64BE">
        <w:rPr>
          <w:rFonts w:cs="Arial"/>
          <w:sz w:val="22"/>
        </w:rPr>
        <w:t>Z</w:t>
      </w:r>
      <w:r w:rsidR="001175B5" w:rsidRPr="00C15660">
        <w:rPr>
          <w:rFonts w:cs="Arial"/>
          <w:sz w:val="22"/>
        </w:rPr>
        <w:t xml:space="preserve">, </w:t>
      </w:r>
      <w:r w:rsidR="000C64BE">
        <w:rPr>
          <w:rFonts w:cs="Arial"/>
          <w:sz w:val="22"/>
        </w:rPr>
        <w:t>Y</w:t>
      </w:r>
      <w:r w:rsidR="001175B5" w:rsidRPr="00C15660">
        <w:rPr>
          <w:rFonts w:cs="Arial"/>
          <w:sz w:val="22"/>
        </w:rPr>
        <w:t xml:space="preserve">, </w:t>
      </w:r>
      <w:r w:rsidR="000C64BE">
        <w:rPr>
          <w:rFonts w:cs="Arial"/>
          <w:sz w:val="22"/>
        </w:rPr>
        <w:t>X</w:t>
      </w:r>
      <w:r w:rsidR="001175B5" w:rsidRPr="00C15660">
        <w:rPr>
          <w:rFonts w:cs="Arial"/>
          <w:sz w:val="22"/>
        </w:rPr>
        <w:t xml:space="preserve"> et </w:t>
      </w:r>
      <w:r w:rsidR="000C64BE">
        <w:rPr>
          <w:rFonts w:cs="Arial"/>
          <w:sz w:val="22"/>
        </w:rPr>
        <w:t>B</w:t>
      </w:r>
      <w:r w:rsidR="00476BBC" w:rsidRPr="00C15660">
        <w:rPr>
          <w:rFonts w:cs="Arial"/>
          <w:sz w:val="22"/>
        </w:rPr>
        <w:t xml:space="preserve"> et leur conseil M</w:t>
      </w:r>
      <w:r w:rsidR="00476BBC" w:rsidRPr="00C22E90">
        <w:rPr>
          <w:rFonts w:cs="Arial"/>
          <w:sz w:val="22"/>
          <w:vertAlign w:val="superscript"/>
        </w:rPr>
        <w:t>e</w:t>
      </w:r>
      <w:r w:rsidR="00C22E90">
        <w:rPr>
          <w:rFonts w:cs="Arial"/>
          <w:sz w:val="22"/>
        </w:rPr>
        <w:t> </w:t>
      </w:r>
      <w:proofErr w:type="spellStart"/>
      <w:r w:rsidR="00476BBC" w:rsidRPr="00C15660">
        <w:rPr>
          <w:rFonts w:cs="Arial"/>
          <w:sz w:val="22"/>
        </w:rPr>
        <w:t>Grelon</w:t>
      </w:r>
      <w:proofErr w:type="spellEnd"/>
      <w:r w:rsidR="00DB4B44" w:rsidRPr="00C15660">
        <w:rPr>
          <w:rFonts w:cs="Arial"/>
          <w:sz w:val="22"/>
        </w:rPr>
        <w:t>, ainsi que</w:t>
      </w:r>
      <w:r w:rsidR="008435E3">
        <w:rPr>
          <w:rFonts w:cs="Arial"/>
          <w:sz w:val="22"/>
        </w:rPr>
        <w:t xml:space="preserve"> </w:t>
      </w:r>
      <w:r w:rsidR="00DB4B44" w:rsidRPr="00C15660">
        <w:rPr>
          <w:rFonts w:cs="Arial"/>
          <w:sz w:val="22"/>
        </w:rPr>
        <w:t>M.</w:t>
      </w:r>
      <w:r w:rsidR="008435E3">
        <w:rPr>
          <w:rFonts w:cs="Arial"/>
          <w:sz w:val="22"/>
        </w:rPr>
        <w:t> </w:t>
      </w:r>
      <w:r w:rsidR="000C64BE">
        <w:rPr>
          <w:rFonts w:cs="Arial"/>
          <w:sz w:val="22"/>
        </w:rPr>
        <w:t>C</w:t>
      </w:r>
      <w:r w:rsidR="00DB4B44" w:rsidRPr="00C15660">
        <w:rPr>
          <w:rFonts w:cs="Arial"/>
          <w:sz w:val="22"/>
        </w:rPr>
        <w:t xml:space="preserve">, directeur général du </w:t>
      </w:r>
      <w:r w:rsidR="003502AF" w:rsidRPr="00C15660">
        <w:rPr>
          <w:rFonts w:cs="Arial"/>
          <w:sz w:val="22"/>
        </w:rPr>
        <w:t>Trésor</w:t>
      </w:r>
      <w:r w:rsidR="001A1061" w:rsidRPr="00C15660">
        <w:rPr>
          <w:rFonts w:cs="Arial"/>
          <w:sz w:val="22"/>
        </w:rPr>
        <w:t xml:space="preserve"> en fonction</w:t>
      </w:r>
      <w:r w:rsidR="00DB4B44" w:rsidRPr="00C15660">
        <w:rPr>
          <w:rFonts w:cs="Arial"/>
          <w:sz w:val="22"/>
        </w:rPr>
        <w:t>, les personnes mises en cause ayant eu la parole en dernier</w:t>
      </w:r>
      <w:r w:rsidR="00476BBC" w:rsidRPr="00C15660">
        <w:rPr>
          <w:rFonts w:cs="Arial"/>
          <w:sz w:val="22"/>
        </w:rPr>
        <w:t xml:space="preserve">, les autres destinataires des réquisitoires </w:t>
      </w:r>
      <w:r w:rsidR="00642AB9" w:rsidRPr="00C15660">
        <w:rPr>
          <w:rFonts w:cs="Arial"/>
          <w:sz w:val="22"/>
        </w:rPr>
        <w:t xml:space="preserve">susvisés </w:t>
      </w:r>
      <w:r w:rsidR="00476BBC" w:rsidRPr="00C15660">
        <w:rPr>
          <w:rFonts w:cs="Arial"/>
          <w:sz w:val="22"/>
        </w:rPr>
        <w:t>n’étant ni présents, ni représentés ;</w:t>
      </w:r>
    </w:p>
    <w:p w:rsidR="00DB4B44" w:rsidRPr="00C15660" w:rsidRDefault="00DB4B44" w:rsidP="008433DB">
      <w:pPr>
        <w:spacing w:line="240" w:lineRule="auto"/>
        <w:jc w:val="both"/>
        <w:rPr>
          <w:rFonts w:cs="Arial"/>
          <w:sz w:val="22"/>
        </w:rPr>
      </w:pPr>
    </w:p>
    <w:p w:rsidR="008433DB" w:rsidRPr="00C15660" w:rsidRDefault="008029BD" w:rsidP="008433DB">
      <w:pPr>
        <w:spacing w:line="240" w:lineRule="auto"/>
        <w:jc w:val="both"/>
        <w:rPr>
          <w:rFonts w:cs="Arial"/>
          <w:sz w:val="22"/>
        </w:rPr>
      </w:pPr>
      <w:r w:rsidRPr="00C15660">
        <w:rPr>
          <w:rFonts w:cs="Arial"/>
          <w:sz w:val="22"/>
        </w:rPr>
        <w:t xml:space="preserve">Entendu en délibéré </w:t>
      </w:r>
      <w:r w:rsidR="00DB4B44" w:rsidRPr="00C15660">
        <w:rPr>
          <w:rFonts w:cs="Arial"/>
          <w:sz w:val="22"/>
        </w:rPr>
        <w:t xml:space="preserve">M. Philippe Geoffroy, conseiller maître, </w:t>
      </w:r>
      <w:r w:rsidRPr="00C15660">
        <w:rPr>
          <w:rFonts w:cs="Arial"/>
          <w:sz w:val="22"/>
        </w:rPr>
        <w:t>en ses observations ;</w:t>
      </w:r>
    </w:p>
    <w:p w:rsidR="008433DB" w:rsidRPr="00C15660" w:rsidRDefault="008433DB" w:rsidP="008433DB">
      <w:pPr>
        <w:spacing w:line="240" w:lineRule="auto"/>
        <w:jc w:val="both"/>
        <w:rPr>
          <w:rFonts w:cs="Arial"/>
          <w:sz w:val="22"/>
        </w:rPr>
      </w:pPr>
    </w:p>
    <w:p w:rsidR="008433DB" w:rsidRPr="00C15660" w:rsidRDefault="008029BD" w:rsidP="00DB4B44">
      <w:pPr>
        <w:spacing w:line="240" w:lineRule="auto"/>
        <w:jc w:val="both"/>
        <w:rPr>
          <w:rFonts w:cs="Arial"/>
          <w:b/>
          <w:i/>
          <w:sz w:val="22"/>
        </w:rPr>
      </w:pPr>
      <w:r w:rsidRPr="00C15660">
        <w:rPr>
          <w:rFonts w:cs="Arial"/>
          <w:b/>
          <w:i/>
          <w:sz w:val="22"/>
        </w:rPr>
        <w:t xml:space="preserve">Sur </w:t>
      </w:r>
      <w:r w:rsidR="00E4326F" w:rsidRPr="00C15660">
        <w:rPr>
          <w:rFonts w:cs="Arial"/>
          <w:b/>
          <w:i/>
          <w:sz w:val="22"/>
        </w:rPr>
        <w:t>les réquisitoires</w:t>
      </w:r>
    </w:p>
    <w:p w:rsidR="00DB4B44" w:rsidRPr="00C15660" w:rsidRDefault="00DB4B44" w:rsidP="00DB4B44">
      <w:pPr>
        <w:spacing w:line="240" w:lineRule="auto"/>
        <w:jc w:val="both"/>
        <w:rPr>
          <w:rFonts w:cs="Arial"/>
          <w:b/>
          <w:i/>
          <w:sz w:val="22"/>
        </w:rPr>
      </w:pPr>
    </w:p>
    <w:p w:rsidR="002D4B20" w:rsidRPr="00C15660" w:rsidRDefault="00DB4B44" w:rsidP="00DB4B44">
      <w:pPr>
        <w:spacing w:line="240" w:lineRule="auto"/>
        <w:jc w:val="both"/>
        <w:rPr>
          <w:rFonts w:cs="Arial"/>
          <w:sz w:val="22"/>
        </w:rPr>
      </w:pPr>
      <w:r w:rsidRPr="00C15660">
        <w:rPr>
          <w:rFonts w:cs="Arial"/>
          <w:sz w:val="22"/>
        </w:rPr>
        <w:t>Attendu que, dans les réquisitoires susvisés, le ministère public</w:t>
      </w:r>
      <w:r w:rsidR="009D51FB" w:rsidRPr="00C15660">
        <w:rPr>
          <w:rFonts w:cs="Arial"/>
          <w:sz w:val="22"/>
        </w:rPr>
        <w:t xml:space="preserve"> a relevé des éléments susceptibles de caractériser une gestion de fait </w:t>
      </w:r>
      <w:r w:rsidR="001A1061" w:rsidRPr="00C15660">
        <w:rPr>
          <w:rFonts w:cs="Arial"/>
          <w:sz w:val="22"/>
        </w:rPr>
        <w:t>à raison d</w:t>
      </w:r>
      <w:r w:rsidR="0048539F" w:rsidRPr="00C15660">
        <w:rPr>
          <w:rFonts w:cs="Arial"/>
          <w:sz w:val="22"/>
        </w:rPr>
        <w:t>u</w:t>
      </w:r>
      <w:r w:rsidR="001A1061" w:rsidRPr="00C15660">
        <w:rPr>
          <w:rFonts w:cs="Arial"/>
          <w:sz w:val="22"/>
        </w:rPr>
        <w:t xml:space="preserve"> maniement et de </w:t>
      </w:r>
      <w:r w:rsidR="0048539F" w:rsidRPr="00C15660">
        <w:rPr>
          <w:rFonts w:cs="Arial"/>
          <w:sz w:val="22"/>
        </w:rPr>
        <w:t xml:space="preserve">la </w:t>
      </w:r>
      <w:r w:rsidR="001A1061" w:rsidRPr="00C15660">
        <w:rPr>
          <w:rFonts w:cs="Arial"/>
          <w:sz w:val="22"/>
        </w:rPr>
        <w:t xml:space="preserve">détention de deniers de l’Etat par des personnes non habilitées, </w:t>
      </w:r>
      <w:r w:rsidR="0048539F" w:rsidRPr="00C15660">
        <w:rPr>
          <w:rFonts w:cs="Arial"/>
          <w:sz w:val="22"/>
        </w:rPr>
        <w:t xml:space="preserve">en fonction </w:t>
      </w:r>
      <w:r w:rsidR="001A1061" w:rsidRPr="00C15660">
        <w:rPr>
          <w:rFonts w:cs="Arial"/>
          <w:sz w:val="22"/>
        </w:rPr>
        <w:t>à la direction générale du Trésor et à la Caisse des dépôts et consignations ;</w:t>
      </w:r>
      <w:r w:rsidR="00B7645C" w:rsidRPr="00C15660">
        <w:rPr>
          <w:rFonts w:cs="Arial"/>
          <w:sz w:val="22"/>
        </w:rPr>
        <w:t xml:space="preserve"> qu</w:t>
      </w:r>
      <w:r w:rsidR="001175B5" w:rsidRPr="00C15660">
        <w:rPr>
          <w:rFonts w:cs="Arial"/>
          <w:sz w:val="22"/>
        </w:rPr>
        <w:t xml:space="preserve">’est </w:t>
      </w:r>
      <w:r w:rsidR="00B7645C" w:rsidRPr="00C15660">
        <w:rPr>
          <w:rFonts w:cs="Arial"/>
          <w:sz w:val="22"/>
        </w:rPr>
        <w:t>visé</w:t>
      </w:r>
      <w:r w:rsidR="001175B5" w:rsidRPr="00C15660">
        <w:rPr>
          <w:rFonts w:cs="Arial"/>
          <w:sz w:val="22"/>
        </w:rPr>
        <w:t>e</w:t>
      </w:r>
      <w:r w:rsidR="00B7645C" w:rsidRPr="00C15660">
        <w:rPr>
          <w:rFonts w:cs="Arial"/>
          <w:sz w:val="22"/>
        </w:rPr>
        <w:t xml:space="preserve">, dans le cadre de prises de participation de l’Etat dans trois fonds communs de placements à risque, l’utilisation de comptes d’attente et de comptes-titres associés ouverts à la Caisse des dépôts et consignations ; que ces opérations </w:t>
      </w:r>
      <w:r w:rsidR="0048539F" w:rsidRPr="00C15660">
        <w:rPr>
          <w:rFonts w:cs="Arial"/>
          <w:sz w:val="22"/>
        </w:rPr>
        <w:t xml:space="preserve">ne seraient pas conformes </w:t>
      </w:r>
      <w:r w:rsidR="00B7645C" w:rsidRPr="00C15660">
        <w:rPr>
          <w:rFonts w:cs="Arial"/>
          <w:sz w:val="22"/>
        </w:rPr>
        <w:t>aux règles fixées par l’article</w:t>
      </w:r>
      <w:r w:rsidR="00C22E90">
        <w:rPr>
          <w:rFonts w:cs="Arial"/>
          <w:sz w:val="22"/>
        </w:rPr>
        <w:t xml:space="preserve"> </w:t>
      </w:r>
      <w:r w:rsidR="00B7645C" w:rsidRPr="00C15660">
        <w:rPr>
          <w:rFonts w:cs="Arial"/>
          <w:sz w:val="22"/>
        </w:rPr>
        <w:t>60 de la loi du 23 février 1963 et le décret du 29 décembre 1962 susvisés ;</w:t>
      </w:r>
    </w:p>
    <w:p w:rsidR="002D4B20" w:rsidRPr="00C15660" w:rsidRDefault="002D4B20" w:rsidP="00DB4B44">
      <w:pPr>
        <w:spacing w:line="240" w:lineRule="auto"/>
        <w:jc w:val="both"/>
        <w:rPr>
          <w:rFonts w:cs="Arial"/>
          <w:sz w:val="22"/>
        </w:rPr>
      </w:pPr>
    </w:p>
    <w:p w:rsidR="00DB4B44" w:rsidRPr="00C15660" w:rsidRDefault="002D4B20" w:rsidP="00DB4B44">
      <w:pPr>
        <w:spacing w:line="240" w:lineRule="auto"/>
        <w:jc w:val="both"/>
        <w:rPr>
          <w:rFonts w:cs="Arial"/>
          <w:sz w:val="22"/>
        </w:rPr>
      </w:pPr>
      <w:r w:rsidRPr="00C15660">
        <w:rPr>
          <w:rFonts w:cs="Arial"/>
          <w:sz w:val="22"/>
        </w:rPr>
        <w:t xml:space="preserve">Attendu que le réquisitoire </w:t>
      </w:r>
      <w:r w:rsidR="00454F39" w:rsidRPr="00C15660">
        <w:rPr>
          <w:rFonts w:cs="Arial"/>
          <w:sz w:val="22"/>
        </w:rPr>
        <w:t xml:space="preserve">n° </w:t>
      </w:r>
      <w:r w:rsidRPr="00C15660">
        <w:rPr>
          <w:rFonts w:cs="Arial"/>
          <w:sz w:val="22"/>
        </w:rPr>
        <w:t xml:space="preserve">2012-73 </w:t>
      </w:r>
      <w:r w:rsidR="00476BBC" w:rsidRPr="00C15660">
        <w:rPr>
          <w:rFonts w:cs="Arial"/>
          <w:sz w:val="22"/>
        </w:rPr>
        <w:t xml:space="preserve">susvisé </w:t>
      </w:r>
      <w:r w:rsidR="00E4326F" w:rsidRPr="00C15660">
        <w:rPr>
          <w:rFonts w:cs="Arial"/>
          <w:sz w:val="22"/>
        </w:rPr>
        <w:t xml:space="preserve">a mis </w:t>
      </w:r>
      <w:r w:rsidRPr="00C15660">
        <w:rPr>
          <w:rFonts w:cs="Arial"/>
          <w:sz w:val="22"/>
        </w:rPr>
        <w:t xml:space="preserve">en cause MM. </w:t>
      </w:r>
      <w:r w:rsidR="000C64BE">
        <w:rPr>
          <w:rFonts w:cs="Arial"/>
          <w:sz w:val="22"/>
        </w:rPr>
        <w:t>A</w:t>
      </w:r>
      <w:r w:rsidRPr="00C15660">
        <w:rPr>
          <w:rFonts w:cs="Arial"/>
          <w:sz w:val="22"/>
        </w:rPr>
        <w:t xml:space="preserve"> et </w:t>
      </w:r>
      <w:r w:rsidR="000C64BE">
        <w:rPr>
          <w:rFonts w:cs="Arial"/>
          <w:sz w:val="22"/>
        </w:rPr>
        <w:t>Z</w:t>
      </w:r>
      <w:r w:rsidRPr="00C15660">
        <w:rPr>
          <w:rFonts w:cs="Arial"/>
          <w:sz w:val="22"/>
        </w:rPr>
        <w:t xml:space="preserve"> en leur qualité de directeurs généraux du </w:t>
      </w:r>
      <w:r w:rsidR="003502AF" w:rsidRPr="00C15660">
        <w:rPr>
          <w:rFonts w:cs="Arial"/>
          <w:sz w:val="22"/>
        </w:rPr>
        <w:t>Trésor</w:t>
      </w:r>
      <w:r w:rsidRPr="00C15660">
        <w:rPr>
          <w:rFonts w:cs="Arial"/>
          <w:sz w:val="22"/>
        </w:rPr>
        <w:t>, M</w:t>
      </w:r>
      <w:r w:rsidR="003E7CFE" w:rsidRPr="00C15660">
        <w:rPr>
          <w:rFonts w:cs="Arial"/>
          <w:sz w:val="22"/>
        </w:rPr>
        <w:t>.</w:t>
      </w:r>
      <w:r w:rsidR="005B3F72">
        <w:rPr>
          <w:rFonts w:cs="Arial"/>
          <w:sz w:val="22"/>
        </w:rPr>
        <w:t> </w:t>
      </w:r>
      <w:r w:rsidR="000C64BE">
        <w:rPr>
          <w:rFonts w:cs="Arial"/>
          <w:sz w:val="22"/>
        </w:rPr>
        <w:t>Y</w:t>
      </w:r>
      <w:r w:rsidRPr="00C15660">
        <w:rPr>
          <w:rFonts w:cs="Arial"/>
          <w:sz w:val="22"/>
        </w:rPr>
        <w:t xml:space="preserve"> en </w:t>
      </w:r>
      <w:r w:rsidR="0048539F" w:rsidRPr="00C15660">
        <w:rPr>
          <w:rFonts w:cs="Arial"/>
          <w:sz w:val="22"/>
        </w:rPr>
        <w:t xml:space="preserve">sa </w:t>
      </w:r>
      <w:r w:rsidRPr="00C15660">
        <w:rPr>
          <w:rFonts w:cs="Arial"/>
          <w:sz w:val="22"/>
        </w:rPr>
        <w:t>qualité de sous</w:t>
      </w:r>
      <w:r w:rsidR="00C22E90">
        <w:rPr>
          <w:rFonts w:cs="Arial"/>
          <w:sz w:val="22"/>
        </w:rPr>
        <w:t>-</w:t>
      </w:r>
      <w:r w:rsidRPr="00C15660">
        <w:rPr>
          <w:rFonts w:cs="Arial"/>
          <w:sz w:val="22"/>
        </w:rPr>
        <w:t>directeur « </w:t>
      </w:r>
      <w:proofErr w:type="spellStart"/>
      <w:r w:rsidRPr="00C15660">
        <w:rPr>
          <w:rFonts w:cs="Arial"/>
          <w:sz w:val="22"/>
        </w:rPr>
        <w:t>Finent</w:t>
      </w:r>
      <w:proofErr w:type="spellEnd"/>
      <w:r w:rsidRPr="00C15660">
        <w:rPr>
          <w:rFonts w:cs="Arial"/>
          <w:sz w:val="22"/>
        </w:rPr>
        <w:t> », MM.</w:t>
      </w:r>
      <w:r w:rsidR="005B3F72">
        <w:rPr>
          <w:rFonts w:cs="Arial"/>
          <w:sz w:val="22"/>
        </w:rPr>
        <w:t> </w:t>
      </w:r>
      <w:r w:rsidR="000C64BE">
        <w:rPr>
          <w:rFonts w:cs="Arial"/>
          <w:sz w:val="22"/>
        </w:rPr>
        <w:t>X</w:t>
      </w:r>
      <w:r w:rsidRPr="00C15660">
        <w:rPr>
          <w:rFonts w:cs="Arial"/>
          <w:sz w:val="22"/>
        </w:rPr>
        <w:t xml:space="preserve"> et </w:t>
      </w:r>
      <w:r w:rsidR="000C64BE">
        <w:rPr>
          <w:rFonts w:cs="Arial"/>
          <w:sz w:val="22"/>
        </w:rPr>
        <w:t>B</w:t>
      </w:r>
      <w:r w:rsidRPr="00C15660">
        <w:rPr>
          <w:rFonts w:cs="Arial"/>
          <w:sz w:val="22"/>
        </w:rPr>
        <w:t xml:space="preserve"> en </w:t>
      </w:r>
      <w:r w:rsidR="0048539F" w:rsidRPr="00C15660">
        <w:rPr>
          <w:rFonts w:cs="Arial"/>
          <w:sz w:val="22"/>
        </w:rPr>
        <w:t xml:space="preserve">leur qualité </w:t>
      </w:r>
      <w:r w:rsidRPr="00C15660">
        <w:rPr>
          <w:rFonts w:cs="Arial"/>
          <w:sz w:val="22"/>
        </w:rPr>
        <w:t>de chefs du bureau</w:t>
      </w:r>
      <w:r w:rsidR="00C22E90">
        <w:rPr>
          <w:rFonts w:cs="Arial"/>
          <w:sz w:val="22"/>
        </w:rPr>
        <w:t xml:space="preserve"> </w:t>
      </w:r>
      <w:r w:rsidRPr="00C15660">
        <w:rPr>
          <w:rFonts w:cs="Arial"/>
          <w:sz w:val="22"/>
        </w:rPr>
        <w:t>« B2 », puis « </w:t>
      </w:r>
      <w:proofErr w:type="spellStart"/>
      <w:r w:rsidRPr="00C15660">
        <w:rPr>
          <w:rFonts w:cs="Arial"/>
          <w:sz w:val="22"/>
        </w:rPr>
        <w:t>Finent</w:t>
      </w:r>
      <w:proofErr w:type="spellEnd"/>
      <w:r w:rsidRPr="00C15660">
        <w:rPr>
          <w:rFonts w:cs="Arial"/>
          <w:sz w:val="22"/>
        </w:rPr>
        <w:t xml:space="preserve"> 2 », ainsi que </w:t>
      </w:r>
      <w:r w:rsidR="00373751" w:rsidRPr="00C22E90">
        <w:rPr>
          <w:rFonts w:cs="Arial"/>
          <w:sz w:val="22"/>
        </w:rPr>
        <w:t>« </w:t>
      </w:r>
      <w:r w:rsidRPr="00C15660">
        <w:rPr>
          <w:rFonts w:cs="Arial"/>
          <w:i/>
          <w:sz w:val="22"/>
        </w:rPr>
        <w:t>toute</w:t>
      </w:r>
      <w:r w:rsidR="00716890" w:rsidRPr="00C15660">
        <w:rPr>
          <w:rFonts w:cs="Arial"/>
          <w:i/>
          <w:sz w:val="22"/>
        </w:rPr>
        <w:t>s</w:t>
      </w:r>
      <w:r w:rsidRPr="00C15660">
        <w:rPr>
          <w:rFonts w:cs="Arial"/>
          <w:i/>
          <w:sz w:val="22"/>
        </w:rPr>
        <w:t xml:space="preserve"> </w:t>
      </w:r>
      <w:r w:rsidR="00716890" w:rsidRPr="00C15660">
        <w:rPr>
          <w:rFonts w:cs="Arial"/>
          <w:i/>
          <w:sz w:val="22"/>
        </w:rPr>
        <w:t xml:space="preserve">autres </w:t>
      </w:r>
      <w:r w:rsidRPr="00C15660">
        <w:rPr>
          <w:rFonts w:cs="Arial"/>
          <w:i/>
          <w:sz w:val="22"/>
        </w:rPr>
        <w:t>personne</w:t>
      </w:r>
      <w:r w:rsidR="00716890" w:rsidRPr="00C15660">
        <w:rPr>
          <w:rFonts w:cs="Arial"/>
          <w:i/>
          <w:sz w:val="22"/>
        </w:rPr>
        <w:t>s</w:t>
      </w:r>
      <w:r w:rsidRPr="00C15660">
        <w:rPr>
          <w:rFonts w:cs="Arial"/>
          <w:i/>
          <w:sz w:val="22"/>
        </w:rPr>
        <w:t xml:space="preserve"> ayant prêté la main aux opérations irrégulières, tant à la direction générale du </w:t>
      </w:r>
      <w:r w:rsidR="003502AF" w:rsidRPr="00C15660">
        <w:rPr>
          <w:rFonts w:cs="Arial"/>
          <w:i/>
          <w:sz w:val="22"/>
        </w:rPr>
        <w:t>Trésor</w:t>
      </w:r>
      <w:r w:rsidRPr="00C15660">
        <w:rPr>
          <w:rFonts w:cs="Arial"/>
          <w:i/>
          <w:sz w:val="22"/>
        </w:rPr>
        <w:t>, à l’Agence des participations de l’Etat qu’à la Caisse des dépôts et consignations</w:t>
      </w:r>
      <w:r w:rsidR="00373751" w:rsidRPr="00C22E90">
        <w:rPr>
          <w:rFonts w:cs="Arial"/>
          <w:sz w:val="22"/>
        </w:rPr>
        <w:t> »</w:t>
      </w:r>
      <w:r w:rsidRPr="00C15660">
        <w:rPr>
          <w:rFonts w:cs="Arial"/>
          <w:sz w:val="22"/>
        </w:rPr>
        <w:t> ;</w:t>
      </w:r>
    </w:p>
    <w:p w:rsidR="002D4B20" w:rsidRPr="00C15660" w:rsidRDefault="002D4B20" w:rsidP="00DB4B44">
      <w:pPr>
        <w:spacing w:line="240" w:lineRule="auto"/>
        <w:jc w:val="both"/>
        <w:rPr>
          <w:rFonts w:cs="Arial"/>
          <w:sz w:val="22"/>
        </w:rPr>
      </w:pPr>
    </w:p>
    <w:p w:rsidR="00DB4B44" w:rsidRPr="00C15660" w:rsidRDefault="00E4326F" w:rsidP="00DB4B44">
      <w:pPr>
        <w:spacing w:line="240" w:lineRule="auto"/>
        <w:jc w:val="both"/>
        <w:rPr>
          <w:rFonts w:cs="Arial"/>
          <w:b/>
          <w:i/>
          <w:sz w:val="22"/>
        </w:rPr>
      </w:pPr>
      <w:r w:rsidRPr="00C15660">
        <w:rPr>
          <w:rFonts w:cs="Arial"/>
          <w:b/>
          <w:i/>
          <w:sz w:val="22"/>
        </w:rPr>
        <w:t>Sur la règle de droit</w:t>
      </w:r>
    </w:p>
    <w:p w:rsidR="00DB4B44" w:rsidRPr="00C15660" w:rsidRDefault="00DB4B44" w:rsidP="00DB4B44">
      <w:pPr>
        <w:spacing w:before="100" w:beforeAutospacing="1" w:after="100" w:afterAutospacing="1" w:line="240" w:lineRule="auto"/>
        <w:jc w:val="both"/>
        <w:rPr>
          <w:rFonts w:eastAsia="Times New Roman" w:cs="Arial"/>
          <w:i/>
          <w:sz w:val="22"/>
          <w:lang w:eastAsia="fr-FR"/>
        </w:rPr>
      </w:pPr>
      <w:r w:rsidRPr="00C15660">
        <w:rPr>
          <w:rFonts w:eastAsia="Times New Roman" w:cs="Arial"/>
          <w:sz w:val="22"/>
          <w:lang w:eastAsia="fr-FR"/>
        </w:rPr>
        <w:t>Attendu que selon le XI de l’article 60 de la loi du 23 février 1963 susvisée :</w:t>
      </w:r>
      <w:r w:rsidRPr="00C15660">
        <w:rPr>
          <w:rFonts w:eastAsia="Times New Roman" w:cs="Arial"/>
          <w:i/>
          <w:sz w:val="22"/>
          <w:lang w:eastAsia="fr-FR"/>
        </w:rPr>
        <w:t xml:space="preserve"> </w:t>
      </w:r>
      <w:r w:rsidRPr="00C22E90">
        <w:rPr>
          <w:rFonts w:eastAsia="Times New Roman" w:cs="Arial"/>
          <w:sz w:val="22"/>
          <w:lang w:eastAsia="fr-FR"/>
        </w:rPr>
        <w:t>« </w:t>
      </w:r>
      <w:r w:rsidRPr="00C15660">
        <w:rPr>
          <w:rFonts w:eastAsia="Times New Roman" w:cs="Arial"/>
          <w:i/>
          <w:sz w:val="22"/>
          <w:lang w:eastAsia="fr-FR"/>
        </w:rPr>
        <w:t>Toute</w:t>
      </w:r>
      <w:r w:rsidR="00C22E90">
        <w:rPr>
          <w:rFonts w:eastAsia="Times New Roman" w:cs="Arial"/>
          <w:i/>
          <w:sz w:val="22"/>
          <w:lang w:eastAsia="fr-FR"/>
        </w:rPr>
        <w:t xml:space="preserve"> </w:t>
      </w:r>
      <w:r w:rsidRPr="00C15660">
        <w:rPr>
          <w:rFonts w:eastAsia="Times New Roman" w:cs="Arial"/>
          <w:i/>
          <w:sz w:val="22"/>
          <w:lang w:eastAsia="fr-FR"/>
        </w:rPr>
        <w:t>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 Il en est de même pour toute personne qui reçoit ou manie directement ou indirectement des fonds ou valeurs extraits irrégulièrement de la caisse d'un organisme public et pour toute personne qui, sans avoir la qualité de comptable public, procède à des opérations portant sur des fonds ou valeurs n'appartenant pas aux organismes publics, mais que les comptables publics sont exclusivement chargés d'exécuter en vertu de la réglementation en vigueur. Les gestions de fait sont soumises aux mêmes juridictions et entraînent les mêmes obligations et responsabilité</w:t>
      </w:r>
      <w:r w:rsidR="00CB4644" w:rsidRPr="00C15660">
        <w:rPr>
          <w:rFonts w:eastAsia="Times New Roman" w:cs="Arial"/>
          <w:i/>
          <w:sz w:val="22"/>
          <w:lang w:eastAsia="fr-FR"/>
        </w:rPr>
        <w:t>s que les gestions régulières</w:t>
      </w:r>
      <w:r w:rsidR="00CB4644" w:rsidRPr="00C22E90">
        <w:rPr>
          <w:rFonts w:eastAsia="Times New Roman" w:cs="Arial"/>
          <w:sz w:val="22"/>
          <w:lang w:eastAsia="fr-FR"/>
        </w:rPr>
        <w:t> »</w:t>
      </w:r>
      <w:r w:rsidR="00CB4644" w:rsidRPr="00C15660">
        <w:rPr>
          <w:rFonts w:eastAsia="Times New Roman" w:cs="Arial"/>
          <w:i/>
          <w:sz w:val="22"/>
          <w:lang w:eastAsia="fr-FR"/>
        </w:rPr>
        <w:t> ;</w:t>
      </w:r>
    </w:p>
    <w:p w:rsidR="00884332" w:rsidRPr="00C15660" w:rsidRDefault="00DB4B44" w:rsidP="00884332">
      <w:pPr>
        <w:pStyle w:val="NormalWeb"/>
        <w:ind w:left="0"/>
        <w:jc w:val="both"/>
        <w:rPr>
          <w:sz w:val="22"/>
          <w:szCs w:val="22"/>
        </w:rPr>
      </w:pPr>
      <w:r w:rsidRPr="00C15660">
        <w:rPr>
          <w:sz w:val="22"/>
          <w:szCs w:val="22"/>
        </w:rPr>
        <w:t xml:space="preserve">Attendu que selon l’article 11 du décret du 29 décembre 1962 susvisé, </w:t>
      </w:r>
      <w:r w:rsidR="00884332" w:rsidRPr="00C15660">
        <w:rPr>
          <w:sz w:val="22"/>
          <w:szCs w:val="22"/>
        </w:rPr>
        <w:t xml:space="preserve">alors applicable, </w:t>
      </w:r>
      <w:r w:rsidRPr="00C22E90">
        <w:rPr>
          <w:sz w:val="22"/>
          <w:szCs w:val="22"/>
        </w:rPr>
        <w:t>« </w:t>
      </w:r>
      <w:r w:rsidRPr="00C15660">
        <w:rPr>
          <w:i/>
          <w:sz w:val="22"/>
          <w:szCs w:val="22"/>
        </w:rPr>
        <w:t>les comptables publics sont seuls chargés […] du paiement des dépenses soit sur ordres émanant des ordonnateurs accrédités, soit au vu des titres présentés par les créanciers, soit de leur propre initiative, ainsi que de la suite à donner aux oppositions et autres significations</w:t>
      </w:r>
      <w:r w:rsidR="00E4326F" w:rsidRPr="00C15660">
        <w:rPr>
          <w:i/>
          <w:sz w:val="22"/>
          <w:szCs w:val="22"/>
        </w:rPr>
        <w:t> </w:t>
      </w:r>
      <w:r w:rsidRPr="00C15660">
        <w:rPr>
          <w:i/>
          <w:sz w:val="22"/>
          <w:szCs w:val="22"/>
        </w:rPr>
        <w:t>; de la garde et de la conservation des fonds et valeurs appartenant ou confiés aux organismes publics</w:t>
      </w:r>
      <w:r w:rsidR="00C22E90">
        <w:rPr>
          <w:i/>
          <w:sz w:val="22"/>
          <w:szCs w:val="22"/>
        </w:rPr>
        <w:t> </w:t>
      </w:r>
      <w:r w:rsidRPr="00C15660">
        <w:rPr>
          <w:i/>
          <w:sz w:val="22"/>
          <w:szCs w:val="22"/>
        </w:rPr>
        <w:t>; du maniement des fonds et des mouvements de comptes de disponibilités</w:t>
      </w:r>
      <w:r w:rsidRPr="00C22E90">
        <w:rPr>
          <w:sz w:val="22"/>
          <w:szCs w:val="22"/>
        </w:rPr>
        <w:t> »</w:t>
      </w:r>
      <w:r w:rsidRPr="00C15660">
        <w:rPr>
          <w:sz w:val="22"/>
          <w:szCs w:val="22"/>
        </w:rPr>
        <w:t> ;</w:t>
      </w:r>
      <w:r w:rsidR="00884332" w:rsidRPr="00C15660">
        <w:rPr>
          <w:sz w:val="22"/>
          <w:szCs w:val="22"/>
        </w:rPr>
        <w:t xml:space="preserve"> que selon l’article 41 du même décret, </w:t>
      </w:r>
      <w:r w:rsidR="00884332" w:rsidRPr="00C22E90">
        <w:rPr>
          <w:sz w:val="22"/>
          <w:szCs w:val="22"/>
        </w:rPr>
        <w:t>« </w:t>
      </w:r>
      <w:r w:rsidR="00884332" w:rsidRPr="00C15660">
        <w:rPr>
          <w:i/>
          <w:sz w:val="22"/>
          <w:szCs w:val="22"/>
        </w:rPr>
        <w:t>les opérations de trésorerie sont exécutées par les comptables publics soit spontanément, soit sur l'ordre des ordonnateurs ou à la demande des tiers qualifiés </w:t>
      </w:r>
      <w:r w:rsidR="00884332" w:rsidRPr="00C22E90">
        <w:rPr>
          <w:sz w:val="22"/>
          <w:szCs w:val="22"/>
        </w:rPr>
        <w:t>»</w:t>
      </w:r>
      <w:r w:rsidR="00884332" w:rsidRPr="00C15660">
        <w:rPr>
          <w:sz w:val="22"/>
          <w:szCs w:val="22"/>
        </w:rPr>
        <w:t xml:space="preserve"> ; que selon </w:t>
      </w:r>
      <w:r w:rsidR="0048539F" w:rsidRPr="00C15660">
        <w:rPr>
          <w:sz w:val="22"/>
          <w:szCs w:val="22"/>
        </w:rPr>
        <w:t>l’</w:t>
      </w:r>
      <w:r w:rsidR="00884332" w:rsidRPr="00C15660">
        <w:rPr>
          <w:sz w:val="22"/>
          <w:szCs w:val="22"/>
        </w:rPr>
        <w:t>article 114</w:t>
      </w:r>
      <w:r w:rsidR="0048539F" w:rsidRPr="00C15660">
        <w:rPr>
          <w:sz w:val="22"/>
          <w:szCs w:val="22"/>
        </w:rPr>
        <w:t xml:space="preserve"> du même texte</w:t>
      </w:r>
      <w:r w:rsidR="00884332" w:rsidRPr="00C15660">
        <w:rPr>
          <w:sz w:val="22"/>
          <w:szCs w:val="22"/>
        </w:rPr>
        <w:t xml:space="preserve">, </w:t>
      </w:r>
      <w:r w:rsidR="00884332" w:rsidRPr="00C22E90">
        <w:rPr>
          <w:sz w:val="22"/>
          <w:szCs w:val="22"/>
        </w:rPr>
        <w:t>« </w:t>
      </w:r>
      <w:r w:rsidR="00884332" w:rsidRPr="00C15660">
        <w:rPr>
          <w:i/>
          <w:sz w:val="22"/>
          <w:szCs w:val="22"/>
        </w:rPr>
        <w:t>seuls les comptables publics de l'Etat sont habilités à manier les fonds du Trésor</w:t>
      </w:r>
      <w:r w:rsidR="00884332" w:rsidRPr="00C22E90">
        <w:rPr>
          <w:sz w:val="22"/>
          <w:szCs w:val="22"/>
        </w:rPr>
        <w:t> »</w:t>
      </w:r>
      <w:r w:rsidR="00884332" w:rsidRPr="00C15660">
        <w:rPr>
          <w:sz w:val="22"/>
          <w:szCs w:val="22"/>
        </w:rPr>
        <w:t xml:space="preserve"> ; que selon </w:t>
      </w:r>
      <w:r w:rsidR="0048539F" w:rsidRPr="00C15660">
        <w:rPr>
          <w:sz w:val="22"/>
          <w:szCs w:val="22"/>
        </w:rPr>
        <w:t>l’</w:t>
      </w:r>
      <w:r w:rsidR="00884332" w:rsidRPr="00C15660">
        <w:rPr>
          <w:sz w:val="22"/>
          <w:szCs w:val="22"/>
        </w:rPr>
        <w:t>article</w:t>
      </w:r>
      <w:r w:rsidR="00C22E90">
        <w:rPr>
          <w:sz w:val="22"/>
          <w:szCs w:val="22"/>
        </w:rPr>
        <w:t xml:space="preserve"> </w:t>
      </w:r>
      <w:r w:rsidR="00884332" w:rsidRPr="00C15660">
        <w:rPr>
          <w:sz w:val="22"/>
          <w:szCs w:val="22"/>
        </w:rPr>
        <w:t>115</w:t>
      </w:r>
      <w:r w:rsidR="0048539F" w:rsidRPr="00C15660">
        <w:rPr>
          <w:sz w:val="22"/>
          <w:szCs w:val="22"/>
        </w:rPr>
        <w:t xml:space="preserve"> du même texte</w:t>
      </w:r>
      <w:r w:rsidR="00884332" w:rsidRPr="00C15660">
        <w:rPr>
          <w:sz w:val="22"/>
          <w:szCs w:val="22"/>
        </w:rPr>
        <w:t xml:space="preserve">, </w:t>
      </w:r>
      <w:r w:rsidR="00884332" w:rsidRPr="00C22E90">
        <w:rPr>
          <w:sz w:val="22"/>
          <w:szCs w:val="22"/>
        </w:rPr>
        <w:t>« </w:t>
      </w:r>
      <w:r w:rsidR="00884332" w:rsidRPr="00C15660">
        <w:rPr>
          <w:i/>
          <w:sz w:val="22"/>
          <w:szCs w:val="22"/>
        </w:rPr>
        <w:t>les ordonnateurs et autres agents de l'Etat n'ayant pas la qualité de comptable public, de régisseur de recettes ou d'avances ou de comptable des fonds des corps de troupes, unités, services et établissements assimilés ne peuvent se faire ouvrir ès qualité un compte de disponibilités</w:t>
      </w:r>
      <w:r w:rsidR="00884332" w:rsidRPr="00C22E90">
        <w:rPr>
          <w:sz w:val="22"/>
          <w:szCs w:val="22"/>
        </w:rPr>
        <w:t> »</w:t>
      </w:r>
      <w:r w:rsidR="00884332" w:rsidRPr="00C15660">
        <w:rPr>
          <w:sz w:val="22"/>
          <w:szCs w:val="22"/>
        </w:rPr>
        <w:t> ;</w:t>
      </w:r>
    </w:p>
    <w:p w:rsidR="00DB4B44" w:rsidRPr="00C15660" w:rsidRDefault="00DB4B44" w:rsidP="00DB4B44">
      <w:pPr>
        <w:spacing w:line="240" w:lineRule="auto"/>
        <w:jc w:val="both"/>
        <w:rPr>
          <w:rFonts w:cs="Arial"/>
          <w:b/>
          <w:i/>
          <w:sz w:val="22"/>
        </w:rPr>
      </w:pPr>
      <w:r w:rsidRPr="00C15660">
        <w:rPr>
          <w:rFonts w:cs="Arial"/>
          <w:b/>
          <w:i/>
          <w:sz w:val="22"/>
        </w:rPr>
        <w:lastRenderedPageBreak/>
        <w:t>Sur les faits</w:t>
      </w:r>
    </w:p>
    <w:p w:rsidR="00DB4B44" w:rsidRPr="00C15660" w:rsidRDefault="00DB4B44" w:rsidP="00DB4B44">
      <w:pPr>
        <w:spacing w:line="240" w:lineRule="auto"/>
        <w:jc w:val="both"/>
        <w:rPr>
          <w:rFonts w:cs="Arial"/>
          <w:sz w:val="22"/>
        </w:rPr>
      </w:pPr>
    </w:p>
    <w:p w:rsidR="00E3305D" w:rsidRPr="00C15660" w:rsidRDefault="00DB4B44" w:rsidP="00DB4B44">
      <w:pPr>
        <w:spacing w:line="240" w:lineRule="auto"/>
        <w:jc w:val="both"/>
        <w:rPr>
          <w:rFonts w:cs="Arial"/>
          <w:sz w:val="22"/>
        </w:rPr>
      </w:pPr>
      <w:r w:rsidRPr="00C15660">
        <w:rPr>
          <w:rFonts w:cs="Arial"/>
          <w:sz w:val="22"/>
        </w:rPr>
        <w:t>Attendu que</w:t>
      </w:r>
      <w:r w:rsidR="009D51FB" w:rsidRPr="00C15660">
        <w:rPr>
          <w:rFonts w:cs="Arial"/>
          <w:sz w:val="22"/>
        </w:rPr>
        <w:t xml:space="preserve"> </w:t>
      </w:r>
      <w:r w:rsidRPr="00C15660">
        <w:rPr>
          <w:rFonts w:cs="Arial"/>
          <w:sz w:val="22"/>
        </w:rPr>
        <w:t xml:space="preserve">l’Etat a </w:t>
      </w:r>
      <w:r w:rsidR="00E4326F" w:rsidRPr="00C15660">
        <w:rPr>
          <w:rFonts w:cs="Arial"/>
          <w:sz w:val="22"/>
        </w:rPr>
        <w:t xml:space="preserve">décidé de </w:t>
      </w:r>
      <w:r w:rsidRPr="00C15660">
        <w:rPr>
          <w:rFonts w:cs="Arial"/>
          <w:sz w:val="22"/>
        </w:rPr>
        <w:t>souscrire des parts dans trois fonds communs de placements à risque, gérés par des sociétés de gestion détenues par la Caisse des dépôts et consignations</w:t>
      </w:r>
      <w:r w:rsidR="001A09C2" w:rsidRPr="00C15660">
        <w:rPr>
          <w:rFonts w:cs="Arial"/>
          <w:sz w:val="22"/>
        </w:rPr>
        <w:t xml:space="preserve">, </w:t>
      </w:r>
      <w:r w:rsidR="0048539F" w:rsidRPr="00C15660">
        <w:rPr>
          <w:rFonts w:cs="Arial"/>
          <w:sz w:val="22"/>
        </w:rPr>
        <w:t xml:space="preserve">désignés </w:t>
      </w:r>
      <w:r w:rsidR="001A09C2" w:rsidRPr="00C15660">
        <w:rPr>
          <w:rFonts w:cs="Arial"/>
          <w:sz w:val="22"/>
        </w:rPr>
        <w:t xml:space="preserve">« fonds de promotion pour le capital-risque 2000 » (FPCR 2000), « fonds de </w:t>
      </w:r>
      <w:proofErr w:type="spellStart"/>
      <w:r w:rsidR="001A09C2" w:rsidRPr="00C15660">
        <w:rPr>
          <w:rFonts w:cs="Arial"/>
          <w:sz w:val="22"/>
        </w:rPr>
        <w:t>co</w:t>
      </w:r>
      <w:proofErr w:type="spellEnd"/>
      <w:r w:rsidR="001A09C2" w:rsidRPr="00C15660">
        <w:rPr>
          <w:rFonts w:cs="Arial"/>
          <w:sz w:val="22"/>
        </w:rPr>
        <w:t>-investissement pour les jeunes entreprises » (FCJE) et « fonds de f</w:t>
      </w:r>
      <w:r w:rsidR="006B3D0D">
        <w:rPr>
          <w:rFonts w:cs="Arial"/>
          <w:sz w:val="22"/>
        </w:rPr>
        <w:t>onds technologique 3 » (FFT3) ;</w:t>
      </w:r>
    </w:p>
    <w:p w:rsidR="00E3305D" w:rsidRPr="00C15660" w:rsidRDefault="00E3305D" w:rsidP="00DB4B44">
      <w:pPr>
        <w:spacing w:line="240" w:lineRule="auto"/>
        <w:jc w:val="both"/>
        <w:rPr>
          <w:rFonts w:cs="Arial"/>
          <w:sz w:val="22"/>
        </w:rPr>
      </w:pPr>
    </w:p>
    <w:p w:rsidR="0048539F" w:rsidRPr="00C15660" w:rsidRDefault="00E3305D" w:rsidP="00DB4B44">
      <w:pPr>
        <w:spacing w:line="240" w:lineRule="auto"/>
        <w:jc w:val="both"/>
        <w:rPr>
          <w:rFonts w:cs="Arial"/>
          <w:sz w:val="22"/>
        </w:rPr>
      </w:pPr>
      <w:r w:rsidRPr="00C15660">
        <w:rPr>
          <w:rFonts w:cs="Arial"/>
          <w:sz w:val="22"/>
        </w:rPr>
        <w:t xml:space="preserve">Attendu </w:t>
      </w:r>
      <w:r w:rsidR="00373751" w:rsidRPr="00C15660">
        <w:rPr>
          <w:rFonts w:cs="Arial"/>
          <w:sz w:val="22"/>
        </w:rPr>
        <w:t xml:space="preserve">que </w:t>
      </w:r>
      <w:r w:rsidR="0048539F" w:rsidRPr="00C15660">
        <w:rPr>
          <w:rFonts w:cs="Arial"/>
          <w:sz w:val="22"/>
        </w:rPr>
        <w:t xml:space="preserve">certains </w:t>
      </w:r>
      <w:r w:rsidR="001A09C2" w:rsidRPr="00C15660">
        <w:rPr>
          <w:rFonts w:cs="Arial"/>
          <w:sz w:val="22"/>
        </w:rPr>
        <w:t xml:space="preserve">paiements </w:t>
      </w:r>
      <w:r w:rsidR="0048539F" w:rsidRPr="00C15660">
        <w:rPr>
          <w:rFonts w:cs="Arial"/>
          <w:sz w:val="22"/>
        </w:rPr>
        <w:t xml:space="preserve">ont été </w:t>
      </w:r>
      <w:r w:rsidR="00884332" w:rsidRPr="00C15660">
        <w:rPr>
          <w:rFonts w:cs="Arial"/>
          <w:sz w:val="22"/>
        </w:rPr>
        <w:t xml:space="preserve">effectués </w:t>
      </w:r>
      <w:r w:rsidR="00373751" w:rsidRPr="00C15660">
        <w:rPr>
          <w:rFonts w:cs="Arial"/>
          <w:sz w:val="22"/>
        </w:rPr>
        <w:t xml:space="preserve">directement </w:t>
      </w:r>
      <w:r w:rsidRPr="00C15660">
        <w:rPr>
          <w:rFonts w:cs="Arial"/>
          <w:sz w:val="22"/>
        </w:rPr>
        <w:t>au profit des</w:t>
      </w:r>
      <w:r w:rsidR="00DB4B44" w:rsidRPr="00C15660">
        <w:rPr>
          <w:rFonts w:cs="Arial"/>
          <w:sz w:val="22"/>
        </w:rPr>
        <w:t>dites sociétés de gestion</w:t>
      </w:r>
      <w:r w:rsidR="001A09C2" w:rsidRPr="00C15660">
        <w:rPr>
          <w:rFonts w:cs="Arial"/>
          <w:sz w:val="22"/>
        </w:rPr>
        <w:t xml:space="preserve"> pour la souscription de parts</w:t>
      </w:r>
      <w:r w:rsidR="0048539F" w:rsidRPr="00C15660">
        <w:rPr>
          <w:rFonts w:cs="Arial"/>
          <w:sz w:val="22"/>
        </w:rPr>
        <w:t xml:space="preserve"> ; que ces paiements </w:t>
      </w:r>
      <w:r w:rsidR="00373751" w:rsidRPr="00C15660">
        <w:rPr>
          <w:rFonts w:cs="Arial"/>
          <w:sz w:val="22"/>
        </w:rPr>
        <w:t xml:space="preserve">ne sont pas en cause ; </w:t>
      </w:r>
    </w:p>
    <w:p w:rsidR="0048539F" w:rsidRPr="00C15660" w:rsidRDefault="0048539F" w:rsidP="00DB4B44">
      <w:pPr>
        <w:spacing w:line="240" w:lineRule="auto"/>
        <w:jc w:val="both"/>
        <w:rPr>
          <w:rFonts w:cs="Arial"/>
          <w:sz w:val="22"/>
        </w:rPr>
      </w:pPr>
    </w:p>
    <w:p w:rsidR="00DB4B44" w:rsidRPr="00C15660" w:rsidRDefault="0048539F" w:rsidP="00DB4B44">
      <w:pPr>
        <w:spacing w:line="240" w:lineRule="auto"/>
        <w:jc w:val="both"/>
        <w:rPr>
          <w:rFonts w:cs="Arial"/>
          <w:sz w:val="22"/>
        </w:rPr>
      </w:pPr>
      <w:r w:rsidRPr="00C15660">
        <w:rPr>
          <w:rFonts w:cs="Arial"/>
          <w:sz w:val="22"/>
        </w:rPr>
        <w:t xml:space="preserve">Attendu que </w:t>
      </w:r>
      <w:r w:rsidR="00884332" w:rsidRPr="00C15660">
        <w:rPr>
          <w:rFonts w:cs="Arial"/>
          <w:sz w:val="22"/>
        </w:rPr>
        <w:t xml:space="preserve">d’autres </w:t>
      </w:r>
      <w:r w:rsidR="00DB4B44" w:rsidRPr="00C15660">
        <w:rPr>
          <w:rFonts w:cs="Arial"/>
          <w:sz w:val="22"/>
        </w:rPr>
        <w:t xml:space="preserve">versements de l’Etat sont </w:t>
      </w:r>
      <w:r w:rsidR="00E3305D" w:rsidRPr="00C15660">
        <w:rPr>
          <w:rFonts w:cs="Arial"/>
          <w:sz w:val="22"/>
        </w:rPr>
        <w:t xml:space="preserve">d’abord </w:t>
      </w:r>
      <w:r w:rsidR="00DB4B44" w:rsidRPr="00C15660">
        <w:rPr>
          <w:rFonts w:cs="Arial"/>
          <w:sz w:val="22"/>
        </w:rPr>
        <w:t>venus abonder des comptes d’attente</w:t>
      </w:r>
      <w:r w:rsidR="00C22E90">
        <w:rPr>
          <w:rFonts w:cs="Arial"/>
          <w:sz w:val="22"/>
        </w:rPr>
        <w:t xml:space="preserve"> </w:t>
      </w:r>
      <w:r w:rsidR="00DB4B44" w:rsidRPr="00C15660">
        <w:rPr>
          <w:rFonts w:cs="Arial"/>
          <w:sz w:val="22"/>
        </w:rPr>
        <w:t>ouverts au nom de l’Etat à la Caisse des dépôts et consignations</w:t>
      </w:r>
      <w:r w:rsidR="00C22E90">
        <w:rPr>
          <w:rFonts w:cs="Arial"/>
          <w:sz w:val="22"/>
        </w:rPr>
        <w:t> </w:t>
      </w:r>
      <w:r w:rsidR="00DB4B44" w:rsidRPr="00C15660">
        <w:rPr>
          <w:rFonts w:cs="Arial"/>
          <w:sz w:val="22"/>
        </w:rPr>
        <w:t xml:space="preserve">; que sur instructions spécifiques émanant d’agents de la direction du </w:t>
      </w:r>
      <w:r w:rsidR="003502AF" w:rsidRPr="00C15660">
        <w:rPr>
          <w:rFonts w:cs="Arial"/>
          <w:sz w:val="22"/>
        </w:rPr>
        <w:t>Trésor</w:t>
      </w:r>
      <w:r w:rsidR="00DB4B44" w:rsidRPr="00C15660">
        <w:rPr>
          <w:rFonts w:cs="Arial"/>
          <w:sz w:val="22"/>
        </w:rPr>
        <w:t xml:space="preserve">, </w:t>
      </w:r>
      <w:r w:rsidR="00884332" w:rsidRPr="00C15660">
        <w:rPr>
          <w:rFonts w:cs="Arial"/>
          <w:sz w:val="22"/>
        </w:rPr>
        <w:t xml:space="preserve">ou </w:t>
      </w:r>
      <w:r w:rsidR="00373751" w:rsidRPr="00C15660">
        <w:rPr>
          <w:rFonts w:cs="Arial"/>
          <w:sz w:val="22"/>
        </w:rPr>
        <w:t xml:space="preserve">après </w:t>
      </w:r>
      <w:r w:rsidR="00884332" w:rsidRPr="00C15660">
        <w:rPr>
          <w:rFonts w:cs="Arial"/>
          <w:sz w:val="22"/>
        </w:rPr>
        <w:t xml:space="preserve">accord exprès de ceux-ci, </w:t>
      </w:r>
      <w:r w:rsidR="00DB4B44" w:rsidRPr="00C15660">
        <w:rPr>
          <w:rFonts w:cs="Arial"/>
          <w:sz w:val="22"/>
        </w:rPr>
        <w:t xml:space="preserve">lesdits comptes d’attente </w:t>
      </w:r>
      <w:r w:rsidRPr="00C15660">
        <w:rPr>
          <w:rFonts w:cs="Arial"/>
          <w:sz w:val="22"/>
        </w:rPr>
        <w:t xml:space="preserve">ainsi approvisionnés </w:t>
      </w:r>
      <w:r w:rsidR="00DB4B44" w:rsidRPr="00C15660">
        <w:rPr>
          <w:rFonts w:cs="Arial"/>
          <w:sz w:val="22"/>
        </w:rPr>
        <w:t xml:space="preserve">ont </w:t>
      </w:r>
      <w:r w:rsidR="001A09C2" w:rsidRPr="00C15660">
        <w:rPr>
          <w:rFonts w:cs="Arial"/>
          <w:sz w:val="22"/>
        </w:rPr>
        <w:t xml:space="preserve">ensuite </w:t>
      </w:r>
      <w:r w:rsidR="00DB4B44" w:rsidRPr="00C15660">
        <w:rPr>
          <w:rFonts w:cs="Arial"/>
          <w:sz w:val="22"/>
        </w:rPr>
        <w:t>été mouvementés</w:t>
      </w:r>
      <w:r w:rsidR="00E3305D" w:rsidRPr="00C15660">
        <w:rPr>
          <w:rFonts w:cs="Arial"/>
          <w:sz w:val="22"/>
        </w:rPr>
        <w:t>,</w:t>
      </w:r>
      <w:r w:rsidR="00DB4B44" w:rsidRPr="00C15660">
        <w:rPr>
          <w:rFonts w:cs="Arial"/>
          <w:sz w:val="22"/>
        </w:rPr>
        <w:t xml:space="preserve"> soit au profit des sociétés de gestion</w:t>
      </w:r>
      <w:r w:rsidRPr="00C15660">
        <w:rPr>
          <w:rFonts w:cs="Arial"/>
          <w:sz w:val="22"/>
        </w:rPr>
        <w:t xml:space="preserve"> précitées</w:t>
      </w:r>
      <w:r w:rsidR="00DB4B44" w:rsidRPr="00C15660">
        <w:rPr>
          <w:rFonts w:cs="Arial"/>
          <w:sz w:val="22"/>
        </w:rPr>
        <w:t>, soit au profit de comptes titres associés</w:t>
      </w:r>
      <w:r w:rsidR="00C22E90">
        <w:rPr>
          <w:rFonts w:cs="Arial"/>
          <w:sz w:val="22"/>
        </w:rPr>
        <w:t xml:space="preserve"> </w:t>
      </w:r>
      <w:r w:rsidR="00E3305D" w:rsidRPr="00C15660">
        <w:rPr>
          <w:rFonts w:cs="Arial"/>
          <w:sz w:val="22"/>
        </w:rPr>
        <w:t>également ouverts à la Caisse des dépôts et consignations</w:t>
      </w:r>
      <w:r w:rsidR="00C22E90">
        <w:rPr>
          <w:rFonts w:cs="Arial"/>
          <w:sz w:val="22"/>
        </w:rPr>
        <w:t> ;</w:t>
      </w:r>
      <w:r w:rsidR="00DB4B44" w:rsidRPr="00C15660">
        <w:rPr>
          <w:rFonts w:cs="Arial"/>
          <w:sz w:val="22"/>
        </w:rPr>
        <w:t xml:space="preserve"> que les comptes titres associés ont </w:t>
      </w:r>
      <w:r w:rsidR="003E7CFE" w:rsidRPr="00C15660">
        <w:rPr>
          <w:rFonts w:cs="Arial"/>
          <w:sz w:val="22"/>
        </w:rPr>
        <w:t xml:space="preserve">également </w:t>
      </w:r>
      <w:r w:rsidR="00DB4B44" w:rsidRPr="00C15660">
        <w:rPr>
          <w:rFonts w:cs="Arial"/>
          <w:sz w:val="22"/>
        </w:rPr>
        <w:t xml:space="preserve">fait l’objet de ventes sur instruction des mêmes personnes, </w:t>
      </w:r>
      <w:r w:rsidRPr="00C15660">
        <w:rPr>
          <w:rFonts w:cs="Arial"/>
          <w:sz w:val="22"/>
        </w:rPr>
        <w:t xml:space="preserve">leurs </w:t>
      </w:r>
      <w:r w:rsidR="00DB4B44" w:rsidRPr="00C15660">
        <w:rPr>
          <w:rFonts w:cs="Arial"/>
          <w:sz w:val="22"/>
        </w:rPr>
        <w:t xml:space="preserve">produits </w:t>
      </w:r>
      <w:r w:rsidRPr="00C15660">
        <w:rPr>
          <w:rFonts w:cs="Arial"/>
          <w:sz w:val="22"/>
        </w:rPr>
        <w:t xml:space="preserve">étant </w:t>
      </w:r>
      <w:r w:rsidR="00DB4B44" w:rsidRPr="00C15660">
        <w:rPr>
          <w:rFonts w:cs="Arial"/>
          <w:sz w:val="22"/>
        </w:rPr>
        <w:t>reversés aux comptes d’attente ;</w:t>
      </w:r>
    </w:p>
    <w:p w:rsidR="00DB4B44" w:rsidRPr="00C15660" w:rsidRDefault="00DB4B44" w:rsidP="00DB4B44">
      <w:pPr>
        <w:spacing w:line="240" w:lineRule="auto"/>
        <w:jc w:val="both"/>
        <w:rPr>
          <w:rFonts w:cs="Arial"/>
          <w:sz w:val="22"/>
        </w:rPr>
      </w:pPr>
    </w:p>
    <w:p w:rsidR="00174245" w:rsidRPr="000E6081" w:rsidRDefault="00DB4B44" w:rsidP="00DB4B44">
      <w:pPr>
        <w:spacing w:line="240" w:lineRule="auto"/>
        <w:jc w:val="both"/>
        <w:rPr>
          <w:rFonts w:cs="Arial"/>
          <w:sz w:val="22"/>
        </w:rPr>
      </w:pPr>
      <w:r w:rsidRPr="000E6081">
        <w:rPr>
          <w:rFonts w:cs="Arial"/>
          <w:sz w:val="22"/>
        </w:rPr>
        <w:t>Attendu</w:t>
      </w:r>
      <w:r w:rsidR="005B00BF" w:rsidRPr="000E6081">
        <w:rPr>
          <w:rFonts w:cs="Arial"/>
          <w:sz w:val="22"/>
        </w:rPr>
        <w:t xml:space="preserve"> </w:t>
      </w:r>
      <w:r w:rsidR="00174245" w:rsidRPr="000E6081">
        <w:rPr>
          <w:rFonts w:cs="Arial"/>
          <w:sz w:val="22"/>
        </w:rPr>
        <w:t>que le</w:t>
      </w:r>
      <w:r w:rsidR="0011428F" w:rsidRPr="000E6081">
        <w:rPr>
          <w:rFonts w:cs="Arial"/>
          <w:sz w:val="22"/>
        </w:rPr>
        <w:t>s modalités de souscription de l’Etat a</w:t>
      </w:r>
      <w:r w:rsidR="00174245" w:rsidRPr="000E6081">
        <w:rPr>
          <w:rFonts w:cs="Arial"/>
          <w:sz w:val="22"/>
        </w:rPr>
        <w:t xml:space="preserve">u </w:t>
      </w:r>
      <w:r w:rsidRPr="000E6081">
        <w:rPr>
          <w:rFonts w:cs="Arial"/>
          <w:sz w:val="22"/>
        </w:rPr>
        <w:t>FPCR 2000</w:t>
      </w:r>
      <w:r w:rsidR="00174245" w:rsidRPr="000E6081">
        <w:rPr>
          <w:rFonts w:cs="Arial"/>
          <w:sz w:val="22"/>
        </w:rPr>
        <w:t xml:space="preserve"> </w:t>
      </w:r>
      <w:r w:rsidR="0011428F" w:rsidRPr="000E6081">
        <w:rPr>
          <w:rFonts w:cs="Arial"/>
          <w:sz w:val="22"/>
        </w:rPr>
        <w:t xml:space="preserve">ont </w:t>
      </w:r>
      <w:r w:rsidR="00174245" w:rsidRPr="000E6081">
        <w:rPr>
          <w:rFonts w:cs="Arial"/>
          <w:sz w:val="22"/>
        </w:rPr>
        <w:t>été organisé</w:t>
      </w:r>
      <w:r w:rsidR="0011428F" w:rsidRPr="000E6081">
        <w:rPr>
          <w:rFonts w:cs="Arial"/>
          <w:sz w:val="22"/>
        </w:rPr>
        <w:t>es</w:t>
      </w:r>
      <w:r w:rsidR="00174245" w:rsidRPr="000E6081">
        <w:rPr>
          <w:rFonts w:cs="Arial"/>
          <w:sz w:val="22"/>
        </w:rPr>
        <w:t xml:space="preserve"> </w:t>
      </w:r>
      <w:r w:rsidRPr="000E6081">
        <w:rPr>
          <w:rFonts w:cs="Arial"/>
          <w:sz w:val="22"/>
        </w:rPr>
        <w:t xml:space="preserve">par une décision du 22 décembre 2000 de </w:t>
      </w:r>
      <w:r w:rsidR="000C64BE">
        <w:rPr>
          <w:rFonts w:cs="Arial"/>
          <w:sz w:val="22"/>
        </w:rPr>
        <w:t>M. D</w:t>
      </w:r>
      <w:r w:rsidRPr="000E6081">
        <w:rPr>
          <w:rFonts w:cs="Arial"/>
          <w:sz w:val="22"/>
        </w:rPr>
        <w:t>, ministre charg</w:t>
      </w:r>
      <w:r w:rsidR="00D466FF" w:rsidRPr="000E6081">
        <w:rPr>
          <w:rFonts w:cs="Arial"/>
          <w:sz w:val="22"/>
        </w:rPr>
        <w:t>é</w:t>
      </w:r>
      <w:r w:rsidRPr="000E6081">
        <w:rPr>
          <w:rFonts w:cs="Arial"/>
          <w:sz w:val="22"/>
        </w:rPr>
        <w:t xml:space="preserve"> des finances, </w:t>
      </w:r>
      <w:r w:rsidR="0011428F" w:rsidRPr="000E6081">
        <w:rPr>
          <w:rFonts w:cs="Arial"/>
          <w:sz w:val="22"/>
        </w:rPr>
        <w:t xml:space="preserve">qui </w:t>
      </w:r>
      <w:r w:rsidR="00174245" w:rsidRPr="000E6081">
        <w:rPr>
          <w:rFonts w:cs="Arial"/>
          <w:sz w:val="22"/>
        </w:rPr>
        <w:t xml:space="preserve">prévoyait la mise en place d’un compte d’attente ; que cette décision a été </w:t>
      </w:r>
      <w:r w:rsidRPr="000E6081">
        <w:rPr>
          <w:rFonts w:cs="Arial"/>
          <w:sz w:val="22"/>
        </w:rPr>
        <w:t xml:space="preserve">suivie d’une convention d’ouverture de compte d’attente et d’un engagement de souscription de parts au </w:t>
      </w:r>
      <w:r w:rsidR="008F7504" w:rsidRPr="000E6081">
        <w:rPr>
          <w:rFonts w:cs="Arial"/>
          <w:sz w:val="22"/>
        </w:rPr>
        <w:t>FPCR</w:t>
      </w:r>
      <w:r w:rsidR="008435E3">
        <w:rPr>
          <w:rFonts w:cs="Arial"/>
          <w:sz w:val="22"/>
        </w:rPr>
        <w:t> </w:t>
      </w:r>
      <w:r w:rsidR="008F7504" w:rsidRPr="000E6081">
        <w:rPr>
          <w:rFonts w:cs="Arial"/>
          <w:sz w:val="22"/>
        </w:rPr>
        <w:t>2000</w:t>
      </w:r>
      <w:r w:rsidRPr="000E6081">
        <w:rPr>
          <w:rFonts w:cs="Arial"/>
          <w:sz w:val="22"/>
        </w:rPr>
        <w:t>, signés le 5 avril 2001 par M.</w:t>
      </w:r>
      <w:r w:rsidR="00174245" w:rsidRPr="000E6081">
        <w:rPr>
          <w:rFonts w:cs="Arial"/>
          <w:sz w:val="22"/>
        </w:rPr>
        <w:t> </w:t>
      </w:r>
      <w:r w:rsidR="000C64BE">
        <w:rPr>
          <w:rFonts w:cs="Arial"/>
          <w:sz w:val="22"/>
        </w:rPr>
        <w:t>E</w:t>
      </w:r>
      <w:r w:rsidRPr="000E6081">
        <w:rPr>
          <w:rFonts w:cs="Arial"/>
          <w:sz w:val="22"/>
        </w:rPr>
        <w:t xml:space="preserve">, directeur du </w:t>
      </w:r>
      <w:r w:rsidR="003502AF" w:rsidRPr="000E6081">
        <w:rPr>
          <w:rFonts w:cs="Arial"/>
          <w:sz w:val="22"/>
        </w:rPr>
        <w:t>Trésor</w:t>
      </w:r>
      <w:r w:rsidR="00174245" w:rsidRPr="000E6081">
        <w:rPr>
          <w:rFonts w:cs="Arial"/>
          <w:sz w:val="22"/>
        </w:rPr>
        <w:t> ;</w:t>
      </w:r>
      <w:r w:rsidR="009641F9" w:rsidRPr="000E6081">
        <w:rPr>
          <w:rFonts w:cs="Arial"/>
          <w:sz w:val="22"/>
        </w:rPr>
        <w:t xml:space="preserve"> que l’engagement de souscription, où figurait la mention d’un compte d’attente, a été visé par le contrôle financier ;</w:t>
      </w:r>
      <w:r w:rsidR="008F7504" w:rsidRPr="000E6081">
        <w:rPr>
          <w:rFonts w:cs="Arial"/>
          <w:sz w:val="22"/>
        </w:rPr>
        <w:t xml:space="preserve"> que la décision ministérielle précitée du 22 décembre 2000 mentionne parmi les personnes chargées de son exécution le trésorier-payeur général, agent comptable central du Trésor ;</w:t>
      </w:r>
    </w:p>
    <w:p w:rsidR="00174245" w:rsidRPr="000E6081" w:rsidRDefault="00174245" w:rsidP="00DB4B44">
      <w:pPr>
        <w:spacing w:line="240" w:lineRule="auto"/>
        <w:jc w:val="both"/>
        <w:rPr>
          <w:rFonts w:cs="Arial"/>
          <w:sz w:val="22"/>
        </w:rPr>
      </w:pPr>
    </w:p>
    <w:p w:rsidR="00174245" w:rsidRPr="000E6081" w:rsidRDefault="00174245" w:rsidP="00DB4B44">
      <w:pPr>
        <w:spacing w:line="240" w:lineRule="auto"/>
        <w:jc w:val="both"/>
        <w:rPr>
          <w:rFonts w:cs="Arial"/>
          <w:sz w:val="22"/>
        </w:rPr>
      </w:pPr>
      <w:r w:rsidRPr="000E6081">
        <w:rPr>
          <w:rFonts w:cs="Arial"/>
          <w:sz w:val="22"/>
        </w:rPr>
        <w:t xml:space="preserve">Attendu que la mise en place du </w:t>
      </w:r>
      <w:r w:rsidR="00DB4B44" w:rsidRPr="000E6081">
        <w:rPr>
          <w:rFonts w:cs="Arial"/>
          <w:sz w:val="22"/>
        </w:rPr>
        <w:t>FCJE</w:t>
      </w:r>
      <w:r w:rsidRPr="000E6081">
        <w:rPr>
          <w:rFonts w:cs="Arial"/>
          <w:sz w:val="22"/>
        </w:rPr>
        <w:t xml:space="preserve"> a donné lieu à un protocole d’accord </w:t>
      </w:r>
      <w:r w:rsidR="006B3D0D" w:rsidRPr="000E6081">
        <w:rPr>
          <w:rFonts w:cs="Arial"/>
          <w:sz w:val="22"/>
        </w:rPr>
        <w:t xml:space="preserve">conclu avec le Fonds européen d’investissement et CDC-PME, et </w:t>
      </w:r>
      <w:r w:rsidRPr="000E6081">
        <w:rPr>
          <w:rFonts w:cs="Arial"/>
          <w:sz w:val="22"/>
        </w:rPr>
        <w:t>signé le 7 février 2002 par le ministre des finances</w:t>
      </w:r>
      <w:r w:rsidR="0011428F" w:rsidRPr="000E6081">
        <w:rPr>
          <w:rFonts w:cs="Arial"/>
          <w:sz w:val="22"/>
        </w:rPr>
        <w:t>,</w:t>
      </w:r>
      <w:r w:rsidRPr="000E6081">
        <w:rPr>
          <w:rFonts w:cs="Arial"/>
          <w:sz w:val="22"/>
        </w:rPr>
        <w:t xml:space="preserve"> </w:t>
      </w:r>
      <w:r w:rsidR="006B3D0D" w:rsidRPr="000E6081">
        <w:rPr>
          <w:rFonts w:cs="Arial"/>
          <w:sz w:val="22"/>
        </w:rPr>
        <w:t>ainsi qu’</w:t>
      </w:r>
      <w:r w:rsidRPr="000E6081">
        <w:rPr>
          <w:rFonts w:cs="Arial"/>
          <w:sz w:val="22"/>
        </w:rPr>
        <w:t>à une décision du 12 mars 2002 signée du même ministre</w:t>
      </w:r>
      <w:r w:rsidR="003D3424" w:rsidRPr="000E6081">
        <w:rPr>
          <w:rFonts w:cs="Arial"/>
          <w:sz w:val="22"/>
        </w:rPr>
        <w:t xml:space="preserve"> ; que ces deux documents </w:t>
      </w:r>
      <w:r w:rsidRPr="000E6081">
        <w:rPr>
          <w:rFonts w:cs="Arial"/>
          <w:sz w:val="22"/>
        </w:rPr>
        <w:t xml:space="preserve">ne prévoyaient pas l’ouverture d’un compte d’attente ; qu’une convention d’ouverture de compte d’attente a été signée le </w:t>
      </w:r>
      <w:r w:rsidR="00DB4B44" w:rsidRPr="000E6081">
        <w:rPr>
          <w:rFonts w:cs="Arial"/>
          <w:sz w:val="22"/>
        </w:rPr>
        <w:t xml:space="preserve">25 mars 2002 </w:t>
      </w:r>
      <w:r w:rsidRPr="000E6081">
        <w:rPr>
          <w:rFonts w:cs="Arial"/>
          <w:sz w:val="22"/>
        </w:rPr>
        <w:t xml:space="preserve">par </w:t>
      </w:r>
      <w:r w:rsidR="00DB4B44" w:rsidRPr="000E6081">
        <w:rPr>
          <w:rFonts w:cs="Arial"/>
          <w:sz w:val="22"/>
        </w:rPr>
        <w:t>M.</w:t>
      </w:r>
      <w:r w:rsidR="005B00BF" w:rsidRPr="000E6081">
        <w:rPr>
          <w:rFonts w:cs="Arial"/>
          <w:sz w:val="22"/>
        </w:rPr>
        <w:t> </w:t>
      </w:r>
      <w:r w:rsidR="000C64BE">
        <w:rPr>
          <w:rFonts w:cs="Arial"/>
          <w:sz w:val="22"/>
        </w:rPr>
        <w:t>A</w:t>
      </w:r>
      <w:r w:rsidR="00DB4B44" w:rsidRPr="000E6081">
        <w:rPr>
          <w:rFonts w:cs="Arial"/>
          <w:sz w:val="22"/>
        </w:rPr>
        <w:t xml:space="preserve">, alors chef du service du financement de l'État et de l'économie et représentant le directeur du </w:t>
      </w:r>
      <w:r w:rsidR="003502AF" w:rsidRPr="000E6081">
        <w:rPr>
          <w:rFonts w:cs="Arial"/>
          <w:sz w:val="22"/>
        </w:rPr>
        <w:t>Trésor</w:t>
      </w:r>
      <w:r w:rsidR="00DB4B44" w:rsidRPr="000E6081">
        <w:rPr>
          <w:rFonts w:cs="Arial"/>
          <w:sz w:val="22"/>
        </w:rPr>
        <w:t> ;</w:t>
      </w:r>
      <w:r w:rsidR="009641F9" w:rsidRPr="000E6081">
        <w:rPr>
          <w:rFonts w:cs="Arial"/>
          <w:sz w:val="22"/>
        </w:rPr>
        <w:t xml:space="preserve"> que </w:t>
      </w:r>
      <w:r w:rsidR="008F7504" w:rsidRPr="000E6081">
        <w:rPr>
          <w:rFonts w:cs="Arial"/>
          <w:sz w:val="22"/>
        </w:rPr>
        <w:t xml:space="preserve">cette </w:t>
      </w:r>
      <w:r w:rsidR="009641F9" w:rsidRPr="000E6081">
        <w:rPr>
          <w:rFonts w:cs="Arial"/>
          <w:sz w:val="22"/>
        </w:rPr>
        <w:t>convention a été visée par le contrôle financier ;</w:t>
      </w:r>
      <w:r w:rsidR="00DB4B44" w:rsidRPr="000E6081">
        <w:rPr>
          <w:rFonts w:cs="Arial"/>
          <w:sz w:val="22"/>
        </w:rPr>
        <w:t xml:space="preserve"> </w:t>
      </w:r>
    </w:p>
    <w:p w:rsidR="00174245" w:rsidRPr="000E6081" w:rsidRDefault="00174245" w:rsidP="00DB4B44">
      <w:pPr>
        <w:spacing w:line="240" w:lineRule="auto"/>
        <w:jc w:val="both"/>
        <w:rPr>
          <w:rFonts w:cs="Arial"/>
          <w:sz w:val="22"/>
        </w:rPr>
      </w:pPr>
    </w:p>
    <w:p w:rsidR="009641F9" w:rsidRPr="00C15660" w:rsidRDefault="00174245" w:rsidP="009641F9">
      <w:pPr>
        <w:spacing w:line="240" w:lineRule="auto"/>
        <w:jc w:val="both"/>
        <w:rPr>
          <w:rFonts w:cs="Arial"/>
          <w:sz w:val="22"/>
        </w:rPr>
      </w:pPr>
      <w:r w:rsidRPr="000E6081">
        <w:rPr>
          <w:rFonts w:cs="Arial"/>
          <w:sz w:val="22"/>
        </w:rPr>
        <w:t>Attendu que l</w:t>
      </w:r>
      <w:r w:rsidR="0011428F" w:rsidRPr="000E6081">
        <w:rPr>
          <w:rFonts w:cs="Arial"/>
          <w:sz w:val="22"/>
        </w:rPr>
        <w:t xml:space="preserve">es modalités de souscription de l’Etat au </w:t>
      </w:r>
      <w:r w:rsidR="00DB4B44" w:rsidRPr="000E6081">
        <w:rPr>
          <w:rFonts w:cs="Arial"/>
          <w:sz w:val="22"/>
        </w:rPr>
        <w:t>FFT3</w:t>
      </w:r>
      <w:r w:rsidR="005B00BF" w:rsidRPr="000E6081">
        <w:rPr>
          <w:rFonts w:cs="Arial"/>
          <w:sz w:val="22"/>
        </w:rPr>
        <w:t xml:space="preserve"> </w:t>
      </w:r>
      <w:r w:rsidR="0011428F" w:rsidRPr="000E6081">
        <w:rPr>
          <w:rFonts w:cs="Arial"/>
          <w:sz w:val="22"/>
        </w:rPr>
        <w:t xml:space="preserve">ont </w:t>
      </w:r>
      <w:r w:rsidRPr="000E6081">
        <w:rPr>
          <w:rFonts w:cs="Arial"/>
          <w:sz w:val="22"/>
        </w:rPr>
        <w:t>été organisé</w:t>
      </w:r>
      <w:r w:rsidR="0011428F" w:rsidRPr="000E6081">
        <w:rPr>
          <w:rFonts w:cs="Arial"/>
          <w:sz w:val="22"/>
        </w:rPr>
        <w:t>es</w:t>
      </w:r>
      <w:r w:rsidRPr="000E6081">
        <w:rPr>
          <w:rFonts w:cs="Arial"/>
          <w:sz w:val="22"/>
        </w:rPr>
        <w:t xml:space="preserve"> </w:t>
      </w:r>
      <w:r w:rsidR="00DB4B44" w:rsidRPr="000E6081">
        <w:rPr>
          <w:rFonts w:cs="Arial"/>
          <w:sz w:val="22"/>
        </w:rPr>
        <w:t>par une décision du 12 octobre 2005 de M.</w:t>
      </w:r>
      <w:r w:rsidR="001A09C2" w:rsidRPr="000E6081">
        <w:rPr>
          <w:rFonts w:cs="Arial"/>
          <w:sz w:val="22"/>
        </w:rPr>
        <w:t> </w:t>
      </w:r>
      <w:r w:rsidR="000C64BE">
        <w:rPr>
          <w:rFonts w:cs="Arial"/>
          <w:sz w:val="22"/>
        </w:rPr>
        <w:t>F</w:t>
      </w:r>
      <w:r w:rsidR="00DB4B44" w:rsidRPr="000E6081">
        <w:rPr>
          <w:rFonts w:cs="Arial"/>
          <w:sz w:val="22"/>
        </w:rPr>
        <w:t xml:space="preserve">, ministre chargé des finances, </w:t>
      </w:r>
      <w:r w:rsidRPr="000E6081">
        <w:rPr>
          <w:rFonts w:cs="Arial"/>
          <w:sz w:val="22"/>
        </w:rPr>
        <w:t>qui prévoyait l’ouverture d’un compte d’attente ; qu</w:t>
      </w:r>
      <w:r w:rsidR="00DB4B44" w:rsidRPr="000E6081">
        <w:rPr>
          <w:rFonts w:cs="Arial"/>
          <w:sz w:val="22"/>
        </w:rPr>
        <w:t>’une convention d’ouvert</w:t>
      </w:r>
      <w:r w:rsidR="00E3305D" w:rsidRPr="000E6081">
        <w:rPr>
          <w:rFonts w:cs="Arial"/>
          <w:sz w:val="22"/>
        </w:rPr>
        <w:t xml:space="preserve">ure de compte d’attente </w:t>
      </w:r>
      <w:r w:rsidRPr="000E6081">
        <w:rPr>
          <w:rFonts w:cs="Arial"/>
          <w:sz w:val="22"/>
        </w:rPr>
        <w:t xml:space="preserve">a été </w:t>
      </w:r>
      <w:r w:rsidR="00E3305D" w:rsidRPr="000E6081">
        <w:rPr>
          <w:rFonts w:cs="Arial"/>
          <w:sz w:val="22"/>
        </w:rPr>
        <w:t xml:space="preserve">signée </w:t>
      </w:r>
      <w:r w:rsidR="00DB4B44" w:rsidRPr="000E6081">
        <w:rPr>
          <w:rFonts w:cs="Arial"/>
          <w:sz w:val="22"/>
        </w:rPr>
        <w:t xml:space="preserve">le 4 janvier 2006 </w:t>
      </w:r>
      <w:r w:rsidR="00E3305D" w:rsidRPr="000E6081">
        <w:rPr>
          <w:rFonts w:cs="Arial"/>
          <w:sz w:val="22"/>
        </w:rPr>
        <w:t>par M.</w:t>
      </w:r>
      <w:r w:rsidR="001A09C2" w:rsidRPr="000E6081">
        <w:rPr>
          <w:rFonts w:cs="Arial"/>
          <w:sz w:val="22"/>
        </w:rPr>
        <w:t> </w:t>
      </w:r>
      <w:r w:rsidR="000C64BE">
        <w:rPr>
          <w:rFonts w:cs="Arial"/>
          <w:sz w:val="22"/>
        </w:rPr>
        <w:t>A</w:t>
      </w:r>
      <w:r w:rsidR="0048539F" w:rsidRPr="000E6081">
        <w:rPr>
          <w:rFonts w:cs="Arial"/>
          <w:sz w:val="22"/>
        </w:rPr>
        <w:t>,</w:t>
      </w:r>
      <w:r w:rsidR="00E3305D" w:rsidRPr="000E6081">
        <w:rPr>
          <w:rFonts w:cs="Arial"/>
          <w:sz w:val="22"/>
        </w:rPr>
        <w:t xml:space="preserve"> en tant que directeur général du </w:t>
      </w:r>
      <w:r w:rsidR="003502AF" w:rsidRPr="000E6081">
        <w:rPr>
          <w:rFonts w:cs="Arial"/>
          <w:sz w:val="22"/>
        </w:rPr>
        <w:t>Trésor</w:t>
      </w:r>
      <w:r w:rsidR="00E3305D" w:rsidRPr="000E6081">
        <w:rPr>
          <w:rFonts w:cs="Arial"/>
          <w:sz w:val="22"/>
        </w:rPr>
        <w:t xml:space="preserve">, </w:t>
      </w:r>
      <w:r w:rsidRPr="000E6081">
        <w:rPr>
          <w:rFonts w:cs="Arial"/>
          <w:sz w:val="22"/>
        </w:rPr>
        <w:t xml:space="preserve">lequel a également signé </w:t>
      </w:r>
      <w:r w:rsidR="00DB4B44" w:rsidRPr="000E6081">
        <w:rPr>
          <w:rFonts w:cs="Arial"/>
          <w:sz w:val="22"/>
        </w:rPr>
        <w:t>un engagement de souscription de parts</w:t>
      </w:r>
      <w:r w:rsidR="005B00BF" w:rsidRPr="000E6081">
        <w:rPr>
          <w:rFonts w:cs="Arial"/>
          <w:sz w:val="22"/>
        </w:rPr>
        <w:t xml:space="preserve"> </w:t>
      </w:r>
      <w:r w:rsidR="008F7504" w:rsidRPr="000E6081">
        <w:rPr>
          <w:rFonts w:cs="Arial"/>
          <w:sz w:val="22"/>
        </w:rPr>
        <w:t>au FFT3</w:t>
      </w:r>
      <w:r w:rsidR="00C22E90">
        <w:rPr>
          <w:rFonts w:cs="Arial"/>
          <w:sz w:val="22"/>
        </w:rPr>
        <w:t> </w:t>
      </w:r>
      <w:r w:rsidR="00716890" w:rsidRPr="000E6081">
        <w:rPr>
          <w:rFonts w:cs="Arial"/>
          <w:sz w:val="22"/>
        </w:rPr>
        <w:t>;</w:t>
      </w:r>
      <w:r w:rsidR="009641F9" w:rsidRPr="000E6081">
        <w:rPr>
          <w:rFonts w:cs="Arial"/>
          <w:sz w:val="22"/>
        </w:rPr>
        <w:t xml:space="preserve"> que le visa du contrôle financier n’a pas été apposé sur la convention d’ouverture du compte d’attente</w:t>
      </w:r>
      <w:r w:rsidR="008F7504" w:rsidRPr="000E6081">
        <w:rPr>
          <w:rFonts w:cs="Arial"/>
          <w:sz w:val="22"/>
        </w:rPr>
        <w:t xml:space="preserve"> ; que </w:t>
      </w:r>
      <w:r w:rsidR="009641F9" w:rsidRPr="000E6081">
        <w:rPr>
          <w:rFonts w:cs="Arial"/>
          <w:sz w:val="22"/>
        </w:rPr>
        <w:t>la décision ministérielle précitée du 12 octobre 2005 prévoit que le chef du service du contrôle des dépenses engagées</w:t>
      </w:r>
      <w:r w:rsidR="00C22E90">
        <w:rPr>
          <w:rFonts w:cs="Arial"/>
          <w:sz w:val="22"/>
        </w:rPr>
        <w:t xml:space="preserve"> </w:t>
      </w:r>
      <w:r w:rsidR="009641F9" w:rsidRPr="000E6081">
        <w:rPr>
          <w:rFonts w:cs="Arial"/>
          <w:sz w:val="22"/>
        </w:rPr>
        <w:t>est notamment chargé de l’exécution de ladite décision ;</w:t>
      </w:r>
      <w:r w:rsidR="008F7504" w:rsidRPr="000E6081">
        <w:rPr>
          <w:rFonts w:cs="Arial"/>
          <w:sz w:val="22"/>
        </w:rPr>
        <w:t xml:space="preserve"> que la décision ministérielle précitée du 12 octobre 2005 mentionne parmi les personnes chargées de son exécution l’agent comptable central du Trésor ;</w:t>
      </w:r>
    </w:p>
    <w:p w:rsidR="008F7504" w:rsidRDefault="008F7504" w:rsidP="00DB4B44">
      <w:pPr>
        <w:spacing w:line="240" w:lineRule="auto"/>
        <w:jc w:val="both"/>
        <w:rPr>
          <w:rFonts w:cs="Arial"/>
          <w:sz w:val="22"/>
        </w:rPr>
      </w:pPr>
    </w:p>
    <w:p w:rsidR="00E3305D" w:rsidRPr="00DB4B44" w:rsidRDefault="00E3305D" w:rsidP="00DB4B44">
      <w:pPr>
        <w:spacing w:line="240" w:lineRule="auto"/>
        <w:jc w:val="both"/>
        <w:rPr>
          <w:rFonts w:cs="Arial"/>
          <w:sz w:val="22"/>
        </w:rPr>
      </w:pPr>
      <w:r w:rsidRPr="00C15660">
        <w:rPr>
          <w:rFonts w:cs="Arial"/>
          <w:sz w:val="22"/>
        </w:rPr>
        <w:t xml:space="preserve">Attendu que les opérations ont cessé </w:t>
      </w:r>
      <w:r w:rsidR="00373751" w:rsidRPr="00C15660">
        <w:rPr>
          <w:rFonts w:cs="Arial"/>
          <w:sz w:val="22"/>
        </w:rPr>
        <w:t xml:space="preserve">à la </w:t>
      </w:r>
      <w:r w:rsidRPr="00C15660">
        <w:rPr>
          <w:rFonts w:cs="Arial"/>
          <w:sz w:val="22"/>
        </w:rPr>
        <w:t xml:space="preserve">suite </w:t>
      </w:r>
      <w:r w:rsidR="00373751" w:rsidRPr="00C15660">
        <w:rPr>
          <w:rFonts w:cs="Arial"/>
          <w:sz w:val="22"/>
        </w:rPr>
        <w:t>d’</w:t>
      </w:r>
      <w:r w:rsidRPr="00C15660">
        <w:rPr>
          <w:rFonts w:cs="Arial"/>
          <w:sz w:val="22"/>
        </w:rPr>
        <w:t xml:space="preserve">une note adressée </w:t>
      </w:r>
      <w:r w:rsidR="00CB4644" w:rsidRPr="00C15660">
        <w:rPr>
          <w:rFonts w:cs="Arial"/>
          <w:sz w:val="22"/>
        </w:rPr>
        <w:t>au directeur général du</w:t>
      </w:r>
      <w:r w:rsidR="00D07C02">
        <w:rPr>
          <w:rFonts w:cs="Arial"/>
          <w:sz w:val="22"/>
        </w:rPr>
        <w:t xml:space="preserve"> </w:t>
      </w:r>
      <w:r w:rsidR="00CB4644" w:rsidRPr="00C15660">
        <w:rPr>
          <w:rFonts w:cs="Arial"/>
          <w:sz w:val="22"/>
        </w:rPr>
        <w:t xml:space="preserve">Trésor </w:t>
      </w:r>
      <w:r w:rsidRPr="00C15660">
        <w:rPr>
          <w:rFonts w:cs="Arial"/>
          <w:sz w:val="22"/>
        </w:rPr>
        <w:t xml:space="preserve">le 26 novembre 2009 par le contrôleur budgétaire et comptable ministériel, </w:t>
      </w:r>
      <w:r w:rsidRPr="000E6081">
        <w:rPr>
          <w:rFonts w:cs="Arial"/>
          <w:sz w:val="22"/>
        </w:rPr>
        <w:t>lequel a saisi, par lettre du 22 décembre 2009, le procureur général près la Cour des comptes</w:t>
      </w:r>
      <w:r w:rsidR="00D07C02">
        <w:rPr>
          <w:rFonts w:cs="Arial"/>
          <w:sz w:val="22"/>
        </w:rPr>
        <w:t> </w:t>
      </w:r>
      <w:r w:rsidRPr="000E6081">
        <w:rPr>
          <w:rFonts w:cs="Arial"/>
          <w:sz w:val="22"/>
        </w:rPr>
        <w:t>;</w:t>
      </w:r>
    </w:p>
    <w:p w:rsidR="00DB4B44" w:rsidRPr="00DB4B44" w:rsidRDefault="00DB4B44" w:rsidP="00DB4B44">
      <w:pPr>
        <w:spacing w:line="240" w:lineRule="auto"/>
        <w:jc w:val="both"/>
        <w:rPr>
          <w:rFonts w:cs="Arial"/>
          <w:sz w:val="22"/>
        </w:rPr>
      </w:pPr>
    </w:p>
    <w:p w:rsidR="00DB4B44" w:rsidRPr="00DB4B44" w:rsidRDefault="00DB4B44" w:rsidP="00DB4B44">
      <w:pPr>
        <w:spacing w:line="240" w:lineRule="auto"/>
        <w:jc w:val="both"/>
        <w:rPr>
          <w:rFonts w:cs="Arial"/>
          <w:b/>
          <w:i/>
          <w:sz w:val="22"/>
        </w:rPr>
      </w:pPr>
      <w:r w:rsidRPr="00DB4B44">
        <w:rPr>
          <w:rFonts w:cs="Arial"/>
          <w:b/>
          <w:i/>
          <w:sz w:val="22"/>
        </w:rPr>
        <w:t>Sur les éléments apportés à décharge et visant à contester l’existence d’une gestion de fait</w:t>
      </w:r>
    </w:p>
    <w:p w:rsidR="00DB4B44" w:rsidRPr="00DB4B44" w:rsidRDefault="00DB4B44" w:rsidP="00DB4B44">
      <w:pPr>
        <w:spacing w:line="240" w:lineRule="auto"/>
        <w:jc w:val="both"/>
        <w:rPr>
          <w:rFonts w:cs="Arial"/>
          <w:sz w:val="22"/>
        </w:rPr>
      </w:pPr>
    </w:p>
    <w:p w:rsidR="001A1061" w:rsidRPr="00C15660" w:rsidRDefault="00DB4B44" w:rsidP="00DB4B44">
      <w:pPr>
        <w:spacing w:line="240" w:lineRule="auto"/>
        <w:jc w:val="both"/>
        <w:rPr>
          <w:rFonts w:cs="Arial"/>
          <w:sz w:val="22"/>
        </w:rPr>
      </w:pPr>
      <w:r w:rsidRPr="00C15660">
        <w:rPr>
          <w:rFonts w:cs="Arial"/>
          <w:sz w:val="22"/>
        </w:rPr>
        <w:t xml:space="preserve">Attendu que </w:t>
      </w:r>
      <w:r w:rsidR="009D51FB" w:rsidRPr="00C15660">
        <w:rPr>
          <w:rFonts w:cs="Arial"/>
          <w:sz w:val="22"/>
        </w:rPr>
        <w:t xml:space="preserve">la défense fait </w:t>
      </w:r>
      <w:r w:rsidRPr="00C15660">
        <w:rPr>
          <w:rFonts w:cs="Arial"/>
          <w:sz w:val="22"/>
        </w:rPr>
        <w:t xml:space="preserve">valoir que les dispositifs litigieux </w:t>
      </w:r>
      <w:r w:rsidR="009D51FB" w:rsidRPr="00C15660">
        <w:rPr>
          <w:rFonts w:cs="Arial"/>
          <w:sz w:val="22"/>
        </w:rPr>
        <w:t>aura</w:t>
      </w:r>
      <w:r w:rsidRPr="00C15660">
        <w:rPr>
          <w:rFonts w:cs="Arial"/>
          <w:sz w:val="22"/>
        </w:rPr>
        <w:t xml:space="preserve">ient </w:t>
      </w:r>
      <w:r w:rsidR="0048539F" w:rsidRPr="00C15660">
        <w:rPr>
          <w:rFonts w:cs="Arial"/>
          <w:sz w:val="22"/>
        </w:rPr>
        <w:t xml:space="preserve">résulté de l’exécution </w:t>
      </w:r>
      <w:r w:rsidRPr="00C15660">
        <w:rPr>
          <w:rFonts w:cs="Arial"/>
          <w:sz w:val="22"/>
        </w:rPr>
        <w:t>de conventions de mandat</w:t>
      </w:r>
      <w:r w:rsidR="0048539F" w:rsidRPr="00C15660">
        <w:rPr>
          <w:rFonts w:cs="Arial"/>
          <w:sz w:val="22"/>
        </w:rPr>
        <w:t xml:space="preserve"> ; que celles-ci </w:t>
      </w:r>
      <w:r w:rsidRPr="00C15660">
        <w:rPr>
          <w:rFonts w:cs="Arial"/>
          <w:sz w:val="22"/>
        </w:rPr>
        <w:t xml:space="preserve">constituaient des titres </w:t>
      </w:r>
      <w:r w:rsidR="00716890" w:rsidRPr="00C15660">
        <w:rPr>
          <w:rFonts w:cs="Arial"/>
          <w:sz w:val="22"/>
        </w:rPr>
        <w:t xml:space="preserve">réguliers </w:t>
      </w:r>
      <w:r w:rsidR="0048539F" w:rsidRPr="00C15660">
        <w:rPr>
          <w:rFonts w:cs="Arial"/>
          <w:sz w:val="22"/>
        </w:rPr>
        <w:t xml:space="preserve">en vertu de </w:t>
      </w:r>
      <w:r w:rsidRPr="00C15660">
        <w:rPr>
          <w:rFonts w:cs="Arial"/>
          <w:sz w:val="22"/>
        </w:rPr>
        <w:lastRenderedPageBreak/>
        <w:t xml:space="preserve">plusieurs </w:t>
      </w:r>
      <w:r w:rsidR="00373751" w:rsidRPr="00C15660">
        <w:rPr>
          <w:rFonts w:cs="Arial"/>
          <w:sz w:val="22"/>
        </w:rPr>
        <w:t>arrêt</w:t>
      </w:r>
      <w:r w:rsidRPr="00C15660">
        <w:rPr>
          <w:rFonts w:cs="Arial"/>
          <w:sz w:val="22"/>
        </w:rPr>
        <w:t xml:space="preserve">s de la Cour ; </w:t>
      </w:r>
      <w:r w:rsidR="00E163E8" w:rsidRPr="00C15660">
        <w:rPr>
          <w:rFonts w:cs="Arial"/>
          <w:sz w:val="22"/>
        </w:rPr>
        <w:t>que les personnes mises en cause auraient en toute hypothèse</w:t>
      </w:r>
      <w:r w:rsidR="00445350" w:rsidRPr="00C15660">
        <w:rPr>
          <w:rFonts w:cs="Arial"/>
          <w:sz w:val="22"/>
        </w:rPr>
        <w:t>, tenu</w:t>
      </w:r>
      <w:r w:rsidR="00E163E8" w:rsidRPr="00C15660">
        <w:rPr>
          <w:rFonts w:cs="Arial"/>
          <w:sz w:val="22"/>
        </w:rPr>
        <w:t xml:space="preserve"> de bonne foi de telles conventions pour régulières ;</w:t>
      </w:r>
    </w:p>
    <w:p w:rsidR="001A1061" w:rsidRPr="00C15660" w:rsidRDefault="001A1061" w:rsidP="00DB4B44">
      <w:pPr>
        <w:spacing w:line="240" w:lineRule="auto"/>
        <w:jc w:val="both"/>
        <w:rPr>
          <w:rFonts w:cs="Arial"/>
          <w:sz w:val="22"/>
        </w:rPr>
      </w:pPr>
    </w:p>
    <w:p w:rsidR="00E163E8" w:rsidRDefault="001A1061" w:rsidP="00DB4B44">
      <w:pPr>
        <w:spacing w:line="240" w:lineRule="auto"/>
        <w:jc w:val="both"/>
        <w:rPr>
          <w:rFonts w:cs="Arial"/>
          <w:sz w:val="22"/>
        </w:rPr>
      </w:pPr>
      <w:r w:rsidRPr="00C15660">
        <w:rPr>
          <w:rFonts w:cs="Arial"/>
          <w:sz w:val="22"/>
        </w:rPr>
        <w:t xml:space="preserve">Attendu que, selon la défense, </w:t>
      </w:r>
      <w:r w:rsidR="00D31603" w:rsidRPr="00C15660">
        <w:rPr>
          <w:rFonts w:cs="Arial"/>
          <w:sz w:val="22"/>
        </w:rPr>
        <w:t xml:space="preserve">cette </w:t>
      </w:r>
      <w:r w:rsidR="003440D6" w:rsidRPr="00C15660">
        <w:rPr>
          <w:rFonts w:cs="Arial"/>
          <w:sz w:val="22"/>
        </w:rPr>
        <w:t xml:space="preserve">jurisprudence </w:t>
      </w:r>
      <w:r w:rsidR="00D31603" w:rsidRPr="00C15660">
        <w:rPr>
          <w:rFonts w:cs="Arial"/>
          <w:sz w:val="22"/>
        </w:rPr>
        <w:t xml:space="preserve">de la Cour </w:t>
      </w:r>
      <w:r w:rsidR="00DB4B44" w:rsidRPr="00C15660">
        <w:rPr>
          <w:rFonts w:cs="Arial"/>
          <w:sz w:val="22"/>
        </w:rPr>
        <w:t>a</w:t>
      </w:r>
      <w:r w:rsidR="009D51FB" w:rsidRPr="00C15660">
        <w:rPr>
          <w:rFonts w:cs="Arial"/>
          <w:sz w:val="22"/>
        </w:rPr>
        <w:t>urait</w:t>
      </w:r>
      <w:r w:rsidR="00DB4B44" w:rsidRPr="00C15660">
        <w:rPr>
          <w:rFonts w:cs="Arial"/>
          <w:sz w:val="22"/>
        </w:rPr>
        <w:t xml:space="preserve"> été remise en cause par l’avis du Conseil d’Etat n° 373788 du 13 février 2007, puis la décision n°</w:t>
      </w:r>
      <w:r w:rsidR="00C42837" w:rsidRPr="00C15660">
        <w:rPr>
          <w:rFonts w:cs="Arial"/>
          <w:sz w:val="22"/>
        </w:rPr>
        <w:t> </w:t>
      </w:r>
      <w:r w:rsidR="00DB4B44" w:rsidRPr="00C15660">
        <w:rPr>
          <w:rFonts w:cs="Arial"/>
          <w:sz w:val="22"/>
        </w:rPr>
        <w:t>297877 du 6</w:t>
      </w:r>
      <w:r w:rsidR="00D07C02">
        <w:rPr>
          <w:rFonts w:cs="Arial"/>
          <w:sz w:val="22"/>
        </w:rPr>
        <w:t xml:space="preserve"> </w:t>
      </w:r>
      <w:r w:rsidR="00DB4B44" w:rsidRPr="00C15660">
        <w:rPr>
          <w:rFonts w:cs="Arial"/>
          <w:sz w:val="22"/>
        </w:rPr>
        <w:t>novembre</w:t>
      </w:r>
      <w:r w:rsidR="00D07C02">
        <w:rPr>
          <w:rFonts w:cs="Arial"/>
          <w:sz w:val="22"/>
        </w:rPr>
        <w:t xml:space="preserve"> </w:t>
      </w:r>
      <w:r w:rsidR="00DB4B44" w:rsidRPr="00C15660">
        <w:rPr>
          <w:rFonts w:cs="Arial"/>
          <w:sz w:val="22"/>
        </w:rPr>
        <w:t>2009 du même Conseil d’</w:t>
      </w:r>
      <w:r w:rsidR="00D07C02">
        <w:rPr>
          <w:rFonts w:cs="Arial"/>
          <w:sz w:val="22"/>
        </w:rPr>
        <w:t xml:space="preserve">État </w:t>
      </w:r>
      <w:r w:rsidR="00D31603" w:rsidRPr="00C15660">
        <w:rPr>
          <w:rFonts w:cs="Arial"/>
          <w:sz w:val="22"/>
        </w:rPr>
        <w:t>exigeant que de telles conventions repose</w:t>
      </w:r>
      <w:r w:rsidR="00D31603" w:rsidRPr="000E6081">
        <w:rPr>
          <w:rFonts w:cs="Arial"/>
          <w:sz w:val="22"/>
        </w:rPr>
        <w:t>nt sur une base législative</w:t>
      </w:r>
      <w:r w:rsidR="00D07C02">
        <w:rPr>
          <w:rFonts w:cs="Arial"/>
          <w:sz w:val="22"/>
        </w:rPr>
        <w:t> ;</w:t>
      </w:r>
      <w:r w:rsidR="00DB4B44" w:rsidRPr="000E6081">
        <w:rPr>
          <w:rFonts w:cs="Arial"/>
          <w:sz w:val="22"/>
        </w:rPr>
        <w:t xml:space="preserve"> </w:t>
      </w:r>
      <w:r w:rsidR="003440D6" w:rsidRPr="000E6081">
        <w:rPr>
          <w:rFonts w:cs="Arial"/>
          <w:sz w:val="22"/>
        </w:rPr>
        <w:t xml:space="preserve">que le </w:t>
      </w:r>
      <w:r w:rsidR="00DB4B44" w:rsidRPr="000E6081">
        <w:rPr>
          <w:rFonts w:cs="Arial"/>
          <w:sz w:val="22"/>
        </w:rPr>
        <w:t xml:space="preserve">principe de sécurité juridique </w:t>
      </w:r>
      <w:r w:rsidR="00D466FF" w:rsidRPr="000E6081">
        <w:rPr>
          <w:rFonts w:cs="Arial"/>
          <w:sz w:val="22"/>
        </w:rPr>
        <w:t xml:space="preserve">conduirait à se référer à la </w:t>
      </w:r>
      <w:r w:rsidR="00DB4B44" w:rsidRPr="000E6081">
        <w:rPr>
          <w:rFonts w:cs="Arial"/>
          <w:sz w:val="22"/>
        </w:rPr>
        <w:t xml:space="preserve">jurisprudence </w:t>
      </w:r>
      <w:r w:rsidR="003440D6" w:rsidRPr="000E6081">
        <w:rPr>
          <w:rFonts w:cs="Arial"/>
          <w:sz w:val="22"/>
        </w:rPr>
        <w:t>an</w:t>
      </w:r>
      <w:r w:rsidR="00133268" w:rsidRPr="000E6081">
        <w:rPr>
          <w:rFonts w:cs="Arial"/>
          <w:sz w:val="22"/>
        </w:rPr>
        <w:t xml:space="preserve">térieure </w:t>
      </w:r>
      <w:r w:rsidR="003D3424" w:rsidRPr="000E6081">
        <w:rPr>
          <w:rFonts w:cs="Arial"/>
          <w:sz w:val="22"/>
        </w:rPr>
        <w:t>de la Cour</w:t>
      </w:r>
      <w:r w:rsidR="00DB4B44" w:rsidRPr="000E6081">
        <w:rPr>
          <w:rFonts w:cs="Arial"/>
          <w:sz w:val="22"/>
        </w:rPr>
        <w:t xml:space="preserve">, le dispositif ayant été organisé </w:t>
      </w:r>
      <w:r w:rsidR="003D3424" w:rsidRPr="000E6081">
        <w:rPr>
          <w:rFonts w:cs="Arial"/>
          <w:sz w:val="22"/>
        </w:rPr>
        <w:t xml:space="preserve">avant que le Conseil d’Etat ne rende </w:t>
      </w:r>
      <w:r w:rsidR="003440D6" w:rsidRPr="000E6081">
        <w:rPr>
          <w:rFonts w:cs="Arial"/>
          <w:sz w:val="22"/>
        </w:rPr>
        <w:t>l’</w:t>
      </w:r>
      <w:r w:rsidR="00DB4B44" w:rsidRPr="000E6081">
        <w:rPr>
          <w:rFonts w:cs="Arial"/>
          <w:sz w:val="22"/>
        </w:rPr>
        <w:t xml:space="preserve">avis et </w:t>
      </w:r>
      <w:r w:rsidR="003D3424" w:rsidRPr="000E6081">
        <w:rPr>
          <w:rFonts w:cs="Arial"/>
          <w:sz w:val="22"/>
        </w:rPr>
        <w:t xml:space="preserve">la décision </w:t>
      </w:r>
      <w:r w:rsidR="00DB4B44" w:rsidRPr="000E6081">
        <w:rPr>
          <w:rFonts w:cs="Arial"/>
          <w:sz w:val="22"/>
        </w:rPr>
        <w:t>précités</w:t>
      </w:r>
      <w:r w:rsidR="003440D6" w:rsidRPr="000E6081">
        <w:rPr>
          <w:rFonts w:cs="Arial"/>
          <w:sz w:val="22"/>
        </w:rPr>
        <w:t xml:space="preserve"> ; que le respect de la </w:t>
      </w:r>
      <w:r w:rsidR="00585F54" w:rsidRPr="000E6081">
        <w:rPr>
          <w:rFonts w:cs="Arial"/>
          <w:sz w:val="22"/>
        </w:rPr>
        <w:t xml:space="preserve">non-rétroactivité des </w:t>
      </w:r>
      <w:r w:rsidR="00133268" w:rsidRPr="000E6081">
        <w:rPr>
          <w:rFonts w:cs="Arial"/>
          <w:sz w:val="22"/>
        </w:rPr>
        <w:t>sanction</w:t>
      </w:r>
      <w:r w:rsidR="00585F54" w:rsidRPr="000E6081">
        <w:rPr>
          <w:rFonts w:cs="Arial"/>
          <w:sz w:val="22"/>
        </w:rPr>
        <w:t>s</w:t>
      </w:r>
      <w:r w:rsidR="00D07C02">
        <w:rPr>
          <w:rFonts w:cs="Arial"/>
          <w:sz w:val="22"/>
        </w:rPr>
        <w:t xml:space="preserve"> </w:t>
      </w:r>
      <w:r w:rsidR="003440D6" w:rsidRPr="000E6081">
        <w:rPr>
          <w:rFonts w:cs="Arial"/>
          <w:sz w:val="22"/>
        </w:rPr>
        <w:t xml:space="preserve">imposerait </w:t>
      </w:r>
      <w:r w:rsidR="00B50E34" w:rsidRPr="000E6081">
        <w:rPr>
          <w:rFonts w:cs="Arial"/>
          <w:sz w:val="22"/>
        </w:rPr>
        <w:t>d’appliquer</w:t>
      </w:r>
      <w:r w:rsidR="005B00BF" w:rsidRPr="000E6081">
        <w:rPr>
          <w:rFonts w:cs="Arial"/>
          <w:sz w:val="22"/>
        </w:rPr>
        <w:t xml:space="preserve"> </w:t>
      </w:r>
      <w:r w:rsidR="00B50E34" w:rsidRPr="000E6081">
        <w:rPr>
          <w:rFonts w:cs="Arial"/>
          <w:sz w:val="22"/>
        </w:rPr>
        <w:t xml:space="preserve">la </w:t>
      </w:r>
      <w:r w:rsidR="005B00BF" w:rsidRPr="000E6081">
        <w:rPr>
          <w:rFonts w:cs="Arial"/>
          <w:sz w:val="22"/>
        </w:rPr>
        <w:t xml:space="preserve">règle </w:t>
      </w:r>
      <w:r w:rsidR="00B50E34" w:rsidRPr="000E6081">
        <w:rPr>
          <w:rFonts w:cs="Arial"/>
          <w:sz w:val="22"/>
        </w:rPr>
        <w:t>la plus douce ;</w:t>
      </w:r>
    </w:p>
    <w:p w:rsidR="00E163E8" w:rsidRDefault="00E163E8" w:rsidP="00DB4B44">
      <w:pPr>
        <w:spacing w:line="240" w:lineRule="auto"/>
        <w:jc w:val="both"/>
        <w:rPr>
          <w:rFonts w:cs="Arial"/>
          <w:sz w:val="22"/>
        </w:rPr>
      </w:pPr>
    </w:p>
    <w:p w:rsidR="009D51FB" w:rsidRDefault="00E163E8" w:rsidP="00DB4B44">
      <w:pPr>
        <w:spacing w:line="240" w:lineRule="auto"/>
        <w:jc w:val="both"/>
        <w:rPr>
          <w:rFonts w:cs="Arial"/>
          <w:sz w:val="22"/>
        </w:rPr>
      </w:pPr>
      <w:r>
        <w:rPr>
          <w:rFonts w:cs="Arial"/>
          <w:sz w:val="22"/>
        </w:rPr>
        <w:t xml:space="preserve">Attendu qu’il est également soutenu </w:t>
      </w:r>
      <w:r w:rsidR="009D51FB">
        <w:rPr>
          <w:rFonts w:cs="Arial"/>
          <w:sz w:val="22"/>
        </w:rPr>
        <w:t xml:space="preserve">que, </w:t>
      </w:r>
      <w:r w:rsidR="009D51FB" w:rsidRPr="00DB4B44">
        <w:rPr>
          <w:rFonts w:cs="Arial"/>
          <w:sz w:val="22"/>
        </w:rPr>
        <w:t>s’il n’avait été mis fin aux conventions litigieuses, celles-ci, du fait de l’article</w:t>
      </w:r>
      <w:r w:rsidR="00D07C02">
        <w:rPr>
          <w:rFonts w:cs="Arial"/>
          <w:sz w:val="22"/>
        </w:rPr>
        <w:t xml:space="preserve"> </w:t>
      </w:r>
      <w:r w:rsidR="009D51FB" w:rsidRPr="00DB4B44">
        <w:rPr>
          <w:rFonts w:cs="Arial"/>
          <w:sz w:val="22"/>
        </w:rPr>
        <w:t xml:space="preserve">40 de la loi du 24 décembre 2014 susvisée, </w:t>
      </w:r>
      <w:r w:rsidR="009D51FB">
        <w:rPr>
          <w:rFonts w:cs="Arial"/>
          <w:sz w:val="22"/>
        </w:rPr>
        <w:t>aurai</w:t>
      </w:r>
      <w:r>
        <w:rPr>
          <w:rFonts w:cs="Arial"/>
          <w:sz w:val="22"/>
        </w:rPr>
        <w:t>en</w:t>
      </w:r>
      <w:r w:rsidR="009D51FB">
        <w:rPr>
          <w:rFonts w:cs="Arial"/>
          <w:sz w:val="22"/>
        </w:rPr>
        <w:t xml:space="preserve">t constitué </w:t>
      </w:r>
      <w:r w:rsidR="009D51FB" w:rsidRPr="00DB4B44">
        <w:rPr>
          <w:rFonts w:cs="Arial"/>
          <w:sz w:val="22"/>
        </w:rPr>
        <w:t>des titres légaux permettant de manier des deniers publics</w:t>
      </w:r>
      <w:r w:rsidR="009D51FB">
        <w:rPr>
          <w:rFonts w:cs="Arial"/>
          <w:sz w:val="22"/>
        </w:rPr>
        <w:t> ;</w:t>
      </w:r>
    </w:p>
    <w:p w:rsidR="00C15660" w:rsidRDefault="00C15660" w:rsidP="00DB4B44">
      <w:pPr>
        <w:spacing w:line="240" w:lineRule="auto"/>
        <w:jc w:val="both"/>
        <w:rPr>
          <w:rFonts w:cs="Arial"/>
          <w:sz w:val="22"/>
        </w:rPr>
      </w:pPr>
    </w:p>
    <w:p w:rsidR="00C15660" w:rsidRPr="00C15660" w:rsidRDefault="00C15660" w:rsidP="00DB4B44">
      <w:pPr>
        <w:spacing w:line="240" w:lineRule="auto"/>
        <w:jc w:val="both"/>
        <w:rPr>
          <w:rFonts w:cs="Arial"/>
          <w:sz w:val="22"/>
        </w:rPr>
      </w:pPr>
      <w:r w:rsidRPr="005B00BF">
        <w:rPr>
          <w:rFonts w:cs="Arial"/>
          <w:sz w:val="22"/>
        </w:rPr>
        <w:t xml:space="preserve">Attendu que la défense a </w:t>
      </w:r>
      <w:r w:rsidR="00D466FF" w:rsidRPr="005B00BF">
        <w:rPr>
          <w:rFonts w:cs="Arial"/>
          <w:sz w:val="22"/>
        </w:rPr>
        <w:t xml:space="preserve">fait valoir, </w:t>
      </w:r>
      <w:r w:rsidRPr="005B00BF">
        <w:rPr>
          <w:rFonts w:cs="Arial"/>
          <w:sz w:val="22"/>
        </w:rPr>
        <w:t>à l’audience</w:t>
      </w:r>
      <w:r w:rsidR="00D466FF" w:rsidRPr="005B00BF">
        <w:rPr>
          <w:rFonts w:cs="Arial"/>
          <w:sz w:val="22"/>
        </w:rPr>
        <w:t>,</w:t>
      </w:r>
      <w:r w:rsidRPr="005B00BF">
        <w:rPr>
          <w:rFonts w:cs="Arial"/>
          <w:sz w:val="22"/>
        </w:rPr>
        <w:t xml:space="preserve"> la compatibilité des opérations avec l</w:t>
      </w:r>
      <w:r w:rsidR="00244112" w:rsidRPr="005B00BF">
        <w:rPr>
          <w:rFonts w:cs="Arial"/>
          <w:sz w:val="22"/>
        </w:rPr>
        <w:t>’</w:t>
      </w:r>
      <w:r w:rsidRPr="005B00BF">
        <w:rPr>
          <w:rFonts w:cs="Arial"/>
          <w:sz w:val="22"/>
        </w:rPr>
        <w:t>article</w:t>
      </w:r>
      <w:r w:rsidR="00D07C02">
        <w:rPr>
          <w:rFonts w:cs="Arial"/>
          <w:sz w:val="22"/>
        </w:rPr>
        <w:t xml:space="preserve"> </w:t>
      </w:r>
      <w:r w:rsidRPr="005B00BF">
        <w:rPr>
          <w:rFonts w:cs="Arial"/>
          <w:bCs/>
          <w:sz w:val="22"/>
        </w:rPr>
        <w:t>L.</w:t>
      </w:r>
      <w:r w:rsidR="00244112" w:rsidRPr="005B00BF">
        <w:rPr>
          <w:rFonts w:cs="Arial"/>
          <w:bCs/>
          <w:sz w:val="22"/>
        </w:rPr>
        <w:t> </w:t>
      </w:r>
      <w:r w:rsidRPr="005B00BF">
        <w:rPr>
          <w:rFonts w:cs="Arial"/>
          <w:bCs/>
          <w:sz w:val="22"/>
        </w:rPr>
        <w:t>518-2 du code monétaire et financier</w:t>
      </w:r>
      <w:r w:rsidR="000E6081">
        <w:rPr>
          <w:rFonts w:cs="Arial"/>
          <w:bCs/>
          <w:sz w:val="22"/>
        </w:rPr>
        <w:t>, relatif aux missions de la Caisse des dépôts et consignations</w:t>
      </w:r>
      <w:r w:rsidRPr="005B00BF">
        <w:rPr>
          <w:rFonts w:cs="Arial"/>
          <w:bCs/>
          <w:sz w:val="22"/>
        </w:rPr>
        <w:t> ;</w:t>
      </w:r>
    </w:p>
    <w:p w:rsidR="009D51FB" w:rsidRPr="00C15660" w:rsidRDefault="009D51FB" w:rsidP="00DB4B44">
      <w:pPr>
        <w:spacing w:line="240" w:lineRule="auto"/>
        <w:jc w:val="both"/>
        <w:rPr>
          <w:rFonts w:cs="Arial"/>
          <w:sz w:val="22"/>
        </w:rPr>
      </w:pPr>
    </w:p>
    <w:p w:rsidR="009D51FB" w:rsidRDefault="009D51FB" w:rsidP="00DB4B44">
      <w:pPr>
        <w:spacing w:line="240" w:lineRule="auto"/>
        <w:jc w:val="both"/>
        <w:rPr>
          <w:rFonts w:cs="Arial"/>
          <w:b/>
          <w:i/>
          <w:sz w:val="22"/>
        </w:rPr>
      </w:pPr>
    </w:p>
    <w:p w:rsidR="00DB4B44" w:rsidRPr="00DB4B44" w:rsidRDefault="00DB4B44" w:rsidP="00DB4B44">
      <w:pPr>
        <w:spacing w:line="240" w:lineRule="auto"/>
        <w:jc w:val="both"/>
        <w:rPr>
          <w:rFonts w:cs="Arial"/>
          <w:b/>
          <w:i/>
          <w:sz w:val="22"/>
        </w:rPr>
      </w:pPr>
      <w:r w:rsidRPr="00DB4B44">
        <w:rPr>
          <w:rFonts w:cs="Arial"/>
          <w:b/>
          <w:i/>
          <w:sz w:val="22"/>
        </w:rPr>
        <w:t>Sur la qualification juridique des faits</w:t>
      </w:r>
    </w:p>
    <w:p w:rsidR="00DB4B44" w:rsidRPr="00DB4B44" w:rsidRDefault="00DB4B44" w:rsidP="00DB4B44">
      <w:pPr>
        <w:spacing w:line="240" w:lineRule="auto"/>
        <w:jc w:val="both"/>
        <w:rPr>
          <w:rFonts w:cs="Arial"/>
          <w:sz w:val="22"/>
        </w:rPr>
      </w:pPr>
    </w:p>
    <w:p w:rsidR="00DB4B44" w:rsidRDefault="00DB4B44" w:rsidP="00DB4B44">
      <w:pPr>
        <w:spacing w:line="240" w:lineRule="auto"/>
        <w:jc w:val="both"/>
        <w:rPr>
          <w:rFonts w:cs="Arial"/>
          <w:sz w:val="22"/>
        </w:rPr>
      </w:pPr>
      <w:r w:rsidRPr="00DB4B44">
        <w:rPr>
          <w:rFonts w:cs="Arial"/>
          <w:sz w:val="22"/>
        </w:rPr>
        <w:t>Attendu que l</w:t>
      </w:r>
      <w:r w:rsidR="009D51FB">
        <w:rPr>
          <w:rFonts w:cs="Arial"/>
          <w:sz w:val="22"/>
        </w:rPr>
        <w:t xml:space="preserve">a </w:t>
      </w:r>
      <w:r w:rsidR="007837FE">
        <w:rPr>
          <w:rFonts w:cs="Arial"/>
          <w:sz w:val="22"/>
        </w:rPr>
        <w:t xml:space="preserve">matérialité </w:t>
      </w:r>
      <w:r w:rsidR="009D51FB">
        <w:rPr>
          <w:rFonts w:cs="Arial"/>
          <w:sz w:val="22"/>
        </w:rPr>
        <w:t>d</w:t>
      </w:r>
      <w:r w:rsidRPr="00DB4B44">
        <w:rPr>
          <w:rFonts w:cs="Arial"/>
          <w:sz w:val="22"/>
        </w:rPr>
        <w:t>es faits n</w:t>
      </w:r>
      <w:r w:rsidR="009D51FB">
        <w:rPr>
          <w:rFonts w:cs="Arial"/>
          <w:sz w:val="22"/>
        </w:rPr>
        <w:t xml:space="preserve">’est pas </w:t>
      </w:r>
      <w:r w:rsidRPr="00DB4B44">
        <w:rPr>
          <w:rFonts w:cs="Arial"/>
          <w:sz w:val="22"/>
        </w:rPr>
        <w:t>contesté</w:t>
      </w:r>
      <w:r w:rsidR="009D51FB">
        <w:rPr>
          <w:rFonts w:cs="Arial"/>
          <w:sz w:val="22"/>
        </w:rPr>
        <w:t>e</w:t>
      </w:r>
      <w:r w:rsidRPr="00DB4B44">
        <w:rPr>
          <w:rFonts w:cs="Arial"/>
          <w:sz w:val="22"/>
        </w:rPr>
        <w:t> ;</w:t>
      </w:r>
    </w:p>
    <w:p w:rsidR="00E163E8" w:rsidRDefault="00E163E8" w:rsidP="00DB4B44">
      <w:pPr>
        <w:spacing w:line="240" w:lineRule="auto"/>
        <w:jc w:val="both"/>
        <w:rPr>
          <w:rFonts w:cs="Arial"/>
          <w:sz w:val="22"/>
        </w:rPr>
      </w:pPr>
    </w:p>
    <w:p w:rsidR="0030375A" w:rsidRPr="000E6081" w:rsidRDefault="00DB4B44" w:rsidP="00DB4B44">
      <w:pPr>
        <w:spacing w:line="240" w:lineRule="auto"/>
        <w:jc w:val="both"/>
        <w:rPr>
          <w:rFonts w:cs="Arial"/>
          <w:sz w:val="22"/>
        </w:rPr>
      </w:pPr>
      <w:r w:rsidRPr="000E6081">
        <w:rPr>
          <w:rFonts w:cs="Arial"/>
          <w:sz w:val="22"/>
        </w:rPr>
        <w:t xml:space="preserve">Attendu qu’il ressort </w:t>
      </w:r>
      <w:r w:rsidR="00373751" w:rsidRPr="000E6081">
        <w:rPr>
          <w:rFonts w:cs="Arial"/>
          <w:sz w:val="22"/>
        </w:rPr>
        <w:t xml:space="preserve">de la jurisprudence de la Cour </w:t>
      </w:r>
      <w:r w:rsidR="0030375A" w:rsidRPr="000E6081">
        <w:rPr>
          <w:rFonts w:cs="Arial"/>
          <w:sz w:val="22"/>
        </w:rPr>
        <w:t>à l’époque des faits</w:t>
      </w:r>
      <w:r w:rsidR="00716890" w:rsidRPr="000E6081">
        <w:rPr>
          <w:rFonts w:cs="Arial"/>
          <w:sz w:val="22"/>
        </w:rPr>
        <w:t>, invoquée à décharge par la défense,</w:t>
      </w:r>
      <w:r w:rsidR="0030375A" w:rsidRPr="000E6081">
        <w:rPr>
          <w:rFonts w:cs="Arial"/>
          <w:sz w:val="22"/>
        </w:rPr>
        <w:t xml:space="preserve"> </w:t>
      </w:r>
      <w:r w:rsidR="00373751" w:rsidRPr="000E6081">
        <w:rPr>
          <w:rFonts w:cs="Arial"/>
          <w:sz w:val="22"/>
        </w:rPr>
        <w:t>que si une convention était nécessaire pour donner une base juridique</w:t>
      </w:r>
      <w:r w:rsidR="0030375A" w:rsidRPr="000E6081">
        <w:rPr>
          <w:rFonts w:cs="Arial"/>
          <w:sz w:val="22"/>
        </w:rPr>
        <w:t xml:space="preserve"> à des pratiques de maniement </w:t>
      </w:r>
      <w:r w:rsidR="00716890" w:rsidRPr="000E6081">
        <w:rPr>
          <w:rFonts w:cs="Arial"/>
          <w:sz w:val="22"/>
        </w:rPr>
        <w:t xml:space="preserve">et de détention </w:t>
      </w:r>
      <w:r w:rsidR="0030375A" w:rsidRPr="000E6081">
        <w:rPr>
          <w:rFonts w:cs="Arial"/>
          <w:sz w:val="22"/>
        </w:rPr>
        <w:t xml:space="preserve">de deniers </w:t>
      </w:r>
      <w:r w:rsidR="00716890" w:rsidRPr="000E6081">
        <w:rPr>
          <w:rFonts w:cs="Arial"/>
          <w:sz w:val="22"/>
        </w:rPr>
        <w:t xml:space="preserve">de l’Etat </w:t>
      </w:r>
      <w:r w:rsidR="0030375A" w:rsidRPr="000E6081">
        <w:rPr>
          <w:rFonts w:cs="Arial"/>
          <w:sz w:val="22"/>
        </w:rPr>
        <w:t xml:space="preserve">par des tiers, elle ne constituait pas </w:t>
      </w:r>
      <w:r w:rsidR="005B00BF" w:rsidRPr="000E6081">
        <w:rPr>
          <w:rFonts w:cs="Arial"/>
          <w:sz w:val="22"/>
        </w:rPr>
        <w:t xml:space="preserve">en elle-même </w:t>
      </w:r>
      <w:r w:rsidR="0030375A" w:rsidRPr="000E6081">
        <w:rPr>
          <w:rFonts w:cs="Arial"/>
          <w:sz w:val="22"/>
        </w:rPr>
        <w:t>une condition suffisante</w:t>
      </w:r>
      <w:r w:rsidR="00D07C02">
        <w:rPr>
          <w:rFonts w:cs="Arial"/>
          <w:sz w:val="22"/>
        </w:rPr>
        <w:t> </w:t>
      </w:r>
      <w:r w:rsidR="0030375A" w:rsidRPr="000E6081">
        <w:rPr>
          <w:rFonts w:cs="Arial"/>
          <w:sz w:val="22"/>
        </w:rPr>
        <w:t xml:space="preserve">; </w:t>
      </w:r>
      <w:r w:rsidRPr="000E6081">
        <w:rPr>
          <w:rFonts w:cs="Arial"/>
          <w:sz w:val="22"/>
        </w:rPr>
        <w:t>qu’en particulier</w:t>
      </w:r>
      <w:r w:rsidR="00580985" w:rsidRPr="000E6081">
        <w:rPr>
          <w:rFonts w:cs="Arial"/>
          <w:sz w:val="22"/>
        </w:rPr>
        <w:t xml:space="preserve">, </w:t>
      </w:r>
      <w:r w:rsidR="005B00BF" w:rsidRPr="000E6081">
        <w:rPr>
          <w:rFonts w:cs="Arial"/>
          <w:sz w:val="22"/>
        </w:rPr>
        <w:t xml:space="preserve">pour échapper à la qualification de gestion de fait, le dispositif devait laisser </w:t>
      </w:r>
      <w:r w:rsidRPr="000E6081">
        <w:rPr>
          <w:rFonts w:cs="Arial"/>
          <w:sz w:val="22"/>
        </w:rPr>
        <w:t xml:space="preserve">une marge de manœuvre </w:t>
      </w:r>
      <w:r w:rsidR="005B00BF" w:rsidRPr="000E6081">
        <w:rPr>
          <w:rFonts w:cs="Arial"/>
          <w:sz w:val="22"/>
        </w:rPr>
        <w:t xml:space="preserve">décisionnaire </w:t>
      </w:r>
      <w:r w:rsidRPr="000E6081">
        <w:rPr>
          <w:rFonts w:cs="Arial"/>
          <w:sz w:val="22"/>
        </w:rPr>
        <w:t xml:space="preserve">au </w:t>
      </w:r>
      <w:r w:rsidR="00221014" w:rsidRPr="000E6081">
        <w:rPr>
          <w:rFonts w:cs="Arial"/>
          <w:sz w:val="22"/>
        </w:rPr>
        <w:t>co</w:t>
      </w:r>
      <w:r w:rsidRPr="000E6081">
        <w:rPr>
          <w:rFonts w:cs="Arial"/>
          <w:sz w:val="22"/>
        </w:rPr>
        <w:t>contractant ;</w:t>
      </w:r>
    </w:p>
    <w:p w:rsidR="0030375A" w:rsidRPr="000E6081" w:rsidRDefault="0030375A" w:rsidP="00DB4B44">
      <w:pPr>
        <w:spacing w:line="240" w:lineRule="auto"/>
        <w:jc w:val="both"/>
        <w:rPr>
          <w:rFonts w:cs="Arial"/>
          <w:sz w:val="22"/>
        </w:rPr>
      </w:pPr>
    </w:p>
    <w:p w:rsidR="005B00BF" w:rsidRPr="00C15660" w:rsidRDefault="005B00BF" w:rsidP="005B00BF">
      <w:pPr>
        <w:spacing w:line="240" w:lineRule="auto"/>
        <w:jc w:val="both"/>
        <w:rPr>
          <w:rFonts w:cs="Arial"/>
          <w:sz w:val="22"/>
        </w:rPr>
      </w:pPr>
      <w:r w:rsidRPr="000E6081">
        <w:rPr>
          <w:rFonts w:cs="Arial"/>
          <w:sz w:val="22"/>
        </w:rPr>
        <w:t>Attendu que tel n’est pas le cas en l’espèce, dans la mesure où le dispositif ne laissait aucune autonomie d’exécution à la Caisse des dépôts et consignations, laquelle, pour la plupart des opérations mouvementant les comptes d’attente et les comptes-titres associés, soit appliquait les instructions spécifiques de la direction du Trésor, soit recueillait son accord</w:t>
      </w:r>
      <w:r w:rsidRPr="00C15660">
        <w:rPr>
          <w:rFonts w:cs="Arial"/>
          <w:sz w:val="22"/>
        </w:rPr>
        <w:t xml:space="preserve"> exprès</w:t>
      </w:r>
      <w:r w:rsidR="00D07C02">
        <w:rPr>
          <w:rFonts w:cs="Arial"/>
          <w:sz w:val="22"/>
        </w:rPr>
        <w:t> </w:t>
      </w:r>
      <w:r w:rsidRPr="00C15660">
        <w:rPr>
          <w:rFonts w:cs="Arial"/>
          <w:sz w:val="22"/>
        </w:rPr>
        <w:t>;</w:t>
      </w:r>
    </w:p>
    <w:p w:rsidR="005B00BF" w:rsidRDefault="005B00BF" w:rsidP="00DB4B44">
      <w:pPr>
        <w:spacing w:line="240" w:lineRule="auto"/>
        <w:jc w:val="both"/>
        <w:rPr>
          <w:rFonts w:cs="Arial"/>
          <w:sz w:val="22"/>
        </w:rPr>
      </w:pPr>
    </w:p>
    <w:p w:rsidR="00585F54" w:rsidRPr="00C15660" w:rsidRDefault="00DB4B44" w:rsidP="00DB4B44">
      <w:pPr>
        <w:spacing w:line="240" w:lineRule="auto"/>
        <w:jc w:val="both"/>
        <w:rPr>
          <w:rFonts w:cs="Arial"/>
          <w:sz w:val="22"/>
        </w:rPr>
      </w:pPr>
      <w:r w:rsidRPr="00C15660">
        <w:rPr>
          <w:rFonts w:cs="Arial"/>
          <w:sz w:val="22"/>
        </w:rPr>
        <w:t>Attendu</w:t>
      </w:r>
      <w:r w:rsidR="0030375A" w:rsidRPr="00C15660">
        <w:rPr>
          <w:rFonts w:cs="Arial"/>
          <w:sz w:val="22"/>
        </w:rPr>
        <w:t xml:space="preserve">, en toute hypothèse, </w:t>
      </w:r>
      <w:r w:rsidRPr="00C15660">
        <w:rPr>
          <w:rFonts w:cs="Arial"/>
          <w:sz w:val="22"/>
        </w:rPr>
        <w:t>qu’il ressort de l’avis et de l</w:t>
      </w:r>
      <w:r w:rsidR="00221014" w:rsidRPr="00C15660">
        <w:rPr>
          <w:rFonts w:cs="Arial"/>
          <w:sz w:val="22"/>
        </w:rPr>
        <w:t xml:space="preserve">’arrêt précités </w:t>
      </w:r>
      <w:r w:rsidRPr="00C15660">
        <w:rPr>
          <w:rFonts w:cs="Arial"/>
          <w:sz w:val="22"/>
        </w:rPr>
        <w:t xml:space="preserve">du Conseil d’Etat </w:t>
      </w:r>
      <w:r w:rsidR="007B46F9" w:rsidRPr="00C15660">
        <w:rPr>
          <w:rFonts w:cs="Arial"/>
          <w:sz w:val="22"/>
        </w:rPr>
        <w:t>que</w:t>
      </w:r>
      <w:r w:rsidRPr="00C15660">
        <w:rPr>
          <w:rFonts w:cs="Arial"/>
          <w:sz w:val="22"/>
        </w:rPr>
        <w:t xml:space="preserve"> l’Etat ne pouvait </w:t>
      </w:r>
      <w:r w:rsidR="007B46F9" w:rsidRPr="00C15660">
        <w:rPr>
          <w:rFonts w:cs="Arial"/>
          <w:sz w:val="22"/>
        </w:rPr>
        <w:t xml:space="preserve">alors </w:t>
      </w:r>
      <w:r w:rsidRPr="00C15660">
        <w:rPr>
          <w:rFonts w:cs="Arial"/>
          <w:sz w:val="22"/>
        </w:rPr>
        <w:t>décider par convention de faire exécuter une partie de ses dépenses</w:t>
      </w:r>
      <w:r w:rsidR="00445350" w:rsidRPr="00C15660">
        <w:rPr>
          <w:rFonts w:cs="Arial"/>
          <w:sz w:val="22"/>
        </w:rPr>
        <w:t>, de ses recettes et de ses opérations de trésorerie</w:t>
      </w:r>
      <w:r w:rsidRPr="00C15660">
        <w:rPr>
          <w:rFonts w:cs="Arial"/>
          <w:sz w:val="22"/>
        </w:rPr>
        <w:t xml:space="preserve"> par </w:t>
      </w:r>
      <w:r w:rsidR="00221014" w:rsidRPr="00C15660">
        <w:rPr>
          <w:rFonts w:cs="Arial"/>
          <w:sz w:val="22"/>
        </w:rPr>
        <w:t xml:space="preserve">une </w:t>
      </w:r>
      <w:r w:rsidRPr="00C15660">
        <w:rPr>
          <w:rFonts w:cs="Arial"/>
          <w:sz w:val="22"/>
        </w:rPr>
        <w:t xml:space="preserve">autre </w:t>
      </w:r>
      <w:r w:rsidR="00221014" w:rsidRPr="00C15660">
        <w:rPr>
          <w:rFonts w:cs="Arial"/>
          <w:sz w:val="22"/>
        </w:rPr>
        <w:t xml:space="preserve">personne </w:t>
      </w:r>
      <w:r w:rsidRPr="00C15660">
        <w:rPr>
          <w:rFonts w:cs="Arial"/>
          <w:sz w:val="22"/>
        </w:rPr>
        <w:t>que le comptable public, lequel dispose d'une compétence exclusive</w:t>
      </w:r>
      <w:r w:rsidR="00445350" w:rsidRPr="00C15660">
        <w:rPr>
          <w:rFonts w:cs="Arial"/>
          <w:sz w:val="22"/>
        </w:rPr>
        <w:t xml:space="preserve"> en cette matière</w:t>
      </w:r>
      <w:r w:rsidR="00D07C02">
        <w:rPr>
          <w:rFonts w:cs="Arial"/>
          <w:sz w:val="22"/>
        </w:rPr>
        <w:t> </w:t>
      </w:r>
      <w:r w:rsidRPr="00C15660">
        <w:rPr>
          <w:rFonts w:cs="Arial"/>
          <w:sz w:val="22"/>
        </w:rPr>
        <w:t xml:space="preserve">; </w:t>
      </w:r>
      <w:r w:rsidR="007B46F9" w:rsidRPr="00C15660">
        <w:rPr>
          <w:rFonts w:cs="Arial"/>
          <w:sz w:val="22"/>
        </w:rPr>
        <w:t>qu’à supposer qu</w:t>
      </w:r>
      <w:r w:rsidR="00C90B0D" w:rsidRPr="00C15660">
        <w:rPr>
          <w:rFonts w:cs="Arial"/>
          <w:sz w:val="22"/>
        </w:rPr>
        <w:t xml:space="preserve">e cette interprétation du droit </w:t>
      </w:r>
      <w:r w:rsidR="007B46F9" w:rsidRPr="00C15660">
        <w:rPr>
          <w:rFonts w:cs="Arial"/>
          <w:sz w:val="22"/>
        </w:rPr>
        <w:t xml:space="preserve">puisse être considérée comme </w:t>
      </w:r>
      <w:r w:rsidR="007B46F9" w:rsidRPr="000E6081">
        <w:rPr>
          <w:rFonts w:cs="Arial"/>
          <w:sz w:val="22"/>
        </w:rPr>
        <w:t xml:space="preserve">nouvelle, </w:t>
      </w:r>
      <w:r w:rsidR="007B46F9" w:rsidRPr="000E6081">
        <w:rPr>
          <w:sz w:val="22"/>
        </w:rPr>
        <w:t>il appartient en principe au juge de faire application de la règle jurisprudentielle nouvelle à l'ensemble des litiges, quelle que soit la date des faits qui leur ont donné naissance, sauf si cette application a pour effet de porter rétroactivement atteinte au droit au recours</w:t>
      </w:r>
      <w:r w:rsidR="007B46F9" w:rsidRPr="000E6081">
        <w:rPr>
          <w:rFonts w:cs="Arial"/>
          <w:sz w:val="22"/>
        </w:rPr>
        <w:t xml:space="preserve">, ce qui n’est pas le cas en l’espèce ; </w:t>
      </w:r>
      <w:r w:rsidRPr="000E6081">
        <w:rPr>
          <w:rFonts w:cs="Arial"/>
          <w:sz w:val="22"/>
        </w:rPr>
        <w:t xml:space="preserve">qu’à législation constante, </w:t>
      </w:r>
      <w:r w:rsidR="007B46F9" w:rsidRPr="000E6081">
        <w:rPr>
          <w:rFonts w:cs="Arial"/>
          <w:sz w:val="22"/>
        </w:rPr>
        <w:t xml:space="preserve">la </w:t>
      </w:r>
      <w:r w:rsidRPr="000E6081">
        <w:rPr>
          <w:rFonts w:cs="Arial"/>
          <w:sz w:val="22"/>
        </w:rPr>
        <w:t xml:space="preserve">règle </w:t>
      </w:r>
      <w:r w:rsidR="007B46F9" w:rsidRPr="000E6081">
        <w:rPr>
          <w:rFonts w:cs="Arial"/>
          <w:sz w:val="22"/>
        </w:rPr>
        <w:t xml:space="preserve">précitée </w:t>
      </w:r>
      <w:r w:rsidRPr="000E6081">
        <w:rPr>
          <w:rFonts w:cs="Arial"/>
          <w:sz w:val="22"/>
        </w:rPr>
        <w:t>vaut pour la situation</w:t>
      </w:r>
      <w:r w:rsidRPr="00C15660">
        <w:rPr>
          <w:rFonts w:cs="Arial"/>
          <w:sz w:val="22"/>
        </w:rPr>
        <w:t xml:space="preserve"> juridique antérieure comme postérieure à l’avis et à la décision précités ;</w:t>
      </w:r>
      <w:r w:rsidR="00585F54" w:rsidRPr="00C15660">
        <w:rPr>
          <w:rFonts w:cs="Arial"/>
          <w:sz w:val="22"/>
        </w:rPr>
        <w:t xml:space="preserve"> </w:t>
      </w:r>
    </w:p>
    <w:p w:rsidR="00585F54" w:rsidRPr="00C15660" w:rsidRDefault="00585F54" w:rsidP="00DB4B44">
      <w:pPr>
        <w:spacing w:line="240" w:lineRule="auto"/>
        <w:jc w:val="both"/>
        <w:rPr>
          <w:rFonts w:cs="Arial"/>
          <w:sz w:val="22"/>
        </w:rPr>
      </w:pPr>
    </w:p>
    <w:p w:rsidR="00DB4B44" w:rsidRPr="00C15660" w:rsidRDefault="00585F54" w:rsidP="00DB4B44">
      <w:pPr>
        <w:spacing w:line="240" w:lineRule="auto"/>
        <w:jc w:val="both"/>
        <w:rPr>
          <w:rFonts w:cs="Arial"/>
          <w:sz w:val="22"/>
        </w:rPr>
      </w:pPr>
      <w:r w:rsidRPr="000E6081">
        <w:rPr>
          <w:rFonts w:cs="Arial"/>
          <w:sz w:val="22"/>
        </w:rPr>
        <w:t>Attendu à cet égard</w:t>
      </w:r>
      <w:r w:rsidR="00FC31E5" w:rsidRPr="000E6081">
        <w:rPr>
          <w:rFonts w:cs="Arial"/>
          <w:sz w:val="22"/>
        </w:rPr>
        <w:t xml:space="preserve"> qu’une </w:t>
      </w:r>
      <w:r w:rsidRPr="000E6081">
        <w:rPr>
          <w:rFonts w:cs="Arial"/>
          <w:sz w:val="22"/>
        </w:rPr>
        <w:t xml:space="preserve">déclaration de gestion de fait </w:t>
      </w:r>
      <w:r w:rsidR="004635FE" w:rsidRPr="000E6081">
        <w:rPr>
          <w:rFonts w:cs="Arial"/>
          <w:sz w:val="22"/>
        </w:rPr>
        <w:t xml:space="preserve">a pour effet d’attraire des opérations dans la compétence du juge des comptes ; qu’elle ne constitue </w:t>
      </w:r>
      <w:r w:rsidR="000A4657" w:rsidRPr="000E6081">
        <w:rPr>
          <w:rFonts w:cs="Arial"/>
          <w:sz w:val="22"/>
        </w:rPr>
        <w:t xml:space="preserve">pas une sanction en elle-même ; qu’elle </w:t>
      </w:r>
      <w:r w:rsidRPr="000E6081">
        <w:rPr>
          <w:rFonts w:cs="Arial"/>
          <w:sz w:val="22"/>
        </w:rPr>
        <w:t xml:space="preserve">ne </w:t>
      </w:r>
      <w:r w:rsidR="00FC31E5" w:rsidRPr="000E6081">
        <w:rPr>
          <w:rFonts w:cs="Arial"/>
          <w:sz w:val="22"/>
        </w:rPr>
        <w:t xml:space="preserve">préjuge </w:t>
      </w:r>
      <w:r w:rsidR="00154D8A" w:rsidRPr="000E6081">
        <w:rPr>
          <w:rFonts w:cs="Arial"/>
          <w:sz w:val="22"/>
        </w:rPr>
        <w:t xml:space="preserve">pas </w:t>
      </w:r>
      <w:r w:rsidR="000A4657" w:rsidRPr="000E6081">
        <w:rPr>
          <w:rFonts w:cs="Arial"/>
          <w:sz w:val="22"/>
        </w:rPr>
        <w:t xml:space="preserve">davantage de </w:t>
      </w:r>
      <w:r w:rsidRPr="000E6081">
        <w:rPr>
          <w:rFonts w:cs="Arial"/>
          <w:sz w:val="22"/>
        </w:rPr>
        <w:t>l’infliction d’une amende</w:t>
      </w:r>
      <w:r w:rsidR="00D07C02">
        <w:rPr>
          <w:rFonts w:cs="Arial"/>
          <w:sz w:val="22"/>
        </w:rPr>
        <w:t> </w:t>
      </w:r>
      <w:r w:rsidR="00FC31E5" w:rsidRPr="000E6081">
        <w:rPr>
          <w:rFonts w:cs="Arial"/>
          <w:sz w:val="22"/>
        </w:rPr>
        <w:t>; que l</w:t>
      </w:r>
      <w:r w:rsidR="00B50E34" w:rsidRPr="000E6081">
        <w:rPr>
          <w:rFonts w:cs="Arial"/>
          <w:sz w:val="22"/>
        </w:rPr>
        <w:t xml:space="preserve">es </w:t>
      </w:r>
      <w:r w:rsidR="00FC31E5" w:rsidRPr="000E6081">
        <w:rPr>
          <w:rFonts w:cs="Arial"/>
          <w:sz w:val="22"/>
        </w:rPr>
        <w:t>argument</w:t>
      </w:r>
      <w:r w:rsidR="00B50E34" w:rsidRPr="000E6081">
        <w:rPr>
          <w:rFonts w:cs="Arial"/>
          <w:sz w:val="22"/>
        </w:rPr>
        <w:t>s</w:t>
      </w:r>
      <w:r w:rsidR="00FC31E5" w:rsidRPr="000E6081">
        <w:rPr>
          <w:rFonts w:cs="Arial"/>
          <w:sz w:val="22"/>
        </w:rPr>
        <w:t xml:space="preserve"> tenant à la non-rétroactivité des sanctions </w:t>
      </w:r>
      <w:r w:rsidR="00B50E34" w:rsidRPr="000E6081">
        <w:rPr>
          <w:rFonts w:cs="Arial"/>
          <w:sz w:val="22"/>
        </w:rPr>
        <w:t xml:space="preserve">et à la rétroactivité de la </w:t>
      </w:r>
      <w:r w:rsidR="00F81AA2" w:rsidRPr="000E6081">
        <w:rPr>
          <w:rFonts w:cs="Arial"/>
          <w:sz w:val="22"/>
        </w:rPr>
        <w:t xml:space="preserve">loi </w:t>
      </w:r>
      <w:r w:rsidR="00B50E34" w:rsidRPr="000E6081">
        <w:rPr>
          <w:rFonts w:cs="Arial"/>
          <w:sz w:val="22"/>
        </w:rPr>
        <w:t xml:space="preserve">pénale </w:t>
      </w:r>
      <w:r w:rsidR="00F81AA2" w:rsidRPr="000E6081">
        <w:rPr>
          <w:rFonts w:cs="Arial"/>
          <w:sz w:val="22"/>
        </w:rPr>
        <w:t xml:space="preserve">la plus douce </w:t>
      </w:r>
      <w:r w:rsidR="00154D8A" w:rsidRPr="000E6081">
        <w:rPr>
          <w:rFonts w:cs="Arial"/>
          <w:sz w:val="22"/>
        </w:rPr>
        <w:t>sont donc inopérant</w:t>
      </w:r>
      <w:r w:rsidR="00B50E34" w:rsidRPr="000E6081">
        <w:rPr>
          <w:rFonts w:cs="Arial"/>
          <w:sz w:val="22"/>
        </w:rPr>
        <w:t>s</w:t>
      </w:r>
      <w:r w:rsidR="00D07C02">
        <w:rPr>
          <w:rFonts w:cs="Arial"/>
          <w:sz w:val="22"/>
        </w:rPr>
        <w:t> </w:t>
      </w:r>
      <w:r w:rsidR="00FC31E5" w:rsidRPr="000E6081">
        <w:rPr>
          <w:rFonts w:cs="Arial"/>
          <w:sz w:val="22"/>
        </w:rPr>
        <w:t>;</w:t>
      </w:r>
    </w:p>
    <w:p w:rsidR="00DB4B44" w:rsidRPr="00C15660" w:rsidRDefault="00DB4B44" w:rsidP="00DB4B44">
      <w:pPr>
        <w:spacing w:line="240" w:lineRule="auto"/>
        <w:jc w:val="both"/>
        <w:rPr>
          <w:rFonts w:cs="Arial"/>
          <w:sz w:val="22"/>
        </w:rPr>
      </w:pPr>
    </w:p>
    <w:p w:rsidR="00FA2DCD" w:rsidRDefault="00DB4B44" w:rsidP="00DB4B44">
      <w:pPr>
        <w:spacing w:line="240" w:lineRule="auto"/>
        <w:jc w:val="both"/>
        <w:rPr>
          <w:rFonts w:cs="Arial"/>
          <w:sz w:val="22"/>
        </w:rPr>
      </w:pPr>
      <w:r w:rsidRPr="00C15660">
        <w:rPr>
          <w:rFonts w:cs="Arial"/>
          <w:sz w:val="22"/>
        </w:rPr>
        <w:t>Attendu que l’article 40 de la loi du 24 décembre 2014 susvisée</w:t>
      </w:r>
      <w:r w:rsidRPr="00DB4B44">
        <w:rPr>
          <w:rFonts w:cs="Arial"/>
          <w:sz w:val="22"/>
        </w:rPr>
        <w:t xml:space="preserve">, invoqué à décharge par la défense, dispose que </w:t>
      </w:r>
      <w:r w:rsidRPr="00DB4B44">
        <w:rPr>
          <w:rFonts w:cs="Arial"/>
          <w:i/>
          <w:sz w:val="22"/>
        </w:rPr>
        <w:t xml:space="preserve">« V.- Les conventions de mandat en cours à la date de publication de la présente loi, conclues par l'Etat, ses établissements publics, les groupements nationaux </w:t>
      </w:r>
      <w:r w:rsidRPr="00DB4B44">
        <w:rPr>
          <w:rFonts w:cs="Arial"/>
          <w:i/>
          <w:sz w:val="22"/>
        </w:rPr>
        <w:lastRenderedPageBreak/>
        <w:t xml:space="preserve">d'intérêt public, les autorités publiques indépendantes, les collectivités territoriales et leurs établissements publics, sont rendues conformes, selon le cas, aux </w:t>
      </w:r>
      <w:r w:rsidRPr="00254DDC">
        <w:rPr>
          <w:rFonts w:cs="Arial"/>
          <w:i/>
          <w:sz w:val="22"/>
        </w:rPr>
        <w:t xml:space="preserve">dispositions de </w:t>
      </w:r>
      <w:hyperlink r:id="rId9" w:history="1">
        <w:r w:rsidRPr="00254DDC">
          <w:rPr>
            <w:rStyle w:val="Lienhypertexte"/>
            <w:rFonts w:cs="Arial"/>
            <w:i/>
            <w:color w:val="auto"/>
            <w:sz w:val="22"/>
            <w:u w:val="none"/>
          </w:rPr>
          <w:t>l'article</w:t>
        </w:r>
        <w:r w:rsidR="00D07C02">
          <w:rPr>
            <w:rStyle w:val="Lienhypertexte"/>
            <w:rFonts w:cs="Arial"/>
            <w:i/>
            <w:color w:val="auto"/>
            <w:sz w:val="22"/>
            <w:u w:val="none"/>
          </w:rPr>
          <w:t xml:space="preserve"> </w:t>
        </w:r>
        <w:r w:rsidRPr="00254DDC">
          <w:rPr>
            <w:rStyle w:val="Lienhypertexte"/>
            <w:rFonts w:cs="Arial"/>
            <w:i/>
            <w:color w:val="auto"/>
            <w:sz w:val="22"/>
            <w:u w:val="none"/>
          </w:rPr>
          <w:t>L.</w:t>
        </w:r>
        <w:r w:rsidR="00F81AA2">
          <w:rPr>
            <w:rStyle w:val="Lienhypertexte"/>
            <w:rFonts w:cs="Arial"/>
            <w:i/>
            <w:color w:val="auto"/>
            <w:sz w:val="22"/>
            <w:u w:val="none"/>
          </w:rPr>
          <w:t> </w:t>
        </w:r>
        <w:r w:rsidRPr="00254DDC">
          <w:rPr>
            <w:rStyle w:val="Lienhypertexte"/>
            <w:rFonts w:cs="Arial"/>
            <w:i/>
            <w:color w:val="auto"/>
            <w:sz w:val="22"/>
            <w:u w:val="none"/>
          </w:rPr>
          <w:t>1611-7-1</w:t>
        </w:r>
      </w:hyperlink>
      <w:r w:rsidRPr="00254DDC">
        <w:rPr>
          <w:rFonts w:cs="Arial"/>
          <w:i/>
          <w:sz w:val="22"/>
        </w:rPr>
        <w:t xml:space="preserve"> du code général des collectivités territoriales, tel qu'il résulte du II du présent article, ou aux dispositions du III, au plus tard lors de leur renouvellement </w:t>
      </w:r>
      <w:r w:rsidRPr="00D07C02">
        <w:rPr>
          <w:rFonts w:cs="Arial"/>
          <w:sz w:val="22"/>
        </w:rPr>
        <w:t>»</w:t>
      </w:r>
      <w:r w:rsidRPr="00DB4B44">
        <w:rPr>
          <w:rFonts w:cs="Arial"/>
          <w:sz w:val="22"/>
        </w:rPr>
        <w:t xml:space="preserve"> ; </w:t>
      </w:r>
    </w:p>
    <w:p w:rsidR="00FA2DCD" w:rsidRDefault="00FA2DCD" w:rsidP="00DB4B44">
      <w:pPr>
        <w:spacing w:line="240" w:lineRule="auto"/>
        <w:jc w:val="both"/>
        <w:rPr>
          <w:rFonts w:cs="Arial"/>
          <w:sz w:val="22"/>
        </w:rPr>
      </w:pPr>
    </w:p>
    <w:p w:rsidR="00445350" w:rsidRPr="00662AB6" w:rsidRDefault="00FA2DCD" w:rsidP="00662AB6">
      <w:pPr>
        <w:spacing w:line="240" w:lineRule="auto"/>
        <w:jc w:val="both"/>
        <w:rPr>
          <w:rFonts w:cs="Arial"/>
          <w:sz w:val="22"/>
        </w:rPr>
      </w:pPr>
      <w:r w:rsidRPr="000E6081">
        <w:rPr>
          <w:rFonts w:cs="Arial"/>
          <w:sz w:val="22"/>
        </w:rPr>
        <w:t xml:space="preserve">Attendu </w:t>
      </w:r>
      <w:r w:rsidR="00DB4B44" w:rsidRPr="000E6081">
        <w:rPr>
          <w:rFonts w:cs="Arial"/>
          <w:sz w:val="22"/>
        </w:rPr>
        <w:t xml:space="preserve">que </w:t>
      </w:r>
      <w:r w:rsidRPr="000E6081">
        <w:rPr>
          <w:rFonts w:cs="Arial"/>
          <w:sz w:val="22"/>
        </w:rPr>
        <w:t>c</w:t>
      </w:r>
      <w:r w:rsidR="00DB4B44" w:rsidRPr="000E6081">
        <w:rPr>
          <w:rFonts w:cs="Arial"/>
          <w:sz w:val="22"/>
        </w:rPr>
        <w:t xml:space="preserve">e </w:t>
      </w:r>
      <w:r w:rsidRPr="000E6081">
        <w:rPr>
          <w:rFonts w:cs="Arial"/>
          <w:sz w:val="22"/>
        </w:rPr>
        <w:t xml:space="preserve">nouveau </w:t>
      </w:r>
      <w:r w:rsidR="00DB4B44" w:rsidRPr="000E6081">
        <w:rPr>
          <w:rFonts w:cs="Arial"/>
          <w:sz w:val="22"/>
        </w:rPr>
        <w:t xml:space="preserve">dispositif </w:t>
      </w:r>
      <w:r w:rsidRPr="000E6081">
        <w:rPr>
          <w:rFonts w:cs="Arial"/>
          <w:sz w:val="22"/>
        </w:rPr>
        <w:t xml:space="preserve">législatif </w:t>
      </w:r>
      <w:r w:rsidR="00DB4B44" w:rsidRPr="000E6081">
        <w:rPr>
          <w:rFonts w:cs="Arial"/>
          <w:sz w:val="22"/>
        </w:rPr>
        <w:t xml:space="preserve">ne saurait </w:t>
      </w:r>
      <w:r w:rsidR="0085039F" w:rsidRPr="000E6081">
        <w:rPr>
          <w:rFonts w:cs="Arial"/>
          <w:sz w:val="22"/>
        </w:rPr>
        <w:t xml:space="preserve">couvrir les </w:t>
      </w:r>
      <w:r w:rsidR="00DB4B44" w:rsidRPr="000E6081">
        <w:rPr>
          <w:rFonts w:cs="Arial"/>
          <w:sz w:val="22"/>
        </w:rPr>
        <w:t xml:space="preserve">opérations </w:t>
      </w:r>
      <w:r w:rsidR="0085039F" w:rsidRPr="000E6081">
        <w:rPr>
          <w:rFonts w:cs="Arial"/>
          <w:sz w:val="22"/>
        </w:rPr>
        <w:t xml:space="preserve">de maniement et de détention de fonds publics </w:t>
      </w:r>
      <w:r w:rsidR="00DB4B44" w:rsidRPr="000E6081">
        <w:rPr>
          <w:rFonts w:cs="Arial"/>
          <w:sz w:val="22"/>
        </w:rPr>
        <w:t>effectuées avant l’entrée en vigueur de la loi précitée</w:t>
      </w:r>
      <w:r w:rsidR="00D07C02">
        <w:rPr>
          <w:rFonts w:cs="Arial"/>
          <w:sz w:val="22"/>
        </w:rPr>
        <w:t> </w:t>
      </w:r>
      <w:r w:rsidR="00DB4B44" w:rsidRPr="000E6081">
        <w:rPr>
          <w:rFonts w:cs="Arial"/>
          <w:sz w:val="22"/>
        </w:rPr>
        <w:t>;</w:t>
      </w:r>
      <w:r w:rsidR="00445350" w:rsidRPr="000E6081">
        <w:rPr>
          <w:rFonts w:cs="Arial"/>
          <w:sz w:val="22"/>
        </w:rPr>
        <w:t xml:space="preserve"> qu’ainsi, et </w:t>
      </w:r>
      <w:r w:rsidR="007E5712" w:rsidRPr="000E6081">
        <w:rPr>
          <w:rFonts w:cs="Arial"/>
          <w:sz w:val="22"/>
        </w:rPr>
        <w:t>sans qu’il soit besoin de statuer</w:t>
      </w:r>
      <w:r w:rsidR="00221014" w:rsidRPr="000E6081">
        <w:rPr>
          <w:rFonts w:cs="Arial"/>
          <w:sz w:val="22"/>
        </w:rPr>
        <w:t>,</w:t>
      </w:r>
      <w:r w:rsidR="007E5712" w:rsidRPr="000E6081">
        <w:rPr>
          <w:rFonts w:cs="Arial"/>
          <w:sz w:val="22"/>
        </w:rPr>
        <w:t xml:space="preserve"> en l’espèce</w:t>
      </w:r>
      <w:r w:rsidR="00221014" w:rsidRPr="000E6081">
        <w:rPr>
          <w:rFonts w:cs="Arial"/>
          <w:sz w:val="22"/>
        </w:rPr>
        <w:t>,</w:t>
      </w:r>
      <w:r w:rsidR="007E5712" w:rsidRPr="000E6081">
        <w:rPr>
          <w:rFonts w:cs="Arial"/>
          <w:sz w:val="22"/>
        </w:rPr>
        <w:t xml:space="preserve"> sur le point de savoir</w:t>
      </w:r>
      <w:r w:rsidR="007E5712" w:rsidRPr="00244112">
        <w:rPr>
          <w:rFonts w:cs="Arial"/>
          <w:sz w:val="22"/>
        </w:rPr>
        <w:t xml:space="preserve"> si </w:t>
      </w:r>
      <w:r w:rsidRPr="00244112">
        <w:rPr>
          <w:rFonts w:cs="Arial"/>
          <w:sz w:val="22"/>
        </w:rPr>
        <w:t>d</w:t>
      </w:r>
      <w:r w:rsidR="00FE6544" w:rsidRPr="00244112">
        <w:rPr>
          <w:rFonts w:cs="Arial"/>
          <w:sz w:val="22"/>
        </w:rPr>
        <w:t xml:space="preserve">es opérations </w:t>
      </w:r>
      <w:r w:rsidRPr="00244112">
        <w:rPr>
          <w:rFonts w:cs="Arial"/>
          <w:sz w:val="22"/>
        </w:rPr>
        <w:t xml:space="preserve">de même nature </w:t>
      </w:r>
      <w:r w:rsidR="00FE6544" w:rsidRPr="00244112">
        <w:rPr>
          <w:rFonts w:cs="Arial"/>
          <w:sz w:val="22"/>
        </w:rPr>
        <w:t xml:space="preserve">seraient </w:t>
      </w:r>
      <w:r w:rsidRPr="00244112">
        <w:rPr>
          <w:rFonts w:cs="Arial"/>
          <w:sz w:val="22"/>
        </w:rPr>
        <w:t xml:space="preserve">désormais </w:t>
      </w:r>
      <w:r w:rsidR="00FE6544" w:rsidRPr="00244112">
        <w:rPr>
          <w:rFonts w:cs="Arial"/>
          <w:sz w:val="22"/>
        </w:rPr>
        <w:t xml:space="preserve">susceptibles </w:t>
      </w:r>
      <w:r w:rsidR="00445350" w:rsidRPr="00244112">
        <w:rPr>
          <w:rFonts w:cs="Arial"/>
          <w:sz w:val="22"/>
        </w:rPr>
        <w:t xml:space="preserve">d’entrer </w:t>
      </w:r>
      <w:r w:rsidR="007E5712" w:rsidRPr="00244112">
        <w:rPr>
          <w:rFonts w:cs="Arial"/>
          <w:sz w:val="22"/>
        </w:rPr>
        <w:t xml:space="preserve">dans le champ </w:t>
      </w:r>
      <w:r w:rsidR="00445350" w:rsidRPr="00244112">
        <w:rPr>
          <w:rFonts w:cs="Arial"/>
          <w:sz w:val="22"/>
        </w:rPr>
        <w:t xml:space="preserve">légalement </w:t>
      </w:r>
      <w:r w:rsidR="007E5712" w:rsidRPr="00244112">
        <w:rPr>
          <w:rFonts w:cs="Arial"/>
          <w:sz w:val="22"/>
        </w:rPr>
        <w:t xml:space="preserve">autorisé, </w:t>
      </w:r>
      <w:r w:rsidRPr="00244112">
        <w:rPr>
          <w:rFonts w:cs="Arial"/>
          <w:sz w:val="22"/>
        </w:rPr>
        <w:t>ni</w:t>
      </w:r>
      <w:r w:rsidR="00D07C02">
        <w:rPr>
          <w:rFonts w:cs="Arial"/>
          <w:sz w:val="22"/>
        </w:rPr>
        <w:t xml:space="preserve"> </w:t>
      </w:r>
      <w:r w:rsidRPr="00244112">
        <w:rPr>
          <w:rFonts w:cs="Arial"/>
          <w:sz w:val="22"/>
        </w:rPr>
        <w:t xml:space="preserve">si les conventions, à les supposer toujours en vigueur, </w:t>
      </w:r>
      <w:r w:rsidR="0030375A" w:rsidRPr="00244112">
        <w:rPr>
          <w:rFonts w:cs="Arial"/>
          <w:sz w:val="22"/>
        </w:rPr>
        <w:t>auraient été validées du fait de la loi</w:t>
      </w:r>
      <w:r w:rsidRPr="00244112">
        <w:rPr>
          <w:rFonts w:cs="Arial"/>
          <w:sz w:val="22"/>
        </w:rPr>
        <w:t xml:space="preserve">, </w:t>
      </w:r>
      <w:r w:rsidR="00AA0D53" w:rsidRPr="00244112">
        <w:rPr>
          <w:rFonts w:cs="Arial"/>
          <w:sz w:val="22"/>
        </w:rPr>
        <w:t>ni si l’article 40 de la loi p</w:t>
      </w:r>
      <w:r w:rsidR="00AA0D53" w:rsidRPr="00662AB6">
        <w:rPr>
          <w:rFonts w:cs="Arial"/>
          <w:sz w:val="22"/>
        </w:rPr>
        <w:t>récitée est ou non entré dans le droit positif en l’absence de décrets d’application</w:t>
      </w:r>
      <w:r w:rsidRPr="00662AB6">
        <w:rPr>
          <w:rFonts w:cs="Arial"/>
          <w:sz w:val="22"/>
        </w:rPr>
        <w:t xml:space="preserve">, </w:t>
      </w:r>
      <w:r w:rsidR="00445350" w:rsidRPr="00662AB6">
        <w:rPr>
          <w:rFonts w:cs="Arial"/>
          <w:sz w:val="22"/>
        </w:rPr>
        <w:t>il y a lieu d’écarter l’argument à décharge lié à l’intervention de la loi précitée ;</w:t>
      </w:r>
    </w:p>
    <w:p w:rsidR="00244112" w:rsidRPr="000E6081" w:rsidRDefault="00244112" w:rsidP="004635FE">
      <w:pPr>
        <w:pStyle w:val="NormalWeb"/>
        <w:ind w:left="0"/>
        <w:jc w:val="both"/>
        <w:rPr>
          <w:sz w:val="22"/>
          <w:szCs w:val="22"/>
        </w:rPr>
      </w:pPr>
      <w:r w:rsidRPr="000E6081">
        <w:rPr>
          <w:sz w:val="22"/>
          <w:szCs w:val="22"/>
        </w:rPr>
        <w:t>Attendu qu</w:t>
      </w:r>
      <w:r w:rsidR="00154D8A" w:rsidRPr="000E6081">
        <w:rPr>
          <w:sz w:val="22"/>
          <w:szCs w:val="22"/>
        </w:rPr>
        <w:t>’aux termes de</w:t>
      </w:r>
      <w:r w:rsidRPr="000E6081">
        <w:rPr>
          <w:sz w:val="22"/>
          <w:szCs w:val="22"/>
        </w:rPr>
        <w:t xml:space="preserve"> l’article L. 518-2 </w:t>
      </w:r>
      <w:r w:rsidRPr="000E6081">
        <w:rPr>
          <w:bCs/>
          <w:sz w:val="22"/>
          <w:szCs w:val="22"/>
        </w:rPr>
        <w:t>du code monétaire et financier</w:t>
      </w:r>
      <w:r w:rsidR="00662AB6" w:rsidRPr="000E6081">
        <w:rPr>
          <w:bCs/>
          <w:sz w:val="22"/>
          <w:szCs w:val="22"/>
        </w:rPr>
        <w:t xml:space="preserve"> </w:t>
      </w:r>
      <w:r w:rsidR="00662AB6" w:rsidRPr="00D07C02">
        <w:rPr>
          <w:bCs/>
          <w:sz w:val="22"/>
          <w:szCs w:val="22"/>
        </w:rPr>
        <w:t>« </w:t>
      </w:r>
      <w:r w:rsidR="00662AB6" w:rsidRPr="000E6081">
        <w:rPr>
          <w:i/>
          <w:sz w:val="22"/>
          <w:szCs w:val="22"/>
        </w:rPr>
        <w:t xml:space="preserve">La Caisse des dépôts et consignations et ses filiales constituent un groupe public au service de l'intérêt général et du développement économique du pays. Ce groupe remplit des missions d'intérêt général en appui des politiques publiques conduites par l'Etat et les collectivités territoriales et peut exercer des activités concurrentielles. La Caisse des dépôts et consignations est un établissement spécial chargé d'administrer les dépôts et les consignations, d'assurer les services relatifs aux caisses ou aux fonds dont la gestion lui a été confiée et d'exercer les autres attributions de même nature qui lui sont légalement déléguées. Elle est chargée de la protection de l'épargne populaire, du financement du logement social et de la gestion d'organismes de retraite. Elle contribue également au développement économique local et national, particulièrement dans les domaines de l'emploi, de la politique de la ville, de la lutte contre l'exclusion bancaire et financière, de la création d'entreprise et du développement durable. La Caisse des dépôts et consignations est un investisseur de long terme et contribue, dans le respect de ses intérêts patrimoniaux, au développement des entreprises. La Caisse des dépôts et consignations est </w:t>
      </w:r>
      <w:proofErr w:type="gramStart"/>
      <w:r w:rsidR="00662AB6" w:rsidRPr="000E6081">
        <w:rPr>
          <w:i/>
          <w:sz w:val="22"/>
          <w:szCs w:val="22"/>
        </w:rPr>
        <w:t>placée</w:t>
      </w:r>
      <w:proofErr w:type="gramEnd"/>
      <w:r w:rsidR="00662AB6" w:rsidRPr="000E6081">
        <w:rPr>
          <w:i/>
          <w:sz w:val="22"/>
          <w:szCs w:val="22"/>
        </w:rPr>
        <w:t>, de la manière la plus spéciale, sous la surveillance et la garantie de l'autorité législative. Elle est organisée par décret en Conseil d'Etat, pris sur la proposition de la commission de surveillance.</w:t>
      </w:r>
      <w:r w:rsidR="00662AB6" w:rsidRPr="00D07C02">
        <w:rPr>
          <w:sz w:val="22"/>
          <w:szCs w:val="22"/>
        </w:rPr>
        <w:t> »</w:t>
      </w:r>
      <w:r w:rsidR="00662AB6" w:rsidRPr="000E6081">
        <w:rPr>
          <w:sz w:val="22"/>
          <w:szCs w:val="22"/>
        </w:rPr>
        <w:t xml:space="preserve"> ; </w:t>
      </w:r>
      <w:proofErr w:type="gramStart"/>
      <w:r w:rsidR="00662AB6" w:rsidRPr="000E6081">
        <w:rPr>
          <w:sz w:val="22"/>
          <w:szCs w:val="22"/>
        </w:rPr>
        <w:t>que</w:t>
      </w:r>
      <w:proofErr w:type="gramEnd"/>
      <w:r w:rsidR="00662AB6" w:rsidRPr="000E6081">
        <w:rPr>
          <w:sz w:val="22"/>
          <w:szCs w:val="22"/>
        </w:rPr>
        <w:t xml:space="preserve"> cet article</w:t>
      </w:r>
      <w:r w:rsidR="004635FE" w:rsidRPr="000E6081">
        <w:rPr>
          <w:sz w:val="22"/>
          <w:szCs w:val="22"/>
        </w:rPr>
        <w:t xml:space="preserve"> </w:t>
      </w:r>
      <w:r w:rsidRPr="000E6081">
        <w:rPr>
          <w:bCs/>
          <w:sz w:val="22"/>
        </w:rPr>
        <w:t>ne prévoit pas la délégation à l’établissement d’opérations relevant de</w:t>
      </w:r>
      <w:r w:rsidR="00FA30DB" w:rsidRPr="000E6081">
        <w:rPr>
          <w:bCs/>
          <w:sz w:val="22"/>
        </w:rPr>
        <w:t xml:space="preserve"> la compétence d</w:t>
      </w:r>
      <w:r w:rsidR="00662AB6" w:rsidRPr="000E6081">
        <w:rPr>
          <w:bCs/>
          <w:sz w:val="22"/>
        </w:rPr>
        <w:t>u comptable public en application du décret du 29 décembre 1962 susvisé</w:t>
      </w:r>
      <w:r w:rsidRPr="000E6081">
        <w:rPr>
          <w:bCs/>
          <w:sz w:val="22"/>
        </w:rPr>
        <w:t> ;</w:t>
      </w:r>
    </w:p>
    <w:p w:rsidR="008D223B" w:rsidRDefault="00445350" w:rsidP="00DB4B44">
      <w:pPr>
        <w:spacing w:line="240" w:lineRule="auto"/>
        <w:jc w:val="both"/>
        <w:rPr>
          <w:rFonts w:cs="Arial"/>
          <w:sz w:val="22"/>
        </w:rPr>
      </w:pPr>
      <w:r w:rsidRPr="000E6081">
        <w:rPr>
          <w:rFonts w:cs="Arial"/>
          <w:sz w:val="22"/>
        </w:rPr>
        <w:t xml:space="preserve">Attendu ainsi que </w:t>
      </w:r>
      <w:r w:rsidR="00DB4B44" w:rsidRPr="000E6081">
        <w:rPr>
          <w:rFonts w:cs="Arial"/>
          <w:sz w:val="22"/>
        </w:rPr>
        <w:t>les conventions d’ouverture de compte</w:t>
      </w:r>
      <w:r w:rsidR="009E6C69" w:rsidRPr="000E6081">
        <w:rPr>
          <w:rFonts w:cs="Arial"/>
          <w:sz w:val="22"/>
        </w:rPr>
        <w:t>s</w:t>
      </w:r>
      <w:r w:rsidR="00DB4B44" w:rsidRPr="000E6081">
        <w:rPr>
          <w:rFonts w:cs="Arial"/>
          <w:sz w:val="22"/>
        </w:rPr>
        <w:t xml:space="preserve"> </w:t>
      </w:r>
      <w:r w:rsidR="009E6C69" w:rsidRPr="000E6081">
        <w:rPr>
          <w:rFonts w:cs="Arial"/>
          <w:sz w:val="22"/>
        </w:rPr>
        <w:t xml:space="preserve">d’attente </w:t>
      </w:r>
      <w:r w:rsidR="00DB4B44" w:rsidRPr="000E6081">
        <w:rPr>
          <w:rFonts w:cs="Arial"/>
          <w:sz w:val="22"/>
        </w:rPr>
        <w:t>précitées</w:t>
      </w:r>
      <w:r w:rsidR="00642AB9" w:rsidRPr="000E6081">
        <w:rPr>
          <w:rFonts w:cs="Arial"/>
          <w:sz w:val="22"/>
        </w:rPr>
        <w:t xml:space="preserve"> </w:t>
      </w:r>
      <w:r w:rsidR="00DB4B44" w:rsidRPr="000E6081">
        <w:rPr>
          <w:rFonts w:cs="Arial"/>
          <w:sz w:val="22"/>
        </w:rPr>
        <w:t>n’ont pu fournir une base légale aux opérations litigieuses ; que de la sorte, les deniers de l’Etat ont été</w:t>
      </w:r>
      <w:r w:rsidR="00DB4B44" w:rsidRPr="00DB4B44">
        <w:rPr>
          <w:rFonts w:cs="Arial"/>
          <w:sz w:val="22"/>
        </w:rPr>
        <w:t xml:space="preserve"> </w:t>
      </w:r>
      <w:r w:rsidR="00FE6544">
        <w:rPr>
          <w:rFonts w:cs="Arial"/>
          <w:sz w:val="22"/>
        </w:rPr>
        <w:t xml:space="preserve">détenus et </w:t>
      </w:r>
      <w:r w:rsidR="00DB4B44" w:rsidRPr="00DB4B44">
        <w:rPr>
          <w:rFonts w:cs="Arial"/>
          <w:sz w:val="22"/>
        </w:rPr>
        <w:t>maniés</w:t>
      </w:r>
      <w:r>
        <w:rPr>
          <w:rFonts w:cs="Arial"/>
          <w:sz w:val="22"/>
        </w:rPr>
        <w:t>,</w:t>
      </w:r>
      <w:r w:rsidR="00FE6544">
        <w:rPr>
          <w:rFonts w:cs="Arial"/>
          <w:sz w:val="22"/>
        </w:rPr>
        <w:t xml:space="preserve"> en recettes et en dépenses</w:t>
      </w:r>
      <w:r>
        <w:rPr>
          <w:rFonts w:cs="Arial"/>
          <w:sz w:val="22"/>
        </w:rPr>
        <w:t>,</w:t>
      </w:r>
      <w:r w:rsidR="00FE6544">
        <w:rPr>
          <w:rFonts w:cs="Arial"/>
          <w:sz w:val="22"/>
        </w:rPr>
        <w:t xml:space="preserve"> </w:t>
      </w:r>
      <w:r w:rsidR="00DB4B44" w:rsidRPr="00DB4B44">
        <w:rPr>
          <w:rFonts w:cs="Arial"/>
          <w:sz w:val="22"/>
        </w:rPr>
        <w:t xml:space="preserve">par des personnes </w:t>
      </w:r>
      <w:r w:rsidR="00221014">
        <w:rPr>
          <w:rFonts w:cs="Arial"/>
          <w:sz w:val="22"/>
        </w:rPr>
        <w:t>dépourvues de titre légal à le faire</w:t>
      </w:r>
      <w:r w:rsidR="00DB4B44" w:rsidRPr="00DB4B44">
        <w:rPr>
          <w:rFonts w:cs="Arial"/>
          <w:sz w:val="22"/>
        </w:rPr>
        <w:t> ;</w:t>
      </w:r>
    </w:p>
    <w:p w:rsidR="008D223B" w:rsidRDefault="008D223B" w:rsidP="00DB4B44">
      <w:pPr>
        <w:spacing w:line="240" w:lineRule="auto"/>
        <w:jc w:val="both"/>
        <w:rPr>
          <w:rFonts w:cs="Arial"/>
          <w:sz w:val="22"/>
        </w:rPr>
      </w:pPr>
    </w:p>
    <w:p w:rsidR="00373751" w:rsidRPr="00DB4B44" w:rsidRDefault="00373751" w:rsidP="00373751">
      <w:pPr>
        <w:spacing w:line="240" w:lineRule="auto"/>
        <w:jc w:val="both"/>
        <w:rPr>
          <w:rFonts w:cs="Arial"/>
          <w:sz w:val="22"/>
        </w:rPr>
      </w:pPr>
      <w:r>
        <w:rPr>
          <w:rFonts w:cs="Arial"/>
          <w:sz w:val="22"/>
        </w:rPr>
        <w:t xml:space="preserve">Attendu que l’argument selon lequel les faits litigieux auraient été considérés de bonne foi par les intéressés comme conformes au droit est sans incidence </w:t>
      </w:r>
      <w:r w:rsidR="00FA30DB" w:rsidRPr="000E6081">
        <w:rPr>
          <w:rFonts w:cs="Arial"/>
          <w:sz w:val="22"/>
        </w:rPr>
        <w:t xml:space="preserve">sur </w:t>
      </w:r>
      <w:r w:rsidRPr="000E6081">
        <w:rPr>
          <w:rFonts w:cs="Arial"/>
          <w:sz w:val="22"/>
        </w:rPr>
        <w:t>la</w:t>
      </w:r>
      <w:r>
        <w:rPr>
          <w:rFonts w:cs="Arial"/>
          <w:sz w:val="22"/>
        </w:rPr>
        <w:t xml:space="preserve"> qualification juridique des faits</w:t>
      </w:r>
      <w:r w:rsidR="00D07C02">
        <w:rPr>
          <w:rFonts w:cs="Arial"/>
          <w:sz w:val="22"/>
        </w:rPr>
        <w:t xml:space="preserve"> </w:t>
      </w:r>
      <w:r>
        <w:rPr>
          <w:rFonts w:cs="Arial"/>
          <w:sz w:val="22"/>
        </w:rPr>
        <w:t>par le juge des comptes</w:t>
      </w:r>
      <w:r w:rsidR="00D07C02">
        <w:rPr>
          <w:rFonts w:cs="Arial"/>
          <w:sz w:val="22"/>
        </w:rPr>
        <w:t> ;</w:t>
      </w:r>
    </w:p>
    <w:p w:rsidR="00373751" w:rsidRDefault="00373751" w:rsidP="00DB4B44">
      <w:pPr>
        <w:spacing w:line="240" w:lineRule="auto"/>
        <w:jc w:val="both"/>
        <w:rPr>
          <w:rFonts w:cs="Arial"/>
          <w:sz w:val="22"/>
        </w:rPr>
      </w:pPr>
    </w:p>
    <w:p w:rsidR="00FE6544" w:rsidRDefault="008D223B" w:rsidP="00DB4B44">
      <w:pPr>
        <w:spacing w:line="240" w:lineRule="auto"/>
        <w:jc w:val="both"/>
        <w:rPr>
          <w:rFonts w:cs="Arial"/>
          <w:sz w:val="22"/>
        </w:rPr>
      </w:pPr>
      <w:r w:rsidRPr="00244112">
        <w:rPr>
          <w:rFonts w:cs="Arial"/>
          <w:sz w:val="22"/>
        </w:rPr>
        <w:t>Attendu</w:t>
      </w:r>
      <w:r w:rsidR="00DB4B44" w:rsidRPr="00244112">
        <w:rPr>
          <w:rFonts w:cs="Arial"/>
          <w:sz w:val="22"/>
        </w:rPr>
        <w:t xml:space="preserve"> qu’ainsi</w:t>
      </w:r>
      <w:r w:rsidR="00221014" w:rsidRPr="00244112">
        <w:rPr>
          <w:rFonts w:cs="Arial"/>
          <w:sz w:val="22"/>
        </w:rPr>
        <w:t xml:space="preserve">, </w:t>
      </w:r>
      <w:r w:rsidR="00F81AA2" w:rsidRPr="00244112">
        <w:rPr>
          <w:rFonts w:cs="Arial"/>
          <w:sz w:val="22"/>
        </w:rPr>
        <w:t>comme le soutient à bon droit le ministère public,</w:t>
      </w:r>
      <w:r w:rsidR="00DB4B44" w:rsidRPr="00244112">
        <w:rPr>
          <w:rFonts w:cs="Arial"/>
          <w:sz w:val="22"/>
        </w:rPr>
        <w:t xml:space="preserve"> </w:t>
      </w:r>
      <w:r w:rsidR="00221014" w:rsidRPr="00244112">
        <w:rPr>
          <w:rFonts w:cs="Arial"/>
          <w:sz w:val="22"/>
        </w:rPr>
        <w:t xml:space="preserve">il existe des éléments constitutifs de gestion de fait </w:t>
      </w:r>
      <w:r w:rsidR="00FE6544" w:rsidRPr="00244112">
        <w:rPr>
          <w:rFonts w:cs="Arial"/>
          <w:sz w:val="22"/>
        </w:rPr>
        <w:t>à raison de l</w:t>
      </w:r>
      <w:r w:rsidR="00E26F89" w:rsidRPr="00244112">
        <w:rPr>
          <w:rFonts w:cs="Arial"/>
          <w:sz w:val="22"/>
        </w:rPr>
        <w:t xml:space="preserve">’utilisation de </w:t>
      </w:r>
      <w:r w:rsidR="00FE6544" w:rsidRPr="00244112">
        <w:rPr>
          <w:rFonts w:cs="Arial"/>
          <w:sz w:val="22"/>
        </w:rPr>
        <w:t>comptes d’attente et de comptes de titres</w:t>
      </w:r>
      <w:r w:rsidR="00603D65" w:rsidRPr="00244112">
        <w:rPr>
          <w:rFonts w:cs="Arial"/>
          <w:sz w:val="22"/>
        </w:rPr>
        <w:t>, dans le cadre de la souscription par l’Et</w:t>
      </w:r>
      <w:r w:rsidR="00740464" w:rsidRPr="00244112">
        <w:rPr>
          <w:rFonts w:cs="Arial"/>
          <w:sz w:val="22"/>
        </w:rPr>
        <w:t>at</w:t>
      </w:r>
      <w:r w:rsidR="00603D65" w:rsidRPr="00244112">
        <w:rPr>
          <w:rFonts w:cs="Arial"/>
          <w:sz w:val="22"/>
        </w:rPr>
        <w:t xml:space="preserve"> de </w:t>
      </w:r>
      <w:r w:rsidR="00E26F89" w:rsidRPr="00244112">
        <w:rPr>
          <w:rFonts w:cs="Arial"/>
          <w:sz w:val="22"/>
        </w:rPr>
        <w:t>parts dans le FPCR</w:t>
      </w:r>
      <w:r w:rsidR="005F6A1F">
        <w:rPr>
          <w:rFonts w:cs="Arial"/>
          <w:sz w:val="22"/>
        </w:rPr>
        <w:t> </w:t>
      </w:r>
      <w:r w:rsidR="00E26F89" w:rsidRPr="00244112">
        <w:rPr>
          <w:rFonts w:cs="Arial"/>
          <w:sz w:val="22"/>
        </w:rPr>
        <w:t>2000, le FCJE et le</w:t>
      </w:r>
      <w:r w:rsidR="00D07C02">
        <w:rPr>
          <w:rFonts w:cs="Arial"/>
          <w:sz w:val="22"/>
        </w:rPr>
        <w:t xml:space="preserve"> </w:t>
      </w:r>
      <w:r w:rsidR="00E26F89" w:rsidRPr="00244112">
        <w:rPr>
          <w:rFonts w:cs="Arial"/>
          <w:sz w:val="22"/>
        </w:rPr>
        <w:t>FFT3 ;</w:t>
      </w:r>
    </w:p>
    <w:p w:rsidR="000E6081" w:rsidRPr="00DB4B44" w:rsidRDefault="000E6081" w:rsidP="00DB4B44">
      <w:pPr>
        <w:spacing w:line="240" w:lineRule="auto"/>
        <w:jc w:val="both"/>
        <w:rPr>
          <w:rFonts w:cs="Arial"/>
          <w:sz w:val="22"/>
        </w:rPr>
      </w:pPr>
    </w:p>
    <w:p w:rsidR="00DB4B44" w:rsidRPr="00DB4B44" w:rsidRDefault="00DB4B44" w:rsidP="00DB4B44">
      <w:pPr>
        <w:spacing w:line="240" w:lineRule="auto"/>
        <w:jc w:val="both"/>
        <w:rPr>
          <w:rFonts w:cs="Arial"/>
          <w:sz w:val="22"/>
        </w:rPr>
      </w:pPr>
    </w:p>
    <w:p w:rsidR="00DB4B44" w:rsidRPr="00DB4B44" w:rsidRDefault="00DB4B44" w:rsidP="00DB4B44">
      <w:pPr>
        <w:spacing w:line="240" w:lineRule="auto"/>
        <w:jc w:val="both"/>
        <w:rPr>
          <w:rFonts w:cs="Arial"/>
          <w:b/>
          <w:i/>
          <w:sz w:val="22"/>
        </w:rPr>
      </w:pPr>
      <w:r w:rsidRPr="00DB4B44">
        <w:rPr>
          <w:rFonts w:cs="Arial"/>
          <w:b/>
          <w:i/>
          <w:sz w:val="22"/>
        </w:rPr>
        <w:t>Sur les personnes susceptibles d</w:t>
      </w:r>
      <w:r w:rsidR="001E18CB">
        <w:rPr>
          <w:rFonts w:cs="Arial"/>
          <w:b/>
          <w:i/>
          <w:sz w:val="22"/>
        </w:rPr>
        <w:t>’être appelées à rendre compte</w:t>
      </w:r>
    </w:p>
    <w:p w:rsidR="00DB4B44" w:rsidRPr="00DB4B44" w:rsidRDefault="00DB4B44" w:rsidP="00DB4B44">
      <w:pPr>
        <w:spacing w:line="240" w:lineRule="auto"/>
        <w:jc w:val="both"/>
        <w:rPr>
          <w:rFonts w:cs="Arial"/>
          <w:i/>
          <w:sz w:val="22"/>
        </w:rPr>
      </w:pPr>
    </w:p>
    <w:p w:rsidR="008433DB" w:rsidRPr="00244112" w:rsidRDefault="008433DB" w:rsidP="00DB4B44">
      <w:pPr>
        <w:spacing w:line="240" w:lineRule="auto"/>
        <w:jc w:val="both"/>
        <w:rPr>
          <w:rFonts w:cs="Arial"/>
          <w:sz w:val="22"/>
        </w:rPr>
      </w:pPr>
      <w:r w:rsidRPr="00244112">
        <w:rPr>
          <w:rFonts w:cs="Arial"/>
          <w:sz w:val="22"/>
        </w:rPr>
        <w:t>Attendu que le P</w:t>
      </w:r>
      <w:r w:rsidR="00740464" w:rsidRPr="00244112">
        <w:rPr>
          <w:rFonts w:cs="Arial"/>
          <w:sz w:val="22"/>
        </w:rPr>
        <w:t>rocureur général</w:t>
      </w:r>
      <w:r w:rsidRPr="00244112">
        <w:rPr>
          <w:rFonts w:cs="Arial"/>
          <w:sz w:val="22"/>
        </w:rPr>
        <w:t>, en ses conclusions susvisées du 31 juillet 2015, conclut à la seule mise en cause de M.</w:t>
      </w:r>
      <w:r w:rsidR="00EC1025">
        <w:rPr>
          <w:rFonts w:cs="Arial"/>
          <w:sz w:val="22"/>
        </w:rPr>
        <w:t> </w:t>
      </w:r>
      <w:r w:rsidR="000C64BE">
        <w:rPr>
          <w:rFonts w:cs="Arial"/>
          <w:sz w:val="22"/>
        </w:rPr>
        <w:t>A</w:t>
      </w:r>
      <w:r w:rsidRPr="00244112">
        <w:rPr>
          <w:rFonts w:cs="Arial"/>
          <w:sz w:val="22"/>
        </w:rPr>
        <w:t xml:space="preserve"> et de la Caisse des dépôts et consignations</w:t>
      </w:r>
      <w:r w:rsidR="00EB6291" w:rsidRPr="00244112">
        <w:rPr>
          <w:rFonts w:cs="Arial"/>
          <w:sz w:val="22"/>
        </w:rPr>
        <w:t>, personne morale,</w:t>
      </w:r>
      <w:r w:rsidR="00D07C02">
        <w:rPr>
          <w:rFonts w:cs="Arial"/>
          <w:sz w:val="22"/>
        </w:rPr>
        <w:t xml:space="preserve"> </w:t>
      </w:r>
      <w:r w:rsidRPr="00244112">
        <w:rPr>
          <w:rFonts w:cs="Arial"/>
          <w:sz w:val="22"/>
        </w:rPr>
        <w:t>en tant qu</w:t>
      </w:r>
      <w:r w:rsidR="00E26F89" w:rsidRPr="00244112">
        <w:rPr>
          <w:rFonts w:cs="Arial"/>
          <w:sz w:val="22"/>
        </w:rPr>
        <w:t>’</w:t>
      </w:r>
      <w:r w:rsidR="00085435" w:rsidRPr="00244112">
        <w:rPr>
          <w:rFonts w:cs="Arial"/>
          <w:sz w:val="22"/>
        </w:rPr>
        <w:t>organisateurs du dispositif</w:t>
      </w:r>
      <w:r w:rsidR="00D07C02">
        <w:rPr>
          <w:rFonts w:cs="Arial"/>
          <w:sz w:val="22"/>
        </w:rPr>
        <w:t> </w:t>
      </w:r>
      <w:r w:rsidRPr="00244112">
        <w:rPr>
          <w:rFonts w:cs="Arial"/>
          <w:sz w:val="22"/>
        </w:rPr>
        <w:t>; qu’il indique</w:t>
      </w:r>
      <w:r w:rsidR="005D4148" w:rsidRPr="00244112">
        <w:rPr>
          <w:rFonts w:cs="Arial"/>
          <w:sz w:val="22"/>
        </w:rPr>
        <w:t xml:space="preserve"> toutefois</w:t>
      </w:r>
      <w:r w:rsidRPr="00244112">
        <w:rPr>
          <w:rFonts w:cs="Arial"/>
          <w:sz w:val="22"/>
        </w:rPr>
        <w:t xml:space="preserve">, dans ses conclusions susvisées du 18 novembre 2015, que la Cour </w:t>
      </w:r>
      <w:r w:rsidR="00F81AA2" w:rsidRPr="00244112">
        <w:rPr>
          <w:rFonts w:cs="Arial"/>
          <w:sz w:val="22"/>
        </w:rPr>
        <w:t xml:space="preserve">pourrait </w:t>
      </w:r>
      <w:r w:rsidR="00F81AA2" w:rsidRPr="000E6081">
        <w:rPr>
          <w:rFonts w:cs="Arial"/>
          <w:sz w:val="22"/>
        </w:rPr>
        <w:t xml:space="preserve">aussi </w:t>
      </w:r>
      <w:r w:rsidRPr="000E6081">
        <w:rPr>
          <w:rFonts w:cs="Arial"/>
          <w:sz w:val="22"/>
        </w:rPr>
        <w:t xml:space="preserve">décider </w:t>
      </w:r>
      <w:r w:rsidR="00FA30DB" w:rsidRPr="000E6081">
        <w:rPr>
          <w:rFonts w:cs="Arial"/>
          <w:sz w:val="22"/>
        </w:rPr>
        <w:t xml:space="preserve">de mettre en cause </w:t>
      </w:r>
      <w:r w:rsidRPr="000E6081">
        <w:rPr>
          <w:rFonts w:cs="Arial"/>
          <w:sz w:val="22"/>
        </w:rPr>
        <w:t xml:space="preserve">des </w:t>
      </w:r>
      <w:proofErr w:type="spellStart"/>
      <w:r w:rsidRPr="000E6081">
        <w:rPr>
          <w:rFonts w:cs="Arial"/>
          <w:sz w:val="22"/>
        </w:rPr>
        <w:t>manutenteurs</w:t>
      </w:r>
      <w:proofErr w:type="spellEnd"/>
      <w:r w:rsidRPr="000E6081">
        <w:rPr>
          <w:rFonts w:cs="Arial"/>
          <w:sz w:val="22"/>
        </w:rPr>
        <w:t xml:space="preserve"> de brève main visés par le réquisitoire </w:t>
      </w:r>
      <w:r w:rsidR="00454F39" w:rsidRPr="000E6081">
        <w:rPr>
          <w:rFonts w:cs="Arial"/>
          <w:sz w:val="22"/>
        </w:rPr>
        <w:t xml:space="preserve">n° </w:t>
      </w:r>
      <w:r w:rsidRPr="000E6081">
        <w:rPr>
          <w:rFonts w:cs="Arial"/>
          <w:sz w:val="22"/>
        </w:rPr>
        <w:t>2012-73 </w:t>
      </w:r>
      <w:r w:rsidR="00F81AA2" w:rsidRPr="000E6081">
        <w:rPr>
          <w:rFonts w:cs="Arial"/>
          <w:sz w:val="22"/>
        </w:rPr>
        <w:t>susvisé</w:t>
      </w:r>
      <w:r w:rsidR="00D07C02">
        <w:rPr>
          <w:rFonts w:cs="Arial"/>
          <w:sz w:val="22"/>
        </w:rPr>
        <w:t> ;</w:t>
      </w:r>
    </w:p>
    <w:p w:rsidR="00085435" w:rsidRPr="00244112" w:rsidRDefault="00085435" w:rsidP="00DB4B44">
      <w:pPr>
        <w:spacing w:line="240" w:lineRule="auto"/>
        <w:jc w:val="both"/>
        <w:rPr>
          <w:rFonts w:cs="Arial"/>
          <w:sz w:val="22"/>
        </w:rPr>
      </w:pPr>
    </w:p>
    <w:p w:rsidR="00085435" w:rsidRPr="00244112" w:rsidRDefault="00085435" w:rsidP="00DB4B44">
      <w:pPr>
        <w:spacing w:line="240" w:lineRule="auto"/>
        <w:jc w:val="both"/>
        <w:rPr>
          <w:rFonts w:cs="Arial"/>
          <w:sz w:val="22"/>
        </w:rPr>
      </w:pPr>
      <w:r w:rsidRPr="00244112">
        <w:rPr>
          <w:rFonts w:cs="Arial"/>
          <w:sz w:val="22"/>
        </w:rPr>
        <w:lastRenderedPageBreak/>
        <w:t xml:space="preserve">Attendu que la Cour </w:t>
      </w:r>
      <w:r w:rsidR="00740464" w:rsidRPr="00244112">
        <w:rPr>
          <w:rFonts w:cs="Arial"/>
          <w:sz w:val="22"/>
        </w:rPr>
        <w:t xml:space="preserve">n’est en état de </w:t>
      </w:r>
      <w:r w:rsidRPr="00244112">
        <w:rPr>
          <w:rFonts w:cs="Arial"/>
          <w:sz w:val="22"/>
        </w:rPr>
        <w:t xml:space="preserve">statuer </w:t>
      </w:r>
      <w:r w:rsidR="00740464" w:rsidRPr="00244112">
        <w:rPr>
          <w:rFonts w:cs="Arial"/>
          <w:sz w:val="22"/>
        </w:rPr>
        <w:t xml:space="preserve">que </w:t>
      </w:r>
      <w:r w:rsidRPr="00244112">
        <w:rPr>
          <w:rFonts w:cs="Arial"/>
          <w:sz w:val="22"/>
        </w:rPr>
        <w:t xml:space="preserve">sur le cas des personnes expressément citées dans les deux réquisitoires susvisés, dans la mesure </w:t>
      </w:r>
      <w:r w:rsidR="00C90B0D" w:rsidRPr="00244112">
        <w:rPr>
          <w:rFonts w:cs="Arial"/>
          <w:sz w:val="22"/>
        </w:rPr>
        <w:t xml:space="preserve">où lesdits réquisitoires </w:t>
      </w:r>
      <w:r w:rsidRPr="00244112">
        <w:rPr>
          <w:rFonts w:cs="Arial"/>
          <w:sz w:val="22"/>
        </w:rPr>
        <w:t xml:space="preserve">leur </w:t>
      </w:r>
      <w:r w:rsidR="00C90B0D" w:rsidRPr="00244112">
        <w:rPr>
          <w:rFonts w:cs="Arial"/>
          <w:sz w:val="22"/>
        </w:rPr>
        <w:t xml:space="preserve">ont </w:t>
      </w:r>
      <w:r w:rsidRPr="00244112">
        <w:rPr>
          <w:rFonts w:cs="Arial"/>
          <w:sz w:val="22"/>
        </w:rPr>
        <w:t>été notifié</w:t>
      </w:r>
      <w:r w:rsidR="00C90B0D" w:rsidRPr="00244112">
        <w:rPr>
          <w:rFonts w:cs="Arial"/>
          <w:sz w:val="22"/>
        </w:rPr>
        <w:t>s</w:t>
      </w:r>
      <w:r w:rsidRPr="00244112">
        <w:rPr>
          <w:rFonts w:cs="Arial"/>
          <w:sz w:val="22"/>
        </w:rPr>
        <w:t> ;</w:t>
      </w:r>
    </w:p>
    <w:p w:rsidR="008433DB" w:rsidRPr="00244112" w:rsidRDefault="008433DB" w:rsidP="00DB4B44">
      <w:pPr>
        <w:spacing w:line="240" w:lineRule="auto"/>
        <w:jc w:val="both"/>
        <w:rPr>
          <w:rFonts w:cs="Arial"/>
          <w:sz w:val="22"/>
        </w:rPr>
      </w:pPr>
    </w:p>
    <w:p w:rsidR="00476BBC" w:rsidRPr="00244112" w:rsidRDefault="00476BBC" w:rsidP="00476BBC">
      <w:pPr>
        <w:spacing w:line="240" w:lineRule="auto"/>
        <w:jc w:val="both"/>
        <w:rPr>
          <w:rFonts w:cs="Arial"/>
          <w:sz w:val="22"/>
        </w:rPr>
      </w:pPr>
      <w:r w:rsidRPr="000E6081">
        <w:rPr>
          <w:rFonts w:cs="Arial"/>
          <w:sz w:val="22"/>
        </w:rPr>
        <w:t xml:space="preserve">Attendu que </w:t>
      </w:r>
      <w:r w:rsidR="000C64BE">
        <w:rPr>
          <w:rFonts w:cs="Arial"/>
          <w:sz w:val="22"/>
        </w:rPr>
        <w:t>M. A</w:t>
      </w:r>
      <w:r w:rsidR="00FA30DB" w:rsidRPr="000E6081">
        <w:rPr>
          <w:rFonts w:cs="Arial"/>
          <w:sz w:val="22"/>
        </w:rPr>
        <w:t>,</w:t>
      </w:r>
      <w:r w:rsidRPr="000E6081">
        <w:rPr>
          <w:rFonts w:cs="Arial"/>
          <w:sz w:val="22"/>
        </w:rPr>
        <w:t xml:space="preserve"> </w:t>
      </w:r>
      <w:r w:rsidR="00FA30DB" w:rsidRPr="000E6081">
        <w:rPr>
          <w:rFonts w:cs="Arial"/>
          <w:sz w:val="22"/>
        </w:rPr>
        <w:t xml:space="preserve">s’il </w:t>
      </w:r>
      <w:r w:rsidR="00E04658" w:rsidRPr="000E6081">
        <w:rPr>
          <w:rFonts w:cs="Arial"/>
          <w:sz w:val="22"/>
        </w:rPr>
        <w:t xml:space="preserve">a exercé </w:t>
      </w:r>
      <w:r w:rsidR="00FA30DB" w:rsidRPr="000E6081">
        <w:rPr>
          <w:rFonts w:cs="Arial"/>
          <w:sz w:val="22"/>
        </w:rPr>
        <w:t xml:space="preserve">à la direction du Trésor </w:t>
      </w:r>
      <w:r w:rsidR="000E6081">
        <w:rPr>
          <w:rFonts w:cs="Arial"/>
          <w:sz w:val="22"/>
        </w:rPr>
        <w:t xml:space="preserve">au </w:t>
      </w:r>
      <w:r w:rsidR="00FA30DB" w:rsidRPr="000E6081">
        <w:rPr>
          <w:rFonts w:cs="Arial"/>
          <w:sz w:val="22"/>
        </w:rPr>
        <w:t xml:space="preserve">début de </w:t>
      </w:r>
      <w:r w:rsidR="000E6081">
        <w:rPr>
          <w:rFonts w:cs="Arial"/>
          <w:sz w:val="22"/>
        </w:rPr>
        <w:t xml:space="preserve">la </w:t>
      </w:r>
      <w:r w:rsidR="00FA30DB" w:rsidRPr="000E6081">
        <w:rPr>
          <w:rFonts w:cs="Arial"/>
          <w:sz w:val="22"/>
        </w:rPr>
        <w:t>période</w:t>
      </w:r>
      <w:r w:rsidR="000E6081">
        <w:rPr>
          <w:rFonts w:cs="Arial"/>
          <w:sz w:val="22"/>
        </w:rPr>
        <w:t xml:space="preserve"> où des éléments constitutifs de gestion de fait étaient réunis</w:t>
      </w:r>
      <w:r w:rsidR="00FA30DB" w:rsidRPr="000E6081">
        <w:rPr>
          <w:rFonts w:cs="Arial"/>
          <w:sz w:val="22"/>
        </w:rPr>
        <w:t xml:space="preserve">, n’en était alors pas le directeur ; </w:t>
      </w:r>
      <w:r w:rsidR="006D3598" w:rsidRPr="000E6081">
        <w:rPr>
          <w:rFonts w:cs="Arial"/>
          <w:sz w:val="22"/>
        </w:rPr>
        <w:t xml:space="preserve">qu’il n’a pas exercé </w:t>
      </w:r>
      <w:r w:rsidR="009E6C69" w:rsidRPr="000E6081">
        <w:rPr>
          <w:rFonts w:cs="Arial"/>
          <w:sz w:val="22"/>
        </w:rPr>
        <w:t xml:space="preserve">dans cette </w:t>
      </w:r>
      <w:r w:rsidR="006D3598" w:rsidRPr="000E6081">
        <w:rPr>
          <w:rFonts w:cs="Arial"/>
          <w:sz w:val="22"/>
        </w:rPr>
        <w:t xml:space="preserve">direction entre le 10 mai 2002 et </w:t>
      </w:r>
      <w:r w:rsidRPr="000E6081">
        <w:rPr>
          <w:rFonts w:cs="Arial"/>
          <w:sz w:val="22"/>
        </w:rPr>
        <w:t>le 25 juin 2004</w:t>
      </w:r>
      <w:r w:rsidR="006D3598" w:rsidRPr="000E6081">
        <w:rPr>
          <w:rFonts w:cs="Arial"/>
          <w:sz w:val="22"/>
        </w:rPr>
        <w:t xml:space="preserve">, </w:t>
      </w:r>
      <w:r w:rsidR="00740464" w:rsidRPr="000E6081">
        <w:rPr>
          <w:rFonts w:cs="Arial"/>
          <w:sz w:val="22"/>
        </w:rPr>
        <w:t xml:space="preserve">date de sa nomination en qualité de directeur du Trésor </w:t>
      </w:r>
      <w:r w:rsidR="006D3598" w:rsidRPr="000E6081">
        <w:rPr>
          <w:rFonts w:cs="Arial"/>
          <w:sz w:val="22"/>
        </w:rPr>
        <w:t>en remplacement de M.</w:t>
      </w:r>
      <w:r w:rsidR="009E6C69" w:rsidRPr="000E6081">
        <w:rPr>
          <w:rFonts w:cs="Arial"/>
          <w:sz w:val="22"/>
        </w:rPr>
        <w:t> </w:t>
      </w:r>
      <w:r w:rsidR="000C64BE">
        <w:rPr>
          <w:rFonts w:cs="Arial"/>
          <w:sz w:val="22"/>
        </w:rPr>
        <w:t>E</w:t>
      </w:r>
      <w:r w:rsidR="006D3598" w:rsidRPr="000E6081">
        <w:rPr>
          <w:rFonts w:cs="Arial"/>
          <w:sz w:val="22"/>
        </w:rPr>
        <w:t>; que M.</w:t>
      </w:r>
      <w:r w:rsidR="000E6081">
        <w:rPr>
          <w:rFonts w:cs="Arial"/>
          <w:sz w:val="22"/>
        </w:rPr>
        <w:t> </w:t>
      </w:r>
      <w:r w:rsidR="000C64BE">
        <w:rPr>
          <w:rFonts w:cs="Arial"/>
          <w:sz w:val="22"/>
        </w:rPr>
        <w:t>Z</w:t>
      </w:r>
      <w:r w:rsidR="006D3598" w:rsidRPr="000E6081">
        <w:rPr>
          <w:rFonts w:cs="Arial"/>
          <w:sz w:val="22"/>
        </w:rPr>
        <w:t xml:space="preserve"> lui a succédé le 5 mars 2009 ;</w:t>
      </w:r>
    </w:p>
    <w:p w:rsidR="00476BBC" w:rsidRPr="00244112" w:rsidRDefault="00476BBC" w:rsidP="00DB4B44">
      <w:pPr>
        <w:spacing w:line="240" w:lineRule="auto"/>
        <w:jc w:val="both"/>
        <w:rPr>
          <w:rFonts w:cs="Arial"/>
          <w:sz w:val="22"/>
        </w:rPr>
      </w:pPr>
    </w:p>
    <w:p w:rsidR="00DB4B44" w:rsidRPr="00244112" w:rsidRDefault="00DB4B44" w:rsidP="00DB4B44">
      <w:pPr>
        <w:spacing w:line="240" w:lineRule="auto"/>
        <w:jc w:val="both"/>
        <w:rPr>
          <w:rFonts w:cs="Arial"/>
          <w:sz w:val="22"/>
        </w:rPr>
      </w:pPr>
      <w:r w:rsidRPr="00244112">
        <w:rPr>
          <w:rFonts w:cs="Arial"/>
          <w:sz w:val="22"/>
        </w:rPr>
        <w:t>Att</w:t>
      </w:r>
      <w:r w:rsidRPr="000E6081">
        <w:rPr>
          <w:rFonts w:cs="Arial"/>
          <w:sz w:val="22"/>
        </w:rPr>
        <w:t xml:space="preserve">endu qu’il n’est pas contesté que les personnes </w:t>
      </w:r>
      <w:r w:rsidR="00FE6544" w:rsidRPr="000E6081">
        <w:rPr>
          <w:rFonts w:cs="Arial"/>
          <w:sz w:val="22"/>
        </w:rPr>
        <w:t xml:space="preserve">physiques </w:t>
      </w:r>
      <w:r w:rsidRPr="000E6081">
        <w:rPr>
          <w:rFonts w:cs="Arial"/>
          <w:sz w:val="22"/>
        </w:rPr>
        <w:t xml:space="preserve">expressément mises en cause par les réquisitoires susvisés, MM. </w:t>
      </w:r>
      <w:r w:rsidR="000C64BE">
        <w:rPr>
          <w:rFonts w:cs="Arial"/>
          <w:sz w:val="22"/>
        </w:rPr>
        <w:t>A</w:t>
      </w:r>
      <w:r w:rsidRPr="000E6081">
        <w:rPr>
          <w:rFonts w:cs="Arial"/>
          <w:sz w:val="22"/>
        </w:rPr>
        <w:t xml:space="preserve">, </w:t>
      </w:r>
      <w:r w:rsidR="000C64BE">
        <w:rPr>
          <w:rFonts w:cs="Arial"/>
          <w:sz w:val="22"/>
        </w:rPr>
        <w:t>Z</w:t>
      </w:r>
      <w:r w:rsidRPr="000E6081">
        <w:rPr>
          <w:rFonts w:cs="Arial"/>
          <w:sz w:val="22"/>
        </w:rPr>
        <w:t xml:space="preserve">, </w:t>
      </w:r>
      <w:r w:rsidR="000C64BE">
        <w:rPr>
          <w:rFonts w:cs="Arial"/>
          <w:sz w:val="22"/>
        </w:rPr>
        <w:t>Y</w:t>
      </w:r>
      <w:r w:rsidRPr="000E6081">
        <w:rPr>
          <w:rFonts w:cs="Arial"/>
          <w:sz w:val="22"/>
        </w:rPr>
        <w:t xml:space="preserve">, </w:t>
      </w:r>
      <w:r w:rsidR="000C64BE">
        <w:rPr>
          <w:rFonts w:cs="Arial"/>
          <w:sz w:val="22"/>
        </w:rPr>
        <w:t>X</w:t>
      </w:r>
      <w:r w:rsidRPr="000E6081">
        <w:rPr>
          <w:rFonts w:cs="Arial"/>
          <w:sz w:val="22"/>
        </w:rPr>
        <w:t xml:space="preserve"> et </w:t>
      </w:r>
      <w:r w:rsidR="000C64BE">
        <w:rPr>
          <w:rFonts w:cs="Arial"/>
          <w:sz w:val="22"/>
        </w:rPr>
        <w:t>B</w:t>
      </w:r>
      <w:r w:rsidRPr="000E6081">
        <w:rPr>
          <w:rFonts w:cs="Arial"/>
          <w:sz w:val="22"/>
        </w:rPr>
        <w:t xml:space="preserve"> ont participé</w:t>
      </w:r>
      <w:r w:rsidR="00FA30DB" w:rsidRPr="000E6081">
        <w:rPr>
          <w:rFonts w:cs="Arial"/>
          <w:sz w:val="22"/>
        </w:rPr>
        <w:t xml:space="preserve"> </w:t>
      </w:r>
      <w:r w:rsidRPr="000E6081">
        <w:rPr>
          <w:rFonts w:cs="Arial"/>
          <w:sz w:val="22"/>
        </w:rPr>
        <w:t xml:space="preserve">aux opérations litigieuses et n’ont pas cherché à y mettre fin avant </w:t>
      </w:r>
      <w:r w:rsidR="00F81AA2" w:rsidRPr="000E6081">
        <w:rPr>
          <w:rFonts w:cs="Arial"/>
          <w:sz w:val="22"/>
        </w:rPr>
        <w:t>le mo</w:t>
      </w:r>
      <w:r w:rsidR="00F81AA2" w:rsidRPr="00244112">
        <w:rPr>
          <w:rFonts w:cs="Arial"/>
          <w:sz w:val="22"/>
        </w:rPr>
        <w:t xml:space="preserve">is de novembre </w:t>
      </w:r>
      <w:r w:rsidRPr="00244112">
        <w:rPr>
          <w:rFonts w:cs="Arial"/>
          <w:sz w:val="22"/>
        </w:rPr>
        <w:t>2009</w:t>
      </w:r>
      <w:r w:rsidR="00FE6544" w:rsidRPr="00244112">
        <w:rPr>
          <w:rFonts w:cs="Arial"/>
          <w:sz w:val="22"/>
        </w:rPr>
        <w:t> </w:t>
      </w:r>
      <w:r w:rsidR="00F81AA2" w:rsidRPr="00244112">
        <w:rPr>
          <w:rFonts w:cs="Arial"/>
          <w:sz w:val="22"/>
        </w:rPr>
        <w:t>;</w:t>
      </w:r>
    </w:p>
    <w:p w:rsidR="00476BBC" w:rsidRPr="00244112" w:rsidRDefault="00476BBC" w:rsidP="00DB4B44">
      <w:pPr>
        <w:spacing w:line="240" w:lineRule="auto"/>
        <w:jc w:val="both"/>
        <w:rPr>
          <w:rFonts w:cs="Arial"/>
          <w:sz w:val="22"/>
        </w:rPr>
      </w:pPr>
    </w:p>
    <w:p w:rsidR="00C90B0D" w:rsidRPr="00244112" w:rsidRDefault="00DB4B44" w:rsidP="00DB4B44">
      <w:pPr>
        <w:spacing w:line="240" w:lineRule="auto"/>
        <w:jc w:val="both"/>
        <w:rPr>
          <w:rFonts w:cs="Arial"/>
          <w:sz w:val="22"/>
        </w:rPr>
      </w:pPr>
      <w:r w:rsidRPr="00244112">
        <w:rPr>
          <w:rFonts w:cs="Arial"/>
          <w:sz w:val="22"/>
        </w:rPr>
        <w:t>Att</w:t>
      </w:r>
      <w:r w:rsidRPr="000E6081">
        <w:rPr>
          <w:rFonts w:cs="Arial"/>
          <w:sz w:val="22"/>
        </w:rPr>
        <w:t>endu toutefois que le recours à des comptes d’attente ouverts à la Caisse des dépôts et consignations a été</w:t>
      </w:r>
      <w:r w:rsidR="00427492" w:rsidRPr="000E6081">
        <w:rPr>
          <w:rFonts w:cs="Arial"/>
          <w:sz w:val="22"/>
        </w:rPr>
        <w:t xml:space="preserve"> organisé</w:t>
      </w:r>
      <w:r w:rsidRPr="000E6081">
        <w:rPr>
          <w:rFonts w:cs="Arial"/>
          <w:sz w:val="22"/>
        </w:rPr>
        <w:t xml:space="preserve">, pour le FPCR 2000 et le FFT3, sur instructions expresses écrites des deux ministres précités ; que si le recours à un tel dispositif pour le fonds </w:t>
      </w:r>
      <w:r w:rsidR="00F95875">
        <w:rPr>
          <w:rFonts w:cs="Arial"/>
          <w:sz w:val="22"/>
        </w:rPr>
        <w:t>FCJE</w:t>
      </w:r>
      <w:r w:rsidR="00F95875" w:rsidRPr="000E6081">
        <w:rPr>
          <w:rFonts w:cs="Arial"/>
          <w:sz w:val="22"/>
        </w:rPr>
        <w:t xml:space="preserve"> </w:t>
      </w:r>
      <w:r w:rsidRPr="000E6081">
        <w:rPr>
          <w:rFonts w:cs="Arial"/>
          <w:sz w:val="22"/>
        </w:rPr>
        <w:t xml:space="preserve">n’est </w:t>
      </w:r>
      <w:r w:rsidR="00961084" w:rsidRPr="000E6081">
        <w:rPr>
          <w:rFonts w:cs="Arial"/>
          <w:sz w:val="22"/>
        </w:rPr>
        <w:t xml:space="preserve">prévu </w:t>
      </w:r>
      <w:r w:rsidRPr="000E6081">
        <w:rPr>
          <w:rFonts w:cs="Arial"/>
          <w:sz w:val="22"/>
        </w:rPr>
        <w:t xml:space="preserve">ni dans le protocole </w:t>
      </w:r>
      <w:r w:rsidR="00E04658" w:rsidRPr="000E6081">
        <w:rPr>
          <w:rFonts w:cs="Arial"/>
          <w:sz w:val="22"/>
        </w:rPr>
        <w:t xml:space="preserve">précité </w:t>
      </w:r>
      <w:r w:rsidRPr="000E6081">
        <w:rPr>
          <w:rFonts w:cs="Arial"/>
          <w:sz w:val="22"/>
        </w:rPr>
        <w:t xml:space="preserve">du 7 février 2002 signé par </w:t>
      </w:r>
      <w:r w:rsidR="000C64BE">
        <w:rPr>
          <w:rFonts w:cs="Arial"/>
          <w:sz w:val="22"/>
        </w:rPr>
        <w:t>M. D</w:t>
      </w:r>
      <w:r w:rsidRPr="000E6081">
        <w:rPr>
          <w:rFonts w:cs="Arial"/>
          <w:sz w:val="22"/>
        </w:rPr>
        <w:t>, ni dans sa décision du 12 mars 2002, la décision relative au FPCR 2000</w:t>
      </w:r>
      <w:r w:rsidR="00E04658" w:rsidRPr="000E6081">
        <w:rPr>
          <w:rFonts w:cs="Arial"/>
          <w:sz w:val="22"/>
        </w:rPr>
        <w:t xml:space="preserve">, qui est antérieure, </w:t>
      </w:r>
      <w:r w:rsidRPr="000E6081">
        <w:rPr>
          <w:rFonts w:cs="Arial"/>
          <w:sz w:val="22"/>
        </w:rPr>
        <w:t xml:space="preserve"> a pu être comprise par la direction </w:t>
      </w:r>
      <w:r w:rsidR="00770A24" w:rsidRPr="000E6081">
        <w:rPr>
          <w:rFonts w:cs="Arial"/>
          <w:sz w:val="22"/>
        </w:rPr>
        <w:t xml:space="preserve">générale </w:t>
      </w:r>
      <w:r w:rsidRPr="000E6081">
        <w:rPr>
          <w:rFonts w:cs="Arial"/>
          <w:sz w:val="22"/>
        </w:rPr>
        <w:t xml:space="preserve">du </w:t>
      </w:r>
      <w:r w:rsidR="003502AF" w:rsidRPr="000E6081">
        <w:rPr>
          <w:rFonts w:cs="Arial"/>
          <w:sz w:val="22"/>
        </w:rPr>
        <w:t>Trésor</w:t>
      </w:r>
      <w:r w:rsidRPr="000E6081">
        <w:rPr>
          <w:rFonts w:cs="Arial"/>
          <w:sz w:val="22"/>
        </w:rPr>
        <w:t>, par assimilation</w:t>
      </w:r>
      <w:r w:rsidR="00F81AA2" w:rsidRPr="000E6081">
        <w:rPr>
          <w:rFonts w:cs="Arial"/>
          <w:sz w:val="22"/>
        </w:rPr>
        <w:t xml:space="preserve"> s’agissant d’un objet identique</w:t>
      </w:r>
      <w:r w:rsidRPr="000E6081">
        <w:rPr>
          <w:rFonts w:cs="Arial"/>
          <w:sz w:val="22"/>
        </w:rPr>
        <w:t>, co</w:t>
      </w:r>
      <w:r w:rsidRPr="00244112">
        <w:rPr>
          <w:rFonts w:cs="Arial"/>
          <w:sz w:val="22"/>
        </w:rPr>
        <w:t xml:space="preserve">mme valant instruction </w:t>
      </w:r>
      <w:r w:rsidR="00D65BC0">
        <w:rPr>
          <w:rFonts w:cs="Arial"/>
          <w:sz w:val="22"/>
        </w:rPr>
        <w:t xml:space="preserve">du ministre </w:t>
      </w:r>
      <w:r w:rsidRPr="00244112">
        <w:rPr>
          <w:rFonts w:cs="Arial"/>
          <w:sz w:val="22"/>
        </w:rPr>
        <w:t xml:space="preserve">d’opter pour les mêmes modalités </w:t>
      </w:r>
      <w:r w:rsidR="00961084" w:rsidRPr="00244112">
        <w:rPr>
          <w:rFonts w:cs="Arial"/>
          <w:sz w:val="22"/>
        </w:rPr>
        <w:t xml:space="preserve">en ce qui concernait </w:t>
      </w:r>
      <w:r w:rsidRPr="00244112">
        <w:rPr>
          <w:rFonts w:cs="Arial"/>
          <w:sz w:val="22"/>
        </w:rPr>
        <w:t xml:space="preserve">le </w:t>
      </w:r>
      <w:r w:rsidR="00F95875">
        <w:rPr>
          <w:rFonts w:cs="Arial"/>
          <w:sz w:val="22"/>
        </w:rPr>
        <w:t>FCJE </w:t>
      </w:r>
      <w:r w:rsidRPr="00244112">
        <w:rPr>
          <w:rFonts w:cs="Arial"/>
          <w:sz w:val="22"/>
        </w:rPr>
        <w:t xml:space="preserve">; </w:t>
      </w:r>
    </w:p>
    <w:p w:rsidR="00C90B0D" w:rsidRPr="00244112" w:rsidRDefault="00C90B0D" w:rsidP="00DB4B44">
      <w:pPr>
        <w:spacing w:line="240" w:lineRule="auto"/>
        <w:jc w:val="both"/>
        <w:rPr>
          <w:rFonts w:cs="Arial"/>
          <w:sz w:val="22"/>
        </w:rPr>
      </w:pPr>
    </w:p>
    <w:p w:rsidR="00E30FB3" w:rsidRPr="00244112" w:rsidRDefault="00C90B0D" w:rsidP="00DB4B44">
      <w:pPr>
        <w:spacing w:line="240" w:lineRule="auto"/>
        <w:jc w:val="both"/>
        <w:rPr>
          <w:rFonts w:cs="Arial"/>
          <w:sz w:val="22"/>
        </w:rPr>
      </w:pPr>
      <w:r w:rsidRPr="000E6081">
        <w:rPr>
          <w:rFonts w:cs="Arial"/>
          <w:sz w:val="22"/>
        </w:rPr>
        <w:t xml:space="preserve">Attendu </w:t>
      </w:r>
      <w:r w:rsidR="00DB4B44" w:rsidRPr="000E6081">
        <w:rPr>
          <w:rFonts w:cs="Arial"/>
          <w:sz w:val="22"/>
        </w:rPr>
        <w:t xml:space="preserve">qu’il convient en cette circonstance de tenir compte, pour identifier les </w:t>
      </w:r>
      <w:r w:rsidR="00085435" w:rsidRPr="000E6081">
        <w:rPr>
          <w:rFonts w:cs="Arial"/>
          <w:sz w:val="22"/>
        </w:rPr>
        <w:t>personnes appelées à rendre compte</w:t>
      </w:r>
      <w:r w:rsidR="00DB4B44" w:rsidRPr="000E6081">
        <w:rPr>
          <w:rFonts w:cs="Arial"/>
          <w:sz w:val="22"/>
        </w:rPr>
        <w:t>, des instructions ministérielles précitées ;</w:t>
      </w:r>
      <w:r w:rsidR="00DB4B44" w:rsidRPr="00244112">
        <w:rPr>
          <w:rFonts w:cs="Arial"/>
          <w:sz w:val="22"/>
        </w:rPr>
        <w:t xml:space="preserve"> </w:t>
      </w:r>
    </w:p>
    <w:p w:rsidR="00E30FB3" w:rsidRPr="00244112" w:rsidRDefault="00E30FB3" w:rsidP="00DB4B44">
      <w:pPr>
        <w:spacing w:line="240" w:lineRule="auto"/>
        <w:jc w:val="both"/>
        <w:rPr>
          <w:rFonts w:cs="Arial"/>
          <w:sz w:val="22"/>
        </w:rPr>
      </w:pPr>
    </w:p>
    <w:p w:rsidR="00E30FB3" w:rsidRPr="000E6081" w:rsidRDefault="00E30FB3" w:rsidP="00DB4B44">
      <w:pPr>
        <w:spacing w:line="240" w:lineRule="auto"/>
        <w:jc w:val="both"/>
        <w:rPr>
          <w:rFonts w:cs="Arial"/>
          <w:sz w:val="22"/>
        </w:rPr>
      </w:pPr>
      <w:r w:rsidRPr="000E6081">
        <w:rPr>
          <w:rFonts w:cs="Arial"/>
          <w:sz w:val="22"/>
        </w:rPr>
        <w:t>Attendu que MM. </w:t>
      </w:r>
      <w:r w:rsidR="000C64BE">
        <w:rPr>
          <w:rFonts w:cs="Arial"/>
          <w:sz w:val="22"/>
        </w:rPr>
        <w:t>A</w:t>
      </w:r>
      <w:r w:rsidRPr="000E6081">
        <w:rPr>
          <w:rFonts w:cs="Arial"/>
          <w:sz w:val="22"/>
        </w:rPr>
        <w:t xml:space="preserve">, </w:t>
      </w:r>
      <w:r w:rsidR="000C64BE">
        <w:rPr>
          <w:rFonts w:cs="Arial"/>
          <w:sz w:val="22"/>
        </w:rPr>
        <w:t>Z</w:t>
      </w:r>
      <w:r w:rsidRPr="000E6081">
        <w:rPr>
          <w:rFonts w:cs="Arial"/>
          <w:sz w:val="22"/>
        </w:rPr>
        <w:t xml:space="preserve">, </w:t>
      </w:r>
      <w:r w:rsidR="000C64BE">
        <w:rPr>
          <w:rFonts w:cs="Arial"/>
          <w:sz w:val="22"/>
        </w:rPr>
        <w:t>Y</w:t>
      </w:r>
      <w:r w:rsidRPr="000E6081">
        <w:rPr>
          <w:rFonts w:cs="Arial"/>
          <w:sz w:val="22"/>
        </w:rPr>
        <w:t xml:space="preserve">, </w:t>
      </w:r>
      <w:r w:rsidR="000C64BE">
        <w:rPr>
          <w:rFonts w:cs="Arial"/>
          <w:sz w:val="22"/>
        </w:rPr>
        <w:t>X</w:t>
      </w:r>
      <w:r w:rsidRPr="000E6081">
        <w:rPr>
          <w:rFonts w:cs="Arial"/>
          <w:sz w:val="22"/>
        </w:rPr>
        <w:t xml:space="preserve"> et </w:t>
      </w:r>
      <w:r w:rsidR="000C64BE">
        <w:rPr>
          <w:rFonts w:cs="Arial"/>
          <w:sz w:val="22"/>
        </w:rPr>
        <w:t>B</w:t>
      </w:r>
      <w:r w:rsidRPr="000E6081">
        <w:rPr>
          <w:rFonts w:cs="Arial"/>
          <w:sz w:val="22"/>
        </w:rPr>
        <w:t xml:space="preserve"> ont appliqué les instructions </w:t>
      </w:r>
      <w:r w:rsidR="00576FD9" w:rsidRPr="000E6081">
        <w:rPr>
          <w:rFonts w:cs="Arial"/>
          <w:sz w:val="22"/>
        </w:rPr>
        <w:t xml:space="preserve">des ministres </w:t>
      </w:r>
      <w:r w:rsidR="00961084" w:rsidRPr="000E6081">
        <w:rPr>
          <w:rFonts w:cs="Arial"/>
          <w:sz w:val="22"/>
        </w:rPr>
        <w:t>susnomm</w:t>
      </w:r>
      <w:r w:rsidR="00576FD9" w:rsidRPr="000E6081">
        <w:rPr>
          <w:rFonts w:cs="Arial"/>
          <w:sz w:val="22"/>
        </w:rPr>
        <w:t>és</w:t>
      </w:r>
      <w:r w:rsidR="00D07C02">
        <w:rPr>
          <w:rFonts w:cs="Arial"/>
          <w:sz w:val="22"/>
        </w:rPr>
        <w:t> </w:t>
      </w:r>
      <w:r w:rsidRPr="000E6081">
        <w:rPr>
          <w:rFonts w:cs="Arial"/>
          <w:sz w:val="22"/>
        </w:rPr>
        <w:t xml:space="preserve">; qu’au demeurant </w:t>
      </w:r>
      <w:r w:rsidR="00961084" w:rsidRPr="000E6081">
        <w:rPr>
          <w:rFonts w:cs="Arial"/>
          <w:sz w:val="22"/>
        </w:rPr>
        <w:t xml:space="preserve">lesdits </w:t>
      </w:r>
      <w:r w:rsidRPr="000E6081">
        <w:rPr>
          <w:rFonts w:cs="Arial"/>
          <w:sz w:val="22"/>
        </w:rPr>
        <w:t xml:space="preserve">ministres, </w:t>
      </w:r>
      <w:r w:rsidR="00603D65" w:rsidRPr="000E6081">
        <w:rPr>
          <w:rFonts w:cs="Arial"/>
          <w:sz w:val="22"/>
        </w:rPr>
        <w:t xml:space="preserve">dont les décisions sont </w:t>
      </w:r>
      <w:r w:rsidRPr="000E6081">
        <w:rPr>
          <w:rFonts w:cs="Arial"/>
          <w:sz w:val="22"/>
        </w:rPr>
        <w:t xml:space="preserve">à l’origine des opérations litigieuses, n’ont pas été mis en cause </w:t>
      </w:r>
      <w:r w:rsidR="00961084" w:rsidRPr="000E6081">
        <w:rPr>
          <w:rFonts w:cs="Arial"/>
          <w:sz w:val="22"/>
        </w:rPr>
        <w:t xml:space="preserve">dans les </w:t>
      </w:r>
      <w:r w:rsidRPr="000E6081">
        <w:rPr>
          <w:rFonts w:cs="Arial"/>
          <w:sz w:val="22"/>
        </w:rPr>
        <w:t>réquisitoire</w:t>
      </w:r>
      <w:r w:rsidR="00961084" w:rsidRPr="000E6081">
        <w:rPr>
          <w:rFonts w:cs="Arial"/>
          <w:sz w:val="22"/>
        </w:rPr>
        <w:t>s</w:t>
      </w:r>
      <w:r w:rsidR="00603D65" w:rsidRPr="000E6081">
        <w:rPr>
          <w:rFonts w:cs="Arial"/>
          <w:sz w:val="22"/>
        </w:rPr>
        <w:t> </w:t>
      </w:r>
      <w:r w:rsidRPr="000E6081">
        <w:rPr>
          <w:rFonts w:cs="Arial"/>
          <w:sz w:val="22"/>
        </w:rPr>
        <w:t>; que les autorités en charge du contrôle financier et les comptables patents n</w:t>
      </w:r>
      <w:r w:rsidR="00961084" w:rsidRPr="000E6081">
        <w:rPr>
          <w:rFonts w:cs="Arial"/>
          <w:sz w:val="22"/>
        </w:rPr>
        <w:t>e l</w:t>
      </w:r>
      <w:r w:rsidRPr="000E6081">
        <w:rPr>
          <w:rFonts w:cs="Arial"/>
          <w:sz w:val="22"/>
        </w:rPr>
        <w:t>’ont pas été davantage</w:t>
      </w:r>
      <w:r w:rsidR="00D07C02">
        <w:rPr>
          <w:rFonts w:cs="Arial"/>
          <w:sz w:val="22"/>
        </w:rPr>
        <w:t> </w:t>
      </w:r>
      <w:r w:rsidRPr="000E6081">
        <w:rPr>
          <w:rFonts w:cs="Arial"/>
          <w:sz w:val="22"/>
        </w:rPr>
        <w:t>; qu</w:t>
      </w:r>
      <w:r w:rsidR="003D3693" w:rsidRPr="000E6081">
        <w:rPr>
          <w:rFonts w:cs="Arial"/>
          <w:sz w:val="22"/>
        </w:rPr>
        <w:t xml:space="preserve">e </w:t>
      </w:r>
      <w:r w:rsidRPr="000E6081">
        <w:rPr>
          <w:rFonts w:cs="Arial"/>
          <w:sz w:val="22"/>
        </w:rPr>
        <w:t>M. </w:t>
      </w:r>
      <w:r w:rsidR="000C64BE">
        <w:rPr>
          <w:rFonts w:cs="Arial"/>
          <w:sz w:val="22"/>
        </w:rPr>
        <w:t>A</w:t>
      </w:r>
      <w:r w:rsidRPr="000E6081">
        <w:rPr>
          <w:rFonts w:cs="Arial"/>
          <w:sz w:val="22"/>
        </w:rPr>
        <w:t xml:space="preserve"> n’a été nommé directeur général du </w:t>
      </w:r>
      <w:r w:rsidR="003502AF" w:rsidRPr="000E6081">
        <w:rPr>
          <w:rFonts w:cs="Arial"/>
          <w:sz w:val="22"/>
        </w:rPr>
        <w:t>Trésor</w:t>
      </w:r>
      <w:r w:rsidRPr="000E6081">
        <w:rPr>
          <w:rFonts w:cs="Arial"/>
          <w:sz w:val="22"/>
        </w:rPr>
        <w:t xml:space="preserve"> qu’à compter du 25 juin 2004</w:t>
      </w:r>
      <w:r w:rsidR="00961084" w:rsidRPr="000E6081">
        <w:rPr>
          <w:rFonts w:cs="Arial"/>
          <w:sz w:val="22"/>
        </w:rPr>
        <w:t>,</w:t>
      </w:r>
      <w:r w:rsidRPr="000E6081">
        <w:rPr>
          <w:rFonts w:cs="Arial"/>
          <w:sz w:val="22"/>
        </w:rPr>
        <w:t xml:space="preserve"> et </w:t>
      </w:r>
      <w:r w:rsidR="00FA30DB" w:rsidRPr="000E6081">
        <w:rPr>
          <w:rFonts w:cs="Arial"/>
          <w:sz w:val="22"/>
        </w:rPr>
        <w:t xml:space="preserve">que </w:t>
      </w:r>
      <w:r w:rsidRPr="000E6081">
        <w:rPr>
          <w:rFonts w:cs="Arial"/>
          <w:sz w:val="22"/>
        </w:rPr>
        <w:t>son prédécesseur n’a pas été mis en cause</w:t>
      </w:r>
      <w:r w:rsidR="00D07C02">
        <w:rPr>
          <w:rFonts w:cs="Arial"/>
          <w:sz w:val="22"/>
        </w:rPr>
        <w:t> </w:t>
      </w:r>
      <w:r w:rsidRPr="000E6081">
        <w:rPr>
          <w:rFonts w:cs="Arial"/>
          <w:sz w:val="22"/>
        </w:rPr>
        <w:t>;</w:t>
      </w:r>
      <w:r w:rsidR="00084C06" w:rsidRPr="000E6081">
        <w:rPr>
          <w:rFonts w:cs="Arial"/>
          <w:sz w:val="22"/>
        </w:rPr>
        <w:t xml:space="preserve"> que le réquisitoire n’a mis en cause individuellement aucun responsable de la Caisse des dépôts et consignations ;</w:t>
      </w:r>
    </w:p>
    <w:p w:rsidR="00FE6544" w:rsidRPr="000E6081" w:rsidRDefault="00FE6544" w:rsidP="00DB4B44">
      <w:pPr>
        <w:spacing w:line="240" w:lineRule="auto"/>
        <w:jc w:val="both"/>
        <w:rPr>
          <w:rFonts w:cs="Arial"/>
          <w:sz w:val="22"/>
        </w:rPr>
      </w:pPr>
    </w:p>
    <w:p w:rsidR="00CE3904" w:rsidRPr="000E6081" w:rsidRDefault="00FE6544" w:rsidP="00FE6544">
      <w:pPr>
        <w:spacing w:line="240" w:lineRule="auto"/>
        <w:jc w:val="both"/>
        <w:rPr>
          <w:sz w:val="22"/>
        </w:rPr>
      </w:pPr>
      <w:r w:rsidRPr="000E6081">
        <w:rPr>
          <w:rFonts w:cs="Arial"/>
          <w:sz w:val="22"/>
        </w:rPr>
        <w:t>Attendu</w:t>
      </w:r>
      <w:r w:rsidR="000E6081">
        <w:rPr>
          <w:rFonts w:cs="Arial"/>
          <w:sz w:val="22"/>
        </w:rPr>
        <w:t>, s’agissant de la Caisse des dépôts et consignations, personne morale,</w:t>
      </w:r>
      <w:r w:rsidRPr="000E6081">
        <w:rPr>
          <w:rFonts w:cs="Arial"/>
          <w:sz w:val="22"/>
        </w:rPr>
        <w:t xml:space="preserve"> que </w:t>
      </w:r>
      <w:r w:rsidR="00576FD9" w:rsidRPr="000E6081">
        <w:rPr>
          <w:rFonts w:cs="Arial"/>
          <w:sz w:val="22"/>
        </w:rPr>
        <w:t>le</w:t>
      </w:r>
      <w:r w:rsidR="00084C06" w:rsidRPr="000E6081">
        <w:rPr>
          <w:rFonts w:cs="Arial"/>
          <w:sz w:val="22"/>
        </w:rPr>
        <w:t>s versements sur les comptes d’attente</w:t>
      </w:r>
      <w:r w:rsidR="00084C06" w:rsidRPr="000E6081">
        <w:rPr>
          <w:sz w:val="22"/>
        </w:rPr>
        <w:t>, leur placement et leur utilisation pour abonder la participation de l’Etat dans les trois fonds précités</w:t>
      </w:r>
      <w:r w:rsidR="00576FD9" w:rsidRPr="000E6081">
        <w:rPr>
          <w:sz w:val="22"/>
        </w:rPr>
        <w:t xml:space="preserve"> </w:t>
      </w:r>
      <w:r w:rsidR="00084C06" w:rsidRPr="000E6081">
        <w:rPr>
          <w:sz w:val="22"/>
        </w:rPr>
        <w:t xml:space="preserve">ont été opérés à l’initiative de </w:t>
      </w:r>
      <w:r w:rsidRPr="000E6081">
        <w:rPr>
          <w:sz w:val="22"/>
        </w:rPr>
        <w:t>l’</w:t>
      </w:r>
      <w:r w:rsidR="00D07C02">
        <w:rPr>
          <w:sz w:val="22"/>
        </w:rPr>
        <w:t>État </w:t>
      </w:r>
      <w:r w:rsidRPr="000E6081">
        <w:rPr>
          <w:sz w:val="22"/>
        </w:rPr>
        <w:t>;</w:t>
      </w:r>
      <w:r w:rsidR="00312BBD" w:rsidRPr="000E6081">
        <w:rPr>
          <w:sz w:val="22"/>
        </w:rPr>
        <w:t xml:space="preserve"> </w:t>
      </w:r>
    </w:p>
    <w:p w:rsidR="00CD10C6" w:rsidRPr="000E6081" w:rsidRDefault="00CD10C6" w:rsidP="00FE6544">
      <w:pPr>
        <w:spacing w:line="240" w:lineRule="auto"/>
        <w:jc w:val="both"/>
        <w:rPr>
          <w:sz w:val="22"/>
        </w:rPr>
      </w:pPr>
    </w:p>
    <w:p w:rsidR="00CE3904" w:rsidRPr="00FE6544" w:rsidRDefault="00CE3904" w:rsidP="00FE6544">
      <w:pPr>
        <w:spacing w:line="240" w:lineRule="auto"/>
        <w:jc w:val="both"/>
        <w:rPr>
          <w:rFonts w:cs="Arial"/>
          <w:sz w:val="22"/>
        </w:rPr>
      </w:pPr>
      <w:r w:rsidRPr="000E6081">
        <w:rPr>
          <w:sz w:val="22"/>
        </w:rPr>
        <w:t>Attendu qu’ainsi</w:t>
      </w:r>
      <w:r w:rsidR="001E18CB" w:rsidRPr="000E6081">
        <w:rPr>
          <w:sz w:val="22"/>
        </w:rPr>
        <w:t>, à supposer</w:t>
      </w:r>
      <w:r w:rsidRPr="000E6081">
        <w:rPr>
          <w:sz w:val="22"/>
        </w:rPr>
        <w:t xml:space="preserve"> </w:t>
      </w:r>
      <w:r w:rsidR="001E18CB" w:rsidRPr="000E6081">
        <w:rPr>
          <w:sz w:val="22"/>
        </w:rPr>
        <w:t xml:space="preserve">que la déclaration de gestion de fait ne soit pas </w:t>
      </w:r>
      <w:r w:rsidR="008D223B" w:rsidRPr="000E6081">
        <w:rPr>
          <w:sz w:val="22"/>
        </w:rPr>
        <w:t xml:space="preserve">en elle-même </w:t>
      </w:r>
      <w:r w:rsidR="001E18CB" w:rsidRPr="000E6081">
        <w:rPr>
          <w:sz w:val="22"/>
        </w:rPr>
        <w:t>dépourvue d’</w:t>
      </w:r>
      <w:r w:rsidRPr="000E6081">
        <w:rPr>
          <w:sz w:val="22"/>
        </w:rPr>
        <w:t>i</w:t>
      </w:r>
      <w:r w:rsidR="001E18CB" w:rsidRPr="000E6081">
        <w:rPr>
          <w:sz w:val="22"/>
        </w:rPr>
        <w:t>ntérêt pratique, i</w:t>
      </w:r>
      <w:r w:rsidRPr="000E6081">
        <w:rPr>
          <w:sz w:val="22"/>
        </w:rPr>
        <w:t>l n’y a</w:t>
      </w:r>
      <w:r w:rsidR="001E18CB" w:rsidRPr="000E6081">
        <w:rPr>
          <w:sz w:val="22"/>
        </w:rPr>
        <w:t>urait</w:t>
      </w:r>
      <w:r w:rsidRPr="000E6081">
        <w:rPr>
          <w:sz w:val="22"/>
        </w:rPr>
        <w:t xml:space="preserve"> </w:t>
      </w:r>
      <w:r w:rsidR="00CD10C6" w:rsidRPr="000E6081">
        <w:rPr>
          <w:sz w:val="22"/>
        </w:rPr>
        <w:t xml:space="preserve">pas </w:t>
      </w:r>
      <w:r w:rsidRPr="000E6081">
        <w:rPr>
          <w:sz w:val="22"/>
        </w:rPr>
        <w:t>lieu</w:t>
      </w:r>
      <w:r w:rsidR="000E6081">
        <w:rPr>
          <w:sz w:val="22"/>
        </w:rPr>
        <w:t>, au cas d’espèce,</w:t>
      </w:r>
      <w:r w:rsidRPr="000E6081">
        <w:rPr>
          <w:sz w:val="22"/>
        </w:rPr>
        <w:t xml:space="preserve"> d</w:t>
      </w:r>
      <w:r w:rsidR="00CD10C6" w:rsidRPr="000E6081">
        <w:rPr>
          <w:sz w:val="22"/>
        </w:rPr>
        <w:t>’appeler à compter les personnes citées au réquisitoire</w:t>
      </w:r>
      <w:r w:rsidR="00D07C02">
        <w:rPr>
          <w:sz w:val="22"/>
        </w:rPr>
        <w:t> </w:t>
      </w:r>
      <w:r w:rsidRPr="000E6081">
        <w:rPr>
          <w:sz w:val="22"/>
        </w:rPr>
        <w:t>;</w:t>
      </w:r>
    </w:p>
    <w:p w:rsidR="00DB4B44" w:rsidRDefault="00DB4B44" w:rsidP="00DB4B44">
      <w:pPr>
        <w:spacing w:line="240" w:lineRule="auto"/>
        <w:jc w:val="both"/>
        <w:rPr>
          <w:rFonts w:cs="Arial"/>
          <w:sz w:val="22"/>
        </w:rPr>
      </w:pPr>
    </w:p>
    <w:p w:rsidR="00EC1025" w:rsidRPr="00DB4B44" w:rsidRDefault="00EC1025" w:rsidP="00DB4B44">
      <w:pPr>
        <w:spacing w:line="240" w:lineRule="auto"/>
        <w:jc w:val="both"/>
        <w:rPr>
          <w:rFonts w:cs="Arial"/>
          <w:sz w:val="22"/>
        </w:rPr>
      </w:pPr>
    </w:p>
    <w:p w:rsidR="00DB4B44" w:rsidRPr="00DB4B44" w:rsidRDefault="001E18CB" w:rsidP="00DB4B44">
      <w:pPr>
        <w:spacing w:line="240" w:lineRule="auto"/>
        <w:jc w:val="both"/>
        <w:rPr>
          <w:rFonts w:cs="Arial"/>
          <w:b/>
          <w:i/>
          <w:sz w:val="22"/>
        </w:rPr>
      </w:pPr>
      <w:r>
        <w:rPr>
          <w:rFonts w:cs="Arial"/>
          <w:b/>
          <w:i/>
          <w:sz w:val="22"/>
        </w:rPr>
        <w:t>S</w:t>
      </w:r>
      <w:r w:rsidR="00DB4B44" w:rsidRPr="00DB4B44">
        <w:rPr>
          <w:rFonts w:cs="Arial"/>
          <w:b/>
          <w:i/>
          <w:sz w:val="22"/>
        </w:rPr>
        <w:t>ur le défaut d’intérêt pratique</w:t>
      </w:r>
    </w:p>
    <w:p w:rsidR="00DB4B44" w:rsidRDefault="00DB4B44" w:rsidP="00DB4B44">
      <w:pPr>
        <w:spacing w:line="240" w:lineRule="auto"/>
        <w:jc w:val="both"/>
        <w:rPr>
          <w:rFonts w:cs="Arial"/>
          <w:sz w:val="22"/>
        </w:rPr>
      </w:pPr>
    </w:p>
    <w:p w:rsidR="00CD10C6" w:rsidRPr="00DB4B44" w:rsidRDefault="00CD10C6" w:rsidP="00DB4B44">
      <w:pPr>
        <w:spacing w:line="240" w:lineRule="auto"/>
        <w:jc w:val="both"/>
        <w:rPr>
          <w:rFonts w:cs="Arial"/>
          <w:sz w:val="22"/>
        </w:rPr>
      </w:pPr>
      <w:r w:rsidRPr="000E6081">
        <w:rPr>
          <w:rFonts w:cs="Arial"/>
          <w:sz w:val="22"/>
        </w:rPr>
        <w:t xml:space="preserve">Attendu que le juge des comptes peut s’abstenir de déclarer une gestion de fait </w:t>
      </w:r>
      <w:r w:rsidR="00E04658" w:rsidRPr="000E6081">
        <w:rPr>
          <w:rFonts w:cs="Arial"/>
          <w:sz w:val="22"/>
        </w:rPr>
        <w:t>lorsqu’une telle déclaration, pour des raisons de droit ou de fait,</w:t>
      </w:r>
      <w:r w:rsidR="00D07C02">
        <w:rPr>
          <w:rFonts w:cs="Arial"/>
          <w:sz w:val="22"/>
        </w:rPr>
        <w:t xml:space="preserve"> </w:t>
      </w:r>
      <w:r w:rsidR="00E04658" w:rsidRPr="000E6081">
        <w:rPr>
          <w:rFonts w:cs="Arial"/>
          <w:sz w:val="22"/>
        </w:rPr>
        <w:t xml:space="preserve">ne présente pas </w:t>
      </w:r>
      <w:r w:rsidRPr="000E6081">
        <w:rPr>
          <w:rFonts w:cs="Arial"/>
          <w:sz w:val="22"/>
        </w:rPr>
        <w:t>d’intérêt pratique</w:t>
      </w:r>
      <w:r w:rsidR="00D07C02">
        <w:rPr>
          <w:rFonts w:cs="Arial"/>
          <w:sz w:val="22"/>
        </w:rPr>
        <w:t> </w:t>
      </w:r>
      <w:r w:rsidRPr="000E6081">
        <w:rPr>
          <w:rFonts w:cs="Arial"/>
          <w:sz w:val="22"/>
        </w:rPr>
        <w:t>;</w:t>
      </w:r>
    </w:p>
    <w:p w:rsidR="00CD10C6" w:rsidRDefault="00CD10C6" w:rsidP="00363921">
      <w:pPr>
        <w:spacing w:line="240" w:lineRule="auto"/>
        <w:jc w:val="both"/>
        <w:rPr>
          <w:rFonts w:cs="Arial"/>
          <w:i/>
          <w:sz w:val="22"/>
        </w:rPr>
      </w:pPr>
    </w:p>
    <w:p w:rsidR="003B6F0B" w:rsidRPr="000E6081" w:rsidRDefault="00CD10C6" w:rsidP="00363921">
      <w:pPr>
        <w:spacing w:line="240" w:lineRule="auto"/>
        <w:jc w:val="both"/>
        <w:rPr>
          <w:rFonts w:cs="Arial"/>
          <w:i/>
          <w:sz w:val="22"/>
        </w:rPr>
      </w:pPr>
      <w:r w:rsidRPr="000E6081">
        <w:rPr>
          <w:rFonts w:cs="Arial"/>
          <w:i/>
          <w:sz w:val="22"/>
        </w:rPr>
        <w:t>Sur l</w:t>
      </w:r>
      <w:r w:rsidR="003B6F0B" w:rsidRPr="000E6081">
        <w:rPr>
          <w:rFonts w:cs="Arial"/>
          <w:i/>
          <w:sz w:val="22"/>
        </w:rPr>
        <w:t>es raisons de droit</w:t>
      </w:r>
    </w:p>
    <w:p w:rsidR="003B6F0B" w:rsidRPr="000E6081" w:rsidRDefault="003B6F0B" w:rsidP="00363921">
      <w:pPr>
        <w:spacing w:line="240" w:lineRule="auto"/>
        <w:jc w:val="both"/>
        <w:rPr>
          <w:rFonts w:cs="Arial"/>
          <w:sz w:val="22"/>
        </w:rPr>
      </w:pPr>
    </w:p>
    <w:p w:rsidR="00DB4B44" w:rsidRPr="000E6081" w:rsidRDefault="00DB4B44" w:rsidP="00DB4B44">
      <w:pPr>
        <w:spacing w:line="240" w:lineRule="auto"/>
        <w:jc w:val="both"/>
        <w:rPr>
          <w:rFonts w:cs="Arial"/>
          <w:sz w:val="22"/>
        </w:rPr>
      </w:pPr>
      <w:r w:rsidRPr="000E6081">
        <w:rPr>
          <w:rFonts w:cs="Arial"/>
          <w:sz w:val="22"/>
        </w:rPr>
        <w:t>Attendu qu’il n’est pas contesté</w:t>
      </w:r>
      <w:r w:rsidR="00770A24" w:rsidRPr="000E6081">
        <w:rPr>
          <w:rFonts w:cs="Arial"/>
          <w:sz w:val="22"/>
        </w:rPr>
        <w:t xml:space="preserve"> que les opérations </w:t>
      </w:r>
      <w:r w:rsidR="00E04658" w:rsidRPr="000E6081">
        <w:rPr>
          <w:rFonts w:cs="Arial"/>
          <w:sz w:val="22"/>
        </w:rPr>
        <w:t>en cause</w:t>
      </w:r>
      <w:r w:rsidR="003B6F0B" w:rsidRPr="000E6081">
        <w:rPr>
          <w:rFonts w:cs="Arial"/>
          <w:sz w:val="22"/>
        </w:rPr>
        <w:t>, constituées par l’</w:t>
      </w:r>
      <w:r w:rsidR="00C90B0D" w:rsidRPr="000E6081">
        <w:rPr>
          <w:rFonts w:cs="Arial"/>
          <w:sz w:val="22"/>
        </w:rPr>
        <w:t>ensemble</w:t>
      </w:r>
      <w:r w:rsidR="003B6F0B" w:rsidRPr="000E6081">
        <w:rPr>
          <w:rFonts w:cs="Arial"/>
          <w:sz w:val="22"/>
        </w:rPr>
        <w:t xml:space="preserve"> des mouvements sur le</w:t>
      </w:r>
      <w:r w:rsidR="00C90B0D" w:rsidRPr="000E6081">
        <w:rPr>
          <w:rFonts w:cs="Arial"/>
          <w:sz w:val="22"/>
        </w:rPr>
        <w:t>s</w:t>
      </w:r>
      <w:r w:rsidR="003B6F0B" w:rsidRPr="000E6081">
        <w:rPr>
          <w:rFonts w:cs="Arial"/>
          <w:sz w:val="22"/>
        </w:rPr>
        <w:t xml:space="preserve"> comptes d’attente et des comptes-titres associés, tels qu’identifiés au rapport</w:t>
      </w:r>
      <w:r w:rsidR="00961084" w:rsidRPr="000E6081">
        <w:rPr>
          <w:rFonts w:cs="Arial"/>
          <w:sz w:val="22"/>
        </w:rPr>
        <w:t xml:space="preserve"> d’instruction</w:t>
      </w:r>
      <w:r w:rsidR="003B6F0B" w:rsidRPr="000E6081">
        <w:rPr>
          <w:rFonts w:cs="Arial"/>
          <w:sz w:val="22"/>
        </w:rPr>
        <w:t xml:space="preserve">, </w:t>
      </w:r>
      <w:r w:rsidRPr="000E6081">
        <w:rPr>
          <w:rFonts w:cs="Arial"/>
          <w:sz w:val="22"/>
        </w:rPr>
        <w:t xml:space="preserve">n’ont pas </w:t>
      </w:r>
      <w:r w:rsidR="0099686E" w:rsidRPr="000E6081">
        <w:rPr>
          <w:rFonts w:cs="Arial"/>
          <w:sz w:val="22"/>
        </w:rPr>
        <w:t xml:space="preserve">été </w:t>
      </w:r>
      <w:r w:rsidR="00C90B0D" w:rsidRPr="000E6081">
        <w:rPr>
          <w:rFonts w:cs="Arial"/>
          <w:sz w:val="22"/>
        </w:rPr>
        <w:t xml:space="preserve">intégralement </w:t>
      </w:r>
      <w:r w:rsidRPr="000E6081">
        <w:rPr>
          <w:rFonts w:cs="Arial"/>
          <w:sz w:val="22"/>
        </w:rPr>
        <w:t xml:space="preserve">reprises </w:t>
      </w:r>
      <w:r w:rsidR="00363921" w:rsidRPr="000E6081">
        <w:rPr>
          <w:rFonts w:cs="Arial"/>
          <w:sz w:val="22"/>
        </w:rPr>
        <w:t xml:space="preserve">par des écritures </w:t>
      </w:r>
      <w:r w:rsidR="003B6F0B" w:rsidRPr="000E6081">
        <w:rPr>
          <w:rFonts w:cs="Arial"/>
          <w:sz w:val="22"/>
        </w:rPr>
        <w:t xml:space="preserve">correspondantes </w:t>
      </w:r>
      <w:r w:rsidRPr="000E6081">
        <w:rPr>
          <w:rFonts w:cs="Arial"/>
          <w:sz w:val="22"/>
        </w:rPr>
        <w:t xml:space="preserve">dans la comptabilité patente ; </w:t>
      </w:r>
      <w:r w:rsidR="005100CE" w:rsidRPr="000E6081">
        <w:rPr>
          <w:rFonts w:cs="Arial"/>
          <w:sz w:val="22"/>
        </w:rPr>
        <w:t>qu’ainsi elles n</w:t>
      </w:r>
      <w:r w:rsidR="00961084" w:rsidRPr="000E6081">
        <w:rPr>
          <w:rFonts w:cs="Arial"/>
          <w:sz w:val="22"/>
        </w:rPr>
        <w:t>e peuvent être tenues pour</w:t>
      </w:r>
      <w:r w:rsidR="005100CE" w:rsidRPr="000E6081">
        <w:rPr>
          <w:rFonts w:cs="Arial"/>
          <w:sz w:val="22"/>
        </w:rPr>
        <w:t xml:space="preserve"> régularisées ;</w:t>
      </w:r>
    </w:p>
    <w:p w:rsidR="00DB4B44" w:rsidRPr="000E6081" w:rsidRDefault="00DB4B44" w:rsidP="00DB4B44">
      <w:pPr>
        <w:spacing w:line="240" w:lineRule="auto"/>
        <w:jc w:val="both"/>
        <w:rPr>
          <w:rFonts w:cs="Arial"/>
          <w:sz w:val="22"/>
        </w:rPr>
      </w:pPr>
    </w:p>
    <w:p w:rsidR="00D07C02" w:rsidRDefault="00D07C02">
      <w:pPr>
        <w:spacing w:line="240" w:lineRule="auto"/>
        <w:rPr>
          <w:rFonts w:cs="Arial"/>
          <w:i/>
          <w:sz w:val="22"/>
        </w:rPr>
      </w:pPr>
      <w:r>
        <w:rPr>
          <w:rFonts w:cs="Arial"/>
          <w:i/>
          <w:sz w:val="22"/>
        </w:rPr>
        <w:br w:type="page"/>
      </w:r>
    </w:p>
    <w:p w:rsidR="003B6F0B" w:rsidRPr="000E6081" w:rsidRDefault="00CD10C6" w:rsidP="00DB4B44">
      <w:pPr>
        <w:spacing w:line="240" w:lineRule="auto"/>
        <w:jc w:val="both"/>
        <w:rPr>
          <w:rFonts w:cs="Arial"/>
          <w:i/>
          <w:sz w:val="22"/>
        </w:rPr>
      </w:pPr>
      <w:r w:rsidRPr="000E6081">
        <w:rPr>
          <w:rFonts w:cs="Arial"/>
          <w:i/>
          <w:sz w:val="22"/>
        </w:rPr>
        <w:lastRenderedPageBreak/>
        <w:t>Sur l</w:t>
      </w:r>
      <w:r w:rsidR="003B6F0B" w:rsidRPr="000E6081">
        <w:rPr>
          <w:rFonts w:cs="Arial"/>
          <w:i/>
          <w:sz w:val="22"/>
        </w:rPr>
        <w:t>es raisons de fait</w:t>
      </w:r>
    </w:p>
    <w:p w:rsidR="003B6F0B" w:rsidRPr="000E6081" w:rsidRDefault="003B6F0B" w:rsidP="00DB4B44">
      <w:pPr>
        <w:spacing w:line="240" w:lineRule="auto"/>
        <w:jc w:val="both"/>
        <w:rPr>
          <w:rFonts w:cs="Arial"/>
          <w:sz w:val="22"/>
        </w:rPr>
      </w:pPr>
    </w:p>
    <w:p w:rsidR="005F5CE4" w:rsidRPr="000E6081" w:rsidRDefault="005F5CE4" w:rsidP="005F5CE4">
      <w:pPr>
        <w:spacing w:line="240" w:lineRule="auto"/>
        <w:jc w:val="both"/>
        <w:rPr>
          <w:rFonts w:cs="Arial"/>
          <w:sz w:val="22"/>
        </w:rPr>
      </w:pPr>
      <w:r w:rsidRPr="000E6081">
        <w:rPr>
          <w:rFonts w:cs="Arial"/>
          <w:sz w:val="22"/>
        </w:rPr>
        <w:t>Attendu que l’argument, invoqué à l’audience, selon lequel le recours au circuit régulier de la dépense aurait alors présenté un risque de retard d</w:t>
      </w:r>
      <w:r w:rsidR="00C77BBA" w:rsidRPr="000E6081">
        <w:rPr>
          <w:rFonts w:cs="Arial"/>
          <w:sz w:val="22"/>
        </w:rPr>
        <w:t>ans le versement aux sociétés de gestion précitées</w:t>
      </w:r>
      <w:r w:rsidRPr="000E6081">
        <w:rPr>
          <w:rFonts w:cs="Arial"/>
          <w:sz w:val="22"/>
        </w:rPr>
        <w:t xml:space="preserve">, </w:t>
      </w:r>
      <w:r w:rsidR="0099686E" w:rsidRPr="000E6081">
        <w:rPr>
          <w:rFonts w:cs="Arial"/>
          <w:sz w:val="22"/>
        </w:rPr>
        <w:t xml:space="preserve">de manière </w:t>
      </w:r>
      <w:r w:rsidRPr="000E6081">
        <w:rPr>
          <w:rFonts w:cs="Arial"/>
          <w:sz w:val="22"/>
        </w:rPr>
        <w:t xml:space="preserve">incompatible avec </w:t>
      </w:r>
      <w:r w:rsidR="00C77BBA" w:rsidRPr="000E6081">
        <w:rPr>
          <w:rFonts w:cs="Arial"/>
          <w:sz w:val="22"/>
        </w:rPr>
        <w:t xml:space="preserve">les </w:t>
      </w:r>
      <w:r w:rsidRPr="000E6081">
        <w:rPr>
          <w:rFonts w:cs="Arial"/>
          <w:sz w:val="22"/>
        </w:rPr>
        <w:t>règlement</w:t>
      </w:r>
      <w:r w:rsidR="00C77BBA" w:rsidRPr="000E6081">
        <w:rPr>
          <w:rFonts w:cs="Arial"/>
          <w:sz w:val="22"/>
        </w:rPr>
        <w:t>s</w:t>
      </w:r>
      <w:r w:rsidRPr="000E6081">
        <w:rPr>
          <w:rFonts w:cs="Arial"/>
          <w:sz w:val="22"/>
        </w:rPr>
        <w:t xml:space="preserve"> intérieur</w:t>
      </w:r>
      <w:r w:rsidR="00C77BBA" w:rsidRPr="000E6081">
        <w:rPr>
          <w:rFonts w:cs="Arial"/>
          <w:sz w:val="22"/>
        </w:rPr>
        <w:t>s des trois fonds</w:t>
      </w:r>
      <w:r w:rsidRPr="000E6081">
        <w:rPr>
          <w:rFonts w:cs="Arial"/>
          <w:sz w:val="22"/>
        </w:rPr>
        <w:t xml:space="preserve">, </w:t>
      </w:r>
      <w:r w:rsidR="00E43E5A" w:rsidRPr="000E6081">
        <w:rPr>
          <w:rFonts w:cs="Arial"/>
          <w:sz w:val="22"/>
        </w:rPr>
        <w:t xml:space="preserve">est dépourvu de force probante dans la mesure où </w:t>
      </w:r>
      <w:r w:rsidRPr="000E6081">
        <w:rPr>
          <w:rFonts w:cs="Arial"/>
          <w:sz w:val="22"/>
        </w:rPr>
        <w:t>des parts y ont été souscrites par l’Etat, sur la même période, sans recours aux comptes d’attente ;</w:t>
      </w:r>
      <w:r w:rsidR="00B50E34" w:rsidRPr="000E6081">
        <w:rPr>
          <w:rFonts w:cs="Arial"/>
          <w:sz w:val="22"/>
        </w:rPr>
        <w:t xml:space="preserve"> </w:t>
      </w:r>
    </w:p>
    <w:p w:rsidR="005F5CE4" w:rsidRPr="000E6081" w:rsidRDefault="005F5CE4" w:rsidP="00DB4B44">
      <w:pPr>
        <w:spacing w:line="240" w:lineRule="auto"/>
        <w:jc w:val="both"/>
        <w:rPr>
          <w:rFonts w:cs="Arial"/>
          <w:sz w:val="22"/>
        </w:rPr>
      </w:pPr>
    </w:p>
    <w:p w:rsidR="00DB4B44" w:rsidRPr="000E6081" w:rsidRDefault="00DB4B44" w:rsidP="00DB4B44">
      <w:pPr>
        <w:spacing w:line="240" w:lineRule="auto"/>
        <w:jc w:val="both"/>
        <w:rPr>
          <w:rFonts w:cs="Arial"/>
          <w:sz w:val="22"/>
        </w:rPr>
      </w:pPr>
      <w:r w:rsidRPr="000E6081">
        <w:rPr>
          <w:rFonts w:cs="Arial"/>
          <w:sz w:val="22"/>
        </w:rPr>
        <w:t xml:space="preserve">Attendu toutefois que, nonobstant l’absence de reprise </w:t>
      </w:r>
      <w:r w:rsidR="003B6F0B" w:rsidRPr="000E6081">
        <w:rPr>
          <w:rFonts w:cs="Arial"/>
          <w:sz w:val="22"/>
        </w:rPr>
        <w:t>d</w:t>
      </w:r>
      <w:r w:rsidRPr="000E6081">
        <w:rPr>
          <w:rFonts w:cs="Arial"/>
          <w:sz w:val="22"/>
        </w:rPr>
        <w:t>es opérations en comptabilité patente, le juge de</w:t>
      </w:r>
      <w:r w:rsidR="001261AB" w:rsidRPr="000E6081">
        <w:rPr>
          <w:rFonts w:cs="Arial"/>
          <w:sz w:val="22"/>
        </w:rPr>
        <w:t>s</w:t>
      </w:r>
      <w:r w:rsidRPr="000E6081">
        <w:rPr>
          <w:rFonts w:cs="Arial"/>
          <w:sz w:val="22"/>
        </w:rPr>
        <w:t xml:space="preserve"> comptes peut s’abstenir de déclarer une gestion de fait, pour défaut d’intérêt pratique, lorsque les irrégularités ont cessé, que les opérations sont connues dans leur détail et que les faits ne paraissent pas mériter sanction ;</w:t>
      </w:r>
    </w:p>
    <w:p w:rsidR="00DB4B44" w:rsidRPr="000E6081" w:rsidRDefault="00DB4B44" w:rsidP="00DB4B44">
      <w:pPr>
        <w:spacing w:line="240" w:lineRule="auto"/>
        <w:jc w:val="both"/>
        <w:rPr>
          <w:rFonts w:cs="Arial"/>
          <w:sz w:val="22"/>
        </w:rPr>
      </w:pPr>
    </w:p>
    <w:p w:rsidR="00DB4B44" w:rsidRPr="000E6081" w:rsidRDefault="00DB4B44" w:rsidP="00DB4B44">
      <w:pPr>
        <w:spacing w:line="240" w:lineRule="auto"/>
        <w:jc w:val="both"/>
        <w:rPr>
          <w:rFonts w:cs="Arial"/>
          <w:sz w:val="22"/>
        </w:rPr>
      </w:pPr>
      <w:r w:rsidRPr="000E6081">
        <w:rPr>
          <w:rFonts w:cs="Arial"/>
          <w:sz w:val="22"/>
        </w:rPr>
        <w:t>Attendu en l’espèce que les faits litigieux ont cessé</w:t>
      </w:r>
      <w:r w:rsidR="00D07C02">
        <w:rPr>
          <w:rFonts w:cs="Arial"/>
          <w:sz w:val="22"/>
        </w:rPr>
        <w:t> ;</w:t>
      </w:r>
      <w:r w:rsidRPr="000E6081">
        <w:rPr>
          <w:rFonts w:cs="Arial"/>
          <w:sz w:val="22"/>
        </w:rPr>
        <w:t xml:space="preserve"> que les comptes d’attente et les comptes-titres associés ont été clos ; que les actifs souscrits </w:t>
      </w:r>
      <w:r w:rsidR="00476F66" w:rsidRPr="000E6081">
        <w:rPr>
          <w:rFonts w:cs="Arial"/>
          <w:sz w:val="22"/>
        </w:rPr>
        <w:t xml:space="preserve">dans le FPCR 2000, le FCJE et le FFT3 </w:t>
      </w:r>
      <w:r w:rsidRPr="000E6081">
        <w:rPr>
          <w:rFonts w:cs="Arial"/>
          <w:sz w:val="22"/>
        </w:rPr>
        <w:t>sont retracés dans l</w:t>
      </w:r>
      <w:r w:rsidR="00E43E5A" w:rsidRPr="000E6081">
        <w:rPr>
          <w:rFonts w:cs="Arial"/>
          <w:sz w:val="22"/>
        </w:rPr>
        <w:t xml:space="preserve">a comptabilité générale </w:t>
      </w:r>
      <w:r w:rsidRPr="000E6081">
        <w:rPr>
          <w:rFonts w:cs="Arial"/>
          <w:sz w:val="22"/>
        </w:rPr>
        <w:t>de l’</w:t>
      </w:r>
      <w:r w:rsidR="00D07C02">
        <w:rPr>
          <w:rFonts w:cs="Arial"/>
          <w:sz w:val="22"/>
        </w:rPr>
        <w:t xml:space="preserve">État </w:t>
      </w:r>
      <w:r w:rsidR="00E43E5A" w:rsidRPr="000E6081">
        <w:rPr>
          <w:rFonts w:cs="Arial"/>
          <w:sz w:val="22"/>
        </w:rPr>
        <w:t>au compte</w:t>
      </w:r>
      <w:r w:rsidR="00D07C02">
        <w:rPr>
          <w:rFonts w:cs="Arial"/>
          <w:sz w:val="22"/>
        </w:rPr>
        <w:t xml:space="preserve"> </w:t>
      </w:r>
      <w:r w:rsidR="0085039F" w:rsidRPr="000E6081">
        <w:rPr>
          <w:sz w:val="22"/>
        </w:rPr>
        <w:t xml:space="preserve">2739 </w:t>
      </w:r>
      <w:r w:rsidR="0085039F" w:rsidRPr="00D07C02">
        <w:rPr>
          <w:sz w:val="22"/>
        </w:rPr>
        <w:t>« </w:t>
      </w:r>
      <w:r w:rsidR="0085039F" w:rsidRPr="000E6081">
        <w:rPr>
          <w:i/>
          <w:sz w:val="22"/>
        </w:rPr>
        <w:t>autres fonds sans personnalité morale</w:t>
      </w:r>
      <w:r w:rsidR="00D07C02" w:rsidRPr="00D07C02">
        <w:rPr>
          <w:sz w:val="22"/>
        </w:rPr>
        <w:t> »</w:t>
      </w:r>
      <w:r w:rsidR="00D07C02">
        <w:rPr>
          <w:i/>
          <w:sz w:val="22"/>
        </w:rPr>
        <w:t> ;</w:t>
      </w:r>
    </w:p>
    <w:p w:rsidR="00DB4B44" w:rsidRPr="000E6081" w:rsidRDefault="00DB4B44" w:rsidP="00DB4B44">
      <w:pPr>
        <w:spacing w:line="240" w:lineRule="auto"/>
        <w:jc w:val="both"/>
        <w:rPr>
          <w:rFonts w:cs="Arial"/>
          <w:sz w:val="22"/>
        </w:rPr>
      </w:pPr>
    </w:p>
    <w:p w:rsidR="00497E4C" w:rsidRPr="000E6081" w:rsidRDefault="00DB4B44" w:rsidP="00DB4B44">
      <w:pPr>
        <w:spacing w:line="240" w:lineRule="auto"/>
        <w:jc w:val="both"/>
        <w:rPr>
          <w:rFonts w:cs="Arial"/>
          <w:sz w:val="22"/>
        </w:rPr>
      </w:pPr>
      <w:r w:rsidRPr="000E6081">
        <w:rPr>
          <w:rFonts w:cs="Arial"/>
          <w:sz w:val="22"/>
        </w:rPr>
        <w:t xml:space="preserve">Attendu </w:t>
      </w:r>
      <w:r w:rsidR="00133268" w:rsidRPr="000E6081">
        <w:rPr>
          <w:rFonts w:cs="Arial"/>
          <w:sz w:val="22"/>
        </w:rPr>
        <w:t xml:space="preserve">que </w:t>
      </w:r>
      <w:r w:rsidRPr="000E6081">
        <w:rPr>
          <w:rFonts w:cs="Arial"/>
          <w:sz w:val="22"/>
        </w:rPr>
        <w:t xml:space="preserve">les opérations </w:t>
      </w:r>
      <w:r w:rsidR="00C77BBA" w:rsidRPr="000E6081">
        <w:rPr>
          <w:rFonts w:cs="Arial"/>
          <w:sz w:val="22"/>
        </w:rPr>
        <w:t xml:space="preserve">en cause </w:t>
      </w:r>
      <w:r w:rsidRPr="000E6081">
        <w:rPr>
          <w:rFonts w:cs="Arial"/>
          <w:sz w:val="22"/>
        </w:rPr>
        <w:t xml:space="preserve">étaient, au moment de l’audience publique, toutes identifiées et justifiées par des éléments </w:t>
      </w:r>
      <w:r w:rsidR="001E18CB" w:rsidRPr="000E6081">
        <w:rPr>
          <w:rFonts w:cs="Arial"/>
          <w:sz w:val="22"/>
        </w:rPr>
        <w:t xml:space="preserve">aussi </w:t>
      </w:r>
      <w:r w:rsidRPr="000E6081">
        <w:rPr>
          <w:rFonts w:cs="Arial"/>
          <w:sz w:val="22"/>
        </w:rPr>
        <w:t>probants</w:t>
      </w:r>
      <w:r w:rsidR="00D07C02">
        <w:rPr>
          <w:rFonts w:cs="Arial"/>
          <w:sz w:val="22"/>
        </w:rPr>
        <w:t xml:space="preserve"> </w:t>
      </w:r>
      <w:r w:rsidR="001E18CB" w:rsidRPr="000E6081">
        <w:rPr>
          <w:rFonts w:cs="Arial"/>
          <w:sz w:val="22"/>
        </w:rPr>
        <w:t xml:space="preserve">que possible </w:t>
      </w:r>
      <w:r w:rsidR="00AA0D53" w:rsidRPr="000E6081">
        <w:rPr>
          <w:rFonts w:cs="Arial"/>
          <w:sz w:val="22"/>
        </w:rPr>
        <w:t xml:space="preserve">au regard </w:t>
      </w:r>
      <w:r w:rsidR="001E18CB" w:rsidRPr="000E6081">
        <w:rPr>
          <w:rFonts w:cs="Arial"/>
          <w:sz w:val="22"/>
        </w:rPr>
        <w:t>de l’ancienneté des faits</w:t>
      </w:r>
      <w:r w:rsidR="00770A24" w:rsidRPr="000E6081">
        <w:rPr>
          <w:rFonts w:cs="Arial"/>
          <w:sz w:val="22"/>
        </w:rPr>
        <w:t xml:space="preserve">, compte tenu </w:t>
      </w:r>
      <w:r w:rsidR="001E18CB" w:rsidRPr="000E6081">
        <w:rPr>
          <w:rFonts w:cs="Arial"/>
          <w:sz w:val="22"/>
        </w:rPr>
        <w:t>d</w:t>
      </w:r>
      <w:r w:rsidR="003B6F0B" w:rsidRPr="000E6081">
        <w:rPr>
          <w:rFonts w:cs="Arial"/>
          <w:sz w:val="22"/>
        </w:rPr>
        <w:t xml:space="preserve">u dépassement du </w:t>
      </w:r>
      <w:r w:rsidR="001E18CB" w:rsidRPr="000E6081">
        <w:rPr>
          <w:rFonts w:cs="Arial"/>
          <w:sz w:val="22"/>
        </w:rPr>
        <w:t xml:space="preserve">délai de conservation des archives </w:t>
      </w:r>
      <w:r w:rsidR="003B6F0B" w:rsidRPr="000E6081">
        <w:rPr>
          <w:rFonts w:cs="Arial"/>
          <w:sz w:val="22"/>
        </w:rPr>
        <w:t xml:space="preserve">à </w:t>
      </w:r>
      <w:r w:rsidR="001E18CB" w:rsidRPr="000E6081">
        <w:rPr>
          <w:rFonts w:cs="Arial"/>
          <w:sz w:val="22"/>
        </w:rPr>
        <w:t>la Caisse des dépôts et consignations</w:t>
      </w:r>
      <w:r w:rsidR="00D07C02">
        <w:rPr>
          <w:rFonts w:cs="Arial"/>
          <w:sz w:val="22"/>
        </w:rPr>
        <w:t xml:space="preserve"> </w:t>
      </w:r>
      <w:r w:rsidR="00DB6817" w:rsidRPr="000E6081">
        <w:rPr>
          <w:rFonts w:cs="Arial"/>
          <w:sz w:val="22"/>
        </w:rPr>
        <w:t xml:space="preserve">pour les opérations </w:t>
      </w:r>
      <w:r w:rsidR="001261AB" w:rsidRPr="000E6081">
        <w:rPr>
          <w:rFonts w:cs="Arial"/>
          <w:sz w:val="22"/>
        </w:rPr>
        <w:t>de début de période</w:t>
      </w:r>
      <w:r w:rsidR="00D07C02">
        <w:rPr>
          <w:rFonts w:cs="Arial"/>
          <w:sz w:val="22"/>
        </w:rPr>
        <w:t> ;</w:t>
      </w:r>
    </w:p>
    <w:p w:rsidR="00E43E5A" w:rsidRPr="000E6081" w:rsidRDefault="00E43E5A" w:rsidP="00DB4B44">
      <w:pPr>
        <w:spacing w:line="240" w:lineRule="auto"/>
        <w:jc w:val="both"/>
        <w:rPr>
          <w:rFonts w:cs="Arial"/>
          <w:sz w:val="22"/>
        </w:rPr>
      </w:pPr>
    </w:p>
    <w:p w:rsidR="00DB4B44" w:rsidRPr="000E6081" w:rsidRDefault="00DB4B44" w:rsidP="00DB4B44">
      <w:pPr>
        <w:spacing w:line="240" w:lineRule="auto"/>
        <w:jc w:val="both"/>
        <w:rPr>
          <w:rFonts w:cs="Arial"/>
          <w:sz w:val="22"/>
        </w:rPr>
      </w:pPr>
      <w:r w:rsidRPr="000E6081">
        <w:rPr>
          <w:rFonts w:cs="Arial"/>
          <w:sz w:val="22"/>
        </w:rPr>
        <w:t xml:space="preserve">Attendu que les faits n’ont été dissimulés </w:t>
      </w:r>
      <w:r w:rsidR="00476F66" w:rsidRPr="000E6081">
        <w:rPr>
          <w:rFonts w:cs="Arial"/>
          <w:sz w:val="22"/>
        </w:rPr>
        <w:t xml:space="preserve">ni </w:t>
      </w:r>
      <w:r w:rsidRPr="000E6081">
        <w:rPr>
          <w:rFonts w:cs="Arial"/>
          <w:sz w:val="22"/>
        </w:rPr>
        <w:t>à l’autorité en charge du contrôle financier</w:t>
      </w:r>
      <w:r w:rsidR="00476F66" w:rsidRPr="000E6081">
        <w:rPr>
          <w:rFonts w:cs="Arial"/>
          <w:sz w:val="22"/>
        </w:rPr>
        <w:t xml:space="preserve">, ni </w:t>
      </w:r>
      <w:r w:rsidRPr="000E6081">
        <w:rPr>
          <w:rFonts w:cs="Arial"/>
          <w:sz w:val="22"/>
        </w:rPr>
        <w:t>au comptable public</w:t>
      </w:r>
      <w:r w:rsidR="00D07C02">
        <w:rPr>
          <w:rFonts w:cs="Arial"/>
          <w:sz w:val="22"/>
        </w:rPr>
        <w:t> ;</w:t>
      </w:r>
      <w:r w:rsidRPr="000E6081">
        <w:rPr>
          <w:rFonts w:cs="Arial"/>
          <w:sz w:val="22"/>
        </w:rPr>
        <w:t xml:space="preserve"> que </w:t>
      </w:r>
      <w:r w:rsidR="00D65BC0" w:rsidRPr="000E6081">
        <w:rPr>
          <w:rFonts w:cs="Arial"/>
          <w:sz w:val="22"/>
        </w:rPr>
        <w:t xml:space="preserve">le dispositif avait été mis en place antérieurement à l’entrée en fonction </w:t>
      </w:r>
      <w:r w:rsidR="001261AB" w:rsidRPr="000E6081">
        <w:rPr>
          <w:rFonts w:cs="Arial"/>
          <w:sz w:val="22"/>
        </w:rPr>
        <w:t xml:space="preserve">en cette qualité </w:t>
      </w:r>
      <w:r w:rsidR="00D65BC0" w:rsidRPr="000E6081">
        <w:rPr>
          <w:rFonts w:cs="Arial"/>
          <w:sz w:val="22"/>
        </w:rPr>
        <w:t xml:space="preserve">des </w:t>
      </w:r>
      <w:r w:rsidR="001261AB" w:rsidRPr="000E6081">
        <w:rPr>
          <w:rFonts w:cs="Arial"/>
          <w:sz w:val="22"/>
        </w:rPr>
        <w:t>deux directeurs du Trésor visé</w:t>
      </w:r>
      <w:r w:rsidRPr="000E6081">
        <w:rPr>
          <w:rFonts w:cs="Arial"/>
          <w:sz w:val="22"/>
        </w:rPr>
        <w:t>s par le réquisitoire</w:t>
      </w:r>
      <w:r w:rsidR="00D07C02">
        <w:rPr>
          <w:rFonts w:cs="Arial"/>
          <w:sz w:val="22"/>
        </w:rPr>
        <w:t> ;</w:t>
      </w:r>
      <w:r w:rsidRPr="000E6081">
        <w:rPr>
          <w:rFonts w:cs="Arial"/>
          <w:sz w:val="22"/>
        </w:rPr>
        <w:t xml:space="preserve"> qu’aucun élément aggravant ne s’attache au maniement de ces fonds,</w:t>
      </w:r>
      <w:r w:rsidR="00D07C02">
        <w:rPr>
          <w:rFonts w:cs="Arial"/>
          <w:sz w:val="22"/>
        </w:rPr>
        <w:t xml:space="preserve"> </w:t>
      </w:r>
      <w:r w:rsidRPr="000E6081">
        <w:rPr>
          <w:rFonts w:cs="Arial"/>
          <w:sz w:val="22"/>
        </w:rPr>
        <w:t xml:space="preserve">eu égard à l’emploi qui en a été fait, régulier quant à l’objet des dépenses, </w:t>
      </w:r>
      <w:r w:rsidR="00823267">
        <w:rPr>
          <w:rFonts w:cs="Arial"/>
          <w:sz w:val="22"/>
        </w:rPr>
        <w:t xml:space="preserve">et </w:t>
      </w:r>
      <w:r w:rsidRPr="000E6081">
        <w:rPr>
          <w:rFonts w:cs="Arial"/>
          <w:sz w:val="22"/>
        </w:rPr>
        <w:t>conforme à l’intérêt public</w:t>
      </w:r>
      <w:r w:rsidR="00D07C02">
        <w:rPr>
          <w:rFonts w:cs="Arial"/>
          <w:sz w:val="22"/>
        </w:rPr>
        <w:t> ;</w:t>
      </w:r>
      <w:r w:rsidRPr="000E6081">
        <w:rPr>
          <w:rFonts w:cs="Arial"/>
          <w:sz w:val="22"/>
        </w:rPr>
        <w:t xml:space="preserve"> </w:t>
      </w:r>
      <w:r w:rsidR="00DF798A" w:rsidRPr="000E6081">
        <w:rPr>
          <w:rFonts w:cs="Arial"/>
          <w:sz w:val="22"/>
        </w:rPr>
        <w:t>qu’il n’</w:t>
      </w:r>
      <w:r w:rsidR="00476F66" w:rsidRPr="000E6081">
        <w:rPr>
          <w:rFonts w:cs="Arial"/>
          <w:sz w:val="22"/>
        </w:rPr>
        <w:t xml:space="preserve">apparaît pas que les opérations </w:t>
      </w:r>
      <w:r w:rsidR="00DF798A" w:rsidRPr="000E6081">
        <w:rPr>
          <w:rFonts w:cs="Arial"/>
          <w:sz w:val="22"/>
        </w:rPr>
        <w:t>aien</w:t>
      </w:r>
      <w:r w:rsidR="00F93E78">
        <w:rPr>
          <w:rFonts w:cs="Arial"/>
          <w:sz w:val="22"/>
        </w:rPr>
        <w:t>t causé un préjudice à l’Etat ;</w:t>
      </w:r>
    </w:p>
    <w:p w:rsidR="00EB6291" w:rsidRPr="000E6081" w:rsidRDefault="00EB6291" w:rsidP="00DB4B44">
      <w:pPr>
        <w:spacing w:line="240" w:lineRule="auto"/>
        <w:jc w:val="both"/>
        <w:rPr>
          <w:rFonts w:cs="Arial"/>
          <w:sz w:val="22"/>
        </w:rPr>
      </w:pPr>
    </w:p>
    <w:p w:rsidR="00DB4B44" w:rsidRPr="000E6081" w:rsidRDefault="00DB4B44" w:rsidP="00DB4B44">
      <w:pPr>
        <w:spacing w:line="240" w:lineRule="auto"/>
        <w:jc w:val="both"/>
        <w:rPr>
          <w:rFonts w:cs="Arial"/>
          <w:sz w:val="22"/>
        </w:rPr>
      </w:pPr>
      <w:r w:rsidRPr="000E6081">
        <w:rPr>
          <w:rFonts w:cs="Arial"/>
          <w:sz w:val="22"/>
        </w:rPr>
        <w:t>Attendu qu’au surplus, l</w:t>
      </w:r>
      <w:r w:rsidR="003B6F0B" w:rsidRPr="000E6081">
        <w:rPr>
          <w:rFonts w:cs="Arial"/>
          <w:sz w:val="22"/>
        </w:rPr>
        <w:t xml:space="preserve">a circonstance </w:t>
      </w:r>
      <w:r w:rsidRPr="000E6081">
        <w:rPr>
          <w:rFonts w:cs="Arial"/>
          <w:sz w:val="22"/>
        </w:rPr>
        <w:t xml:space="preserve">que ni les ministres </w:t>
      </w:r>
      <w:r w:rsidR="00DB6817" w:rsidRPr="000E6081">
        <w:rPr>
          <w:rFonts w:cs="Arial"/>
          <w:sz w:val="22"/>
        </w:rPr>
        <w:t>précités</w:t>
      </w:r>
      <w:r w:rsidRPr="000E6081">
        <w:rPr>
          <w:rFonts w:cs="Arial"/>
          <w:sz w:val="22"/>
        </w:rPr>
        <w:t xml:space="preserve">, initiateurs du dispositif, </w:t>
      </w:r>
      <w:r w:rsidR="003502AF" w:rsidRPr="000E6081">
        <w:rPr>
          <w:rFonts w:cs="Arial"/>
          <w:sz w:val="22"/>
        </w:rPr>
        <w:t xml:space="preserve">ni </w:t>
      </w:r>
      <w:r w:rsidR="001261AB" w:rsidRPr="000E6081">
        <w:rPr>
          <w:rFonts w:cs="Arial"/>
          <w:sz w:val="22"/>
        </w:rPr>
        <w:t xml:space="preserve">tous les directeurs du Trésor de la période concernée, ni </w:t>
      </w:r>
      <w:r w:rsidR="003502AF" w:rsidRPr="000E6081">
        <w:rPr>
          <w:rFonts w:cs="Arial"/>
          <w:sz w:val="22"/>
        </w:rPr>
        <w:t xml:space="preserve">l’ensemble des fonctionnaires de </w:t>
      </w:r>
      <w:r w:rsidR="001261AB" w:rsidRPr="000E6081">
        <w:rPr>
          <w:rFonts w:cs="Arial"/>
          <w:sz w:val="22"/>
        </w:rPr>
        <w:t>cette direction</w:t>
      </w:r>
      <w:r w:rsidR="003502AF" w:rsidRPr="000E6081">
        <w:rPr>
          <w:rFonts w:cs="Arial"/>
          <w:sz w:val="22"/>
        </w:rPr>
        <w:t xml:space="preserve">, </w:t>
      </w:r>
      <w:r w:rsidRPr="000E6081">
        <w:rPr>
          <w:rFonts w:cs="Arial"/>
          <w:sz w:val="22"/>
        </w:rPr>
        <w:t xml:space="preserve">ni les membres du contrôle financier qui ont apposé leur visa sur des pièces litigieuses, </w:t>
      </w:r>
      <w:r w:rsidR="00BC2CD1" w:rsidRPr="000E6081">
        <w:rPr>
          <w:rFonts w:cs="Arial"/>
          <w:sz w:val="22"/>
        </w:rPr>
        <w:t xml:space="preserve">ni les comptables patents qui </w:t>
      </w:r>
      <w:r w:rsidR="00F95875">
        <w:rPr>
          <w:rFonts w:cs="Arial"/>
          <w:sz w:val="22"/>
        </w:rPr>
        <w:t xml:space="preserve">ont </w:t>
      </w:r>
      <w:r w:rsidR="00C77BBA" w:rsidRPr="000E6081">
        <w:rPr>
          <w:rFonts w:cs="Arial"/>
          <w:sz w:val="22"/>
        </w:rPr>
        <w:t xml:space="preserve">versé les fonds </w:t>
      </w:r>
      <w:r w:rsidR="00BC2CD1" w:rsidRPr="000E6081">
        <w:rPr>
          <w:rFonts w:cs="Arial"/>
          <w:sz w:val="22"/>
        </w:rPr>
        <w:t xml:space="preserve">sur les comptes d’attente </w:t>
      </w:r>
      <w:r w:rsidR="003502AF" w:rsidRPr="000E6081">
        <w:rPr>
          <w:rFonts w:cs="Arial"/>
          <w:sz w:val="22"/>
        </w:rPr>
        <w:t>n’</w:t>
      </w:r>
      <w:r w:rsidRPr="000E6081">
        <w:rPr>
          <w:rFonts w:cs="Arial"/>
          <w:sz w:val="22"/>
        </w:rPr>
        <w:t xml:space="preserve">aient </w:t>
      </w:r>
      <w:r w:rsidR="003502AF" w:rsidRPr="000E6081">
        <w:rPr>
          <w:rFonts w:cs="Arial"/>
          <w:sz w:val="22"/>
        </w:rPr>
        <w:t xml:space="preserve">été mis en cause </w:t>
      </w:r>
      <w:r w:rsidRPr="000E6081">
        <w:rPr>
          <w:rFonts w:cs="Arial"/>
          <w:sz w:val="22"/>
        </w:rPr>
        <w:t>ne permettrait pas à l’affaire d’être jugée de façon équitable ;</w:t>
      </w:r>
    </w:p>
    <w:p w:rsidR="00DB4B44" w:rsidRPr="000E6081" w:rsidRDefault="00DB4B44" w:rsidP="00DB4B44">
      <w:pPr>
        <w:spacing w:line="240" w:lineRule="auto"/>
        <w:jc w:val="both"/>
        <w:rPr>
          <w:rFonts w:cs="Arial"/>
          <w:sz w:val="22"/>
        </w:rPr>
      </w:pPr>
    </w:p>
    <w:p w:rsidR="00DB4B44" w:rsidRPr="000E6081" w:rsidRDefault="00DB4B44" w:rsidP="00DB4B44">
      <w:pPr>
        <w:spacing w:line="240" w:lineRule="auto"/>
        <w:jc w:val="both"/>
        <w:rPr>
          <w:rFonts w:cs="Arial"/>
          <w:sz w:val="22"/>
        </w:rPr>
      </w:pPr>
      <w:r w:rsidRPr="000E6081">
        <w:rPr>
          <w:rFonts w:cs="Arial"/>
          <w:sz w:val="22"/>
        </w:rPr>
        <w:t xml:space="preserve">Attendu que dès lors, </w:t>
      </w:r>
      <w:r w:rsidR="00C77BBA" w:rsidRPr="000E6081">
        <w:rPr>
          <w:rFonts w:cs="Arial"/>
          <w:sz w:val="22"/>
        </w:rPr>
        <w:t xml:space="preserve">la déclaration d’une </w:t>
      </w:r>
      <w:r w:rsidRPr="000E6081">
        <w:rPr>
          <w:rFonts w:cs="Arial"/>
          <w:sz w:val="22"/>
        </w:rPr>
        <w:t xml:space="preserve">gestion de fait </w:t>
      </w:r>
      <w:r w:rsidR="00C77BBA" w:rsidRPr="000E6081">
        <w:rPr>
          <w:rFonts w:cs="Arial"/>
          <w:sz w:val="22"/>
        </w:rPr>
        <w:t xml:space="preserve">à raison des opérations </w:t>
      </w:r>
      <w:r w:rsidR="001261AB" w:rsidRPr="000E6081">
        <w:rPr>
          <w:rFonts w:cs="Arial"/>
          <w:sz w:val="22"/>
        </w:rPr>
        <w:t>précitée</w:t>
      </w:r>
      <w:r w:rsidR="00C77BBA" w:rsidRPr="000E6081">
        <w:rPr>
          <w:rFonts w:cs="Arial"/>
          <w:sz w:val="22"/>
        </w:rPr>
        <w:t xml:space="preserve">s </w:t>
      </w:r>
      <w:r w:rsidRPr="000E6081">
        <w:rPr>
          <w:rFonts w:cs="Arial"/>
          <w:sz w:val="22"/>
        </w:rPr>
        <w:t xml:space="preserve">serait </w:t>
      </w:r>
      <w:r w:rsidR="00A341DA" w:rsidRPr="000E6081">
        <w:rPr>
          <w:rFonts w:cs="Arial"/>
          <w:sz w:val="22"/>
        </w:rPr>
        <w:t>dépourvu</w:t>
      </w:r>
      <w:r w:rsidR="001261AB" w:rsidRPr="000E6081">
        <w:rPr>
          <w:rFonts w:cs="Arial"/>
          <w:sz w:val="22"/>
        </w:rPr>
        <w:t>e</w:t>
      </w:r>
      <w:r w:rsidR="00A341DA" w:rsidRPr="000E6081">
        <w:rPr>
          <w:rFonts w:cs="Arial"/>
          <w:sz w:val="22"/>
        </w:rPr>
        <w:t xml:space="preserve"> d’intérêt pratique et </w:t>
      </w:r>
      <w:r w:rsidRPr="000E6081">
        <w:rPr>
          <w:rFonts w:cs="Arial"/>
          <w:sz w:val="22"/>
        </w:rPr>
        <w:t xml:space="preserve">contraire à </w:t>
      </w:r>
      <w:r w:rsidR="001261AB" w:rsidRPr="000E6081">
        <w:rPr>
          <w:rFonts w:cs="Arial"/>
          <w:sz w:val="22"/>
        </w:rPr>
        <w:t xml:space="preserve">une </w:t>
      </w:r>
      <w:r w:rsidRPr="000E6081">
        <w:rPr>
          <w:rFonts w:cs="Arial"/>
          <w:sz w:val="22"/>
        </w:rPr>
        <w:t>bonne administration de la justice</w:t>
      </w:r>
      <w:r w:rsidR="00A341DA" w:rsidRPr="000E6081">
        <w:rPr>
          <w:rFonts w:cs="Arial"/>
          <w:sz w:val="22"/>
        </w:rPr>
        <w:t xml:space="preserve"> </w:t>
      </w:r>
      <w:r w:rsidRPr="000E6081">
        <w:rPr>
          <w:rFonts w:cs="Arial"/>
          <w:sz w:val="22"/>
        </w:rPr>
        <w:t>;</w:t>
      </w:r>
    </w:p>
    <w:p w:rsidR="00DB4B44" w:rsidRPr="000E6081" w:rsidRDefault="00DB4B44" w:rsidP="008433DB">
      <w:pPr>
        <w:spacing w:line="240" w:lineRule="auto"/>
        <w:jc w:val="both"/>
        <w:rPr>
          <w:rFonts w:cs="Arial"/>
          <w:sz w:val="22"/>
        </w:rPr>
      </w:pPr>
    </w:p>
    <w:p w:rsidR="00DB4B44" w:rsidRPr="000E6081" w:rsidRDefault="00DB4B44" w:rsidP="008433DB">
      <w:pPr>
        <w:spacing w:line="240" w:lineRule="auto"/>
        <w:jc w:val="both"/>
        <w:rPr>
          <w:rFonts w:cs="Arial"/>
          <w:sz w:val="22"/>
        </w:rPr>
      </w:pPr>
    </w:p>
    <w:p w:rsidR="00EC1025" w:rsidRDefault="00EC1025">
      <w:pPr>
        <w:spacing w:line="240" w:lineRule="auto"/>
        <w:rPr>
          <w:rFonts w:cs="Arial"/>
          <w:sz w:val="22"/>
        </w:rPr>
      </w:pPr>
      <w:r>
        <w:rPr>
          <w:rFonts w:cs="Arial"/>
          <w:sz w:val="22"/>
        </w:rPr>
        <w:br w:type="page"/>
      </w:r>
    </w:p>
    <w:p w:rsidR="008433DB" w:rsidRPr="000E6081" w:rsidRDefault="008029BD" w:rsidP="008433DB">
      <w:pPr>
        <w:spacing w:line="240" w:lineRule="auto"/>
        <w:jc w:val="both"/>
        <w:rPr>
          <w:rFonts w:cs="Arial"/>
          <w:sz w:val="22"/>
        </w:rPr>
      </w:pPr>
      <w:r w:rsidRPr="000E6081">
        <w:rPr>
          <w:rFonts w:cs="Arial"/>
          <w:sz w:val="22"/>
        </w:rPr>
        <w:lastRenderedPageBreak/>
        <w:t>Par ces motifs,</w:t>
      </w:r>
    </w:p>
    <w:p w:rsidR="008433DB" w:rsidRPr="000E6081" w:rsidRDefault="008433DB" w:rsidP="008433DB">
      <w:pPr>
        <w:spacing w:line="240" w:lineRule="auto"/>
        <w:jc w:val="both"/>
        <w:rPr>
          <w:rFonts w:cs="Arial"/>
          <w:sz w:val="22"/>
        </w:rPr>
      </w:pPr>
    </w:p>
    <w:p w:rsidR="008433DB" w:rsidRPr="000E6081" w:rsidRDefault="008029BD" w:rsidP="00254DDC">
      <w:pPr>
        <w:spacing w:line="240" w:lineRule="auto"/>
        <w:jc w:val="center"/>
        <w:rPr>
          <w:rFonts w:cs="Arial"/>
          <w:sz w:val="22"/>
        </w:rPr>
      </w:pPr>
      <w:r w:rsidRPr="000E6081">
        <w:rPr>
          <w:rFonts w:cs="Arial"/>
          <w:sz w:val="22"/>
        </w:rPr>
        <w:t>DÉCIDE :</w:t>
      </w:r>
    </w:p>
    <w:p w:rsidR="008433DB" w:rsidRPr="000E6081" w:rsidRDefault="008433DB" w:rsidP="008433DB">
      <w:pPr>
        <w:spacing w:line="240" w:lineRule="auto"/>
        <w:jc w:val="both"/>
        <w:rPr>
          <w:rFonts w:cs="Arial"/>
          <w:sz w:val="22"/>
        </w:rPr>
      </w:pPr>
    </w:p>
    <w:p w:rsidR="00254DDC" w:rsidRPr="00254DDC" w:rsidRDefault="008029BD" w:rsidP="00254DDC">
      <w:pPr>
        <w:spacing w:line="240" w:lineRule="auto"/>
        <w:jc w:val="both"/>
        <w:rPr>
          <w:rFonts w:cs="Arial"/>
          <w:sz w:val="22"/>
        </w:rPr>
      </w:pPr>
      <w:r w:rsidRPr="00595DC8">
        <w:rPr>
          <w:rFonts w:cs="Arial"/>
          <w:b/>
          <w:sz w:val="22"/>
        </w:rPr>
        <w:t xml:space="preserve">Article </w:t>
      </w:r>
      <w:r w:rsidR="00254DDC" w:rsidRPr="00595DC8">
        <w:rPr>
          <w:rFonts w:cs="Arial"/>
          <w:b/>
          <w:sz w:val="22"/>
        </w:rPr>
        <w:t>unique</w:t>
      </w:r>
      <w:r w:rsidR="00254DDC" w:rsidRPr="000E6081">
        <w:rPr>
          <w:rFonts w:cs="Arial"/>
          <w:sz w:val="22"/>
        </w:rPr>
        <w:t>. –</w:t>
      </w:r>
      <w:r w:rsidR="0024302E" w:rsidRPr="000E6081">
        <w:rPr>
          <w:rFonts w:cs="Arial"/>
          <w:sz w:val="22"/>
        </w:rPr>
        <w:t xml:space="preserve"> </w:t>
      </w:r>
      <w:r w:rsidR="00254DDC" w:rsidRPr="000E6081">
        <w:rPr>
          <w:rFonts w:cs="Arial"/>
          <w:sz w:val="22"/>
        </w:rPr>
        <w:t xml:space="preserve">Il n’y a pas lieu de déclarer </w:t>
      </w:r>
      <w:r w:rsidR="000C56C4" w:rsidRPr="000E6081">
        <w:rPr>
          <w:rFonts w:cs="Arial"/>
          <w:sz w:val="22"/>
        </w:rPr>
        <w:t>un</w:t>
      </w:r>
      <w:r w:rsidR="00254DDC" w:rsidRPr="000E6081">
        <w:rPr>
          <w:rFonts w:cs="Arial"/>
          <w:sz w:val="22"/>
        </w:rPr>
        <w:t xml:space="preserve">e gestion de fait à raison des éléments relevés dans les réquisitoires </w:t>
      </w:r>
      <w:r w:rsidR="00454F39" w:rsidRPr="000E6081">
        <w:rPr>
          <w:rFonts w:cs="Arial"/>
          <w:sz w:val="22"/>
        </w:rPr>
        <w:t>n°</w:t>
      </w:r>
      <w:r w:rsidR="00EC1025">
        <w:rPr>
          <w:rFonts w:cs="Arial"/>
          <w:sz w:val="22"/>
        </w:rPr>
        <w:t> </w:t>
      </w:r>
      <w:r w:rsidR="00770A24" w:rsidRPr="000E6081">
        <w:rPr>
          <w:rFonts w:cs="Arial"/>
          <w:sz w:val="22"/>
        </w:rPr>
        <w:t>2010-16 et</w:t>
      </w:r>
      <w:r w:rsidR="00254DDC" w:rsidRPr="000E6081">
        <w:rPr>
          <w:rFonts w:cs="Arial"/>
          <w:sz w:val="22"/>
        </w:rPr>
        <w:t xml:space="preserve"> </w:t>
      </w:r>
      <w:r w:rsidR="00454F39" w:rsidRPr="000E6081">
        <w:rPr>
          <w:rFonts w:cs="Arial"/>
          <w:sz w:val="22"/>
        </w:rPr>
        <w:t>n°</w:t>
      </w:r>
      <w:r w:rsidR="00EC1025">
        <w:rPr>
          <w:rFonts w:cs="Arial"/>
          <w:sz w:val="22"/>
        </w:rPr>
        <w:t> </w:t>
      </w:r>
      <w:r w:rsidR="00254DDC" w:rsidRPr="000E6081">
        <w:rPr>
          <w:rFonts w:cs="Arial"/>
          <w:sz w:val="22"/>
        </w:rPr>
        <w:t>2012-73</w:t>
      </w:r>
      <w:r w:rsidR="00F95875">
        <w:rPr>
          <w:rFonts w:cs="Arial"/>
          <w:sz w:val="22"/>
        </w:rPr>
        <w:t>.</w:t>
      </w:r>
    </w:p>
    <w:p w:rsidR="00254DDC" w:rsidRDefault="00254DDC" w:rsidP="008433DB">
      <w:pPr>
        <w:spacing w:line="240" w:lineRule="auto"/>
        <w:jc w:val="both"/>
        <w:rPr>
          <w:rFonts w:cs="Arial"/>
          <w:sz w:val="22"/>
        </w:rPr>
      </w:pPr>
    </w:p>
    <w:p w:rsidR="005B3F72" w:rsidRDefault="005B3F72" w:rsidP="005B3F72">
      <w:pPr>
        <w:spacing w:line="240" w:lineRule="auto"/>
        <w:jc w:val="center"/>
        <w:rPr>
          <w:rFonts w:cs="Arial"/>
          <w:sz w:val="22"/>
        </w:rPr>
      </w:pPr>
      <w:r>
        <w:rPr>
          <w:rFonts w:cs="Arial"/>
          <w:sz w:val="22"/>
        </w:rPr>
        <w:t>----------</w:t>
      </w:r>
    </w:p>
    <w:p w:rsidR="008433DB" w:rsidRPr="00E94FB0" w:rsidRDefault="008433DB" w:rsidP="008433DB">
      <w:pPr>
        <w:spacing w:line="240" w:lineRule="auto"/>
        <w:jc w:val="both"/>
        <w:rPr>
          <w:rFonts w:cs="Arial"/>
          <w:sz w:val="22"/>
        </w:rPr>
      </w:pPr>
    </w:p>
    <w:p w:rsidR="008433DB" w:rsidRPr="00E94FB0" w:rsidRDefault="008029BD" w:rsidP="008433DB">
      <w:pPr>
        <w:spacing w:line="240" w:lineRule="auto"/>
        <w:jc w:val="both"/>
        <w:rPr>
          <w:rFonts w:cs="Arial"/>
          <w:sz w:val="22"/>
        </w:rPr>
      </w:pPr>
      <w:r w:rsidRPr="00E94FB0">
        <w:rPr>
          <w:rFonts w:cs="Arial"/>
          <w:sz w:val="22"/>
        </w:rPr>
        <w:t xml:space="preserve">Fait et jugé par </w:t>
      </w:r>
      <w:r w:rsidR="00476F66">
        <w:rPr>
          <w:rFonts w:cs="Arial"/>
          <w:sz w:val="22"/>
        </w:rPr>
        <w:t xml:space="preserve">M. </w:t>
      </w:r>
      <w:r w:rsidR="00254DDC">
        <w:rPr>
          <w:rFonts w:cs="Arial"/>
          <w:sz w:val="22"/>
        </w:rPr>
        <w:t xml:space="preserve">Raoul BRIET, </w:t>
      </w:r>
      <w:r w:rsidRPr="00E94FB0">
        <w:rPr>
          <w:rFonts w:cs="Arial"/>
          <w:sz w:val="22"/>
        </w:rPr>
        <w:t>président</w:t>
      </w:r>
      <w:r w:rsidR="00476F66">
        <w:rPr>
          <w:rFonts w:cs="Arial"/>
          <w:sz w:val="22"/>
        </w:rPr>
        <w:t xml:space="preserve">, </w:t>
      </w:r>
      <w:r w:rsidRPr="00E94FB0">
        <w:rPr>
          <w:rFonts w:cs="Arial"/>
          <w:sz w:val="22"/>
        </w:rPr>
        <w:t>M</w:t>
      </w:r>
      <w:r w:rsidR="00476F66">
        <w:rPr>
          <w:rFonts w:cs="Arial"/>
          <w:sz w:val="22"/>
        </w:rPr>
        <w:t>. Daniel-Georges COURTOIS, Mme Monique SALIOU, MM.</w:t>
      </w:r>
      <w:r w:rsidR="00EC1025">
        <w:rPr>
          <w:rFonts w:cs="Arial"/>
          <w:sz w:val="22"/>
        </w:rPr>
        <w:t> </w:t>
      </w:r>
      <w:r w:rsidR="00476F66">
        <w:rPr>
          <w:rFonts w:cs="Arial"/>
          <w:sz w:val="22"/>
        </w:rPr>
        <w:t xml:space="preserve">Jean-Christophe CHOUVET, Philippe GEOFFROY et Guy FIALON, </w:t>
      </w:r>
      <w:r w:rsidRPr="00E94FB0">
        <w:rPr>
          <w:rFonts w:cs="Arial"/>
          <w:sz w:val="22"/>
        </w:rPr>
        <w:t>conseiller</w:t>
      </w:r>
      <w:r w:rsidR="00476F66">
        <w:rPr>
          <w:rFonts w:cs="Arial"/>
          <w:sz w:val="22"/>
        </w:rPr>
        <w:t xml:space="preserve">s </w:t>
      </w:r>
      <w:r w:rsidRPr="00E94FB0">
        <w:rPr>
          <w:rFonts w:cs="Arial"/>
          <w:sz w:val="22"/>
        </w:rPr>
        <w:t>maître</w:t>
      </w:r>
      <w:r w:rsidR="00476F66">
        <w:rPr>
          <w:rFonts w:cs="Arial"/>
          <w:sz w:val="22"/>
        </w:rPr>
        <w:t>s</w:t>
      </w:r>
      <w:r w:rsidRPr="00E94FB0">
        <w:rPr>
          <w:rFonts w:cs="Arial"/>
          <w:sz w:val="22"/>
        </w:rPr>
        <w:t>.</w:t>
      </w:r>
    </w:p>
    <w:p w:rsidR="008433DB" w:rsidRDefault="008433DB" w:rsidP="008433DB">
      <w:pPr>
        <w:spacing w:line="240" w:lineRule="auto"/>
        <w:jc w:val="both"/>
        <w:rPr>
          <w:rFonts w:cs="Arial"/>
          <w:sz w:val="22"/>
        </w:rPr>
      </w:pPr>
    </w:p>
    <w:p w:rsidR="00EC1025" w:rsidRPr="00E94FB0" w:rsidRDefault="00EC1025" w:rsidP="008433DB">
      <w:pPr>
        <w:spacing w:line="240" w:lineRule="auto"/>
        <w:jc w:val="both"/>
        <w:rPr>
          <w:rFonts w:cs="Arial"/>
          <w:sz w:val="22"/>
        </w:rPr>
      </w:pPr>
    </w:p>
    <w:p w:rsidR="008433DB" w:rsidRPr="00E94FB0" w:rsidRDefault="008029BD" w:rsidP="008433DB">
      <w:pPr>
        <w:spacing w:line="240" w:lineRule="auto"/>
        <w:jc w:val="both"/>
        <w:rPr>
          <w:rFonts w:cs="Arial"/>
          <w:sz w:val="22"/>
        </w:rPr>
      </w:pPr>
      <w:r w:rsidRPr="00E94FB0">
        <w:rPr>
          <w:rFonts w:cs="Arial"/>
          <w:sz w:val="22"/>
        </w:rPr>
        <w:t xml:space="preserve">En présence de </w:t>
      </w:r>
      <w:r w:rsidR="00476F66">
        <w:rPr>
          <w:rFonts w:cs="Arial"/>
          <w:sz w:val="22"/>
        </w:rPr>
        <w:t>M</w:t>
      </w:r>
      <w:r w:rsidR="00476F66" w:rsidRPr="00595DC8">
        <w:rPr>
          <w:rFonts w:cs="Arial"/>
          <w:sz w:val="22"/>
          <w:vertAlign w:val="superscript"/>
        </w:rPr>
        <w:t>me</w:t>
      </w:r>
      <w:r w:rsidR="00476F66">
        <w:rPr>
          <w:rFonts w:cs="Arial"/>
          <w:sz w:val="22"/>
        </w:rPr>
        <w:t xml:space="preserve"> </w:t>
      </w:r>
      <w:r w:rsidR="00254DDC">
        <w:rPr>
          <w:rFonts w:cs="Arial"/>
          <w:sz w:val="22"/>
        </w:rPr>
        <w:t>Valérie GUEDJ, greffi</w:t>
      </w:r>
      <w:r w:rsidRPr="00E94FB0">
        <w:rPr>
          <w:rFonts w:cs="Arial"/>
          <w:sz w:val="22"/>
        </w:rPr>
        <w:t>ère de séance.</w:t>
      </w:r>
    </w:p>
    <w:p w:rsidR="008433DB" w:rsidRPr="00E94FB0" w:rsidRDefault="008433DB" w:rsidP="008433DB">
      <w:pPr>
        <w:spacing w:line="240" w:lineRule="auto"/>
        <w:jc w:val="both"/>
        <w:rPr>
          <w:rFonts w:cs="Arial"/>
          <w:sz w:val="22"/>
        </w:rPr>
      </w:pPr>
    </w:p>
    <w:p w:rsidR="008433DB" w:rsidRPr="00E94FB0" w:rsidRDefault="008433DB" w:rsidP="008433DB">
      <w:pPr>
        <w:spacing w:line="240" w:lineRule="auto"/>
        <w:jc w:val="both"/>
        <w:rPr>
          <w:rFonts w:cs="Arial"/>
          <w:sz w:val="22"/>
        </w:rPr>
      </w:pPr>
    </w:p>
    <w:tbl>
      <w:tblPr>
        <w:tblW w:w="0" w:type="auto"/>
        <w:tblInd w:w="34" w:type="dxa"/>
        <w:tblLook w:val="00A0" w:firstRow="1" w:lastRow="0" w:firstColumn="1" w:lastColumn="0" w:noHBand="0" w:noVBand="0"/>
      </w:tblPr>
      <w:tblGrid>
        <w:gridCol w:w="4634"/>
        <w:gridCol w:w="4618"/>
      </w:tblGrid>
      <w:tr w:rsidR="008433DB" w:rsidRPr="00E94FB0" w:rsidTr="008433DB">
        <w:tc>
          <w:tcPr>
            <w:tcW w:w="5413" w:type="dxa"/>
          </w:tcPr>
          <w:p w:rsidR="008433DB" w:rsidRPr="00E94FB0" w:rsidRDefault="008433DB" w:rsidP="008433DB">
            <w:pPr>
              <w:spacing w:line="240" w:lineRule="auto"/>
              <w:jc w:val="both"/>
              <w:rPr>
                <w:rFonts w:cs="Arial"/>
                <w:b/>
                <w:sz w:val="22"/>
              </w:rPr>
            </w:pPr>
          </w:p>
          <w:p w:rsidR="008433DB" w:rsidRPr="00E94FB0" w:rsidRDefault="008433DB" w:rsidP="008433DB">
            <w:pPr>
              <w:spacing w:line="240" w:lineRule="auto"/>
              <w:jc w:val="both"/>
              <w:rPr>
                <w:rFonts w:cs="Arial"/>
                <w:b/>
                <w:sz w:val="22"/>
              </w:rPr>
            </w:pPr>
          </w:p>
          <w:p w:rsidR="008433DB" w:rsidRPr="00E94FB0" w:rsidRDefault="008433DB" w:rsidP="008433DB">
            <w:pPr>
              <w:spacing w:line="240" w:lineRule="auto"/>
              <w:jc w:val="both"/>
              <w:rPr>
                <w:rFonts w:cs="Arial"/>
                <w:b/>
                <w:sz w:val="22"/>
              </w:rPr>
            </w:pPr>
          </w:p>
          <w:p w:rsidR="008433DB" w:rsidRPr="00E94FB0" w:rsidRDefault="008433DB" w:rsidP="008433DB">
            <w:pPr>
              <w:spacing w:line="240" w:lineRule="auto"/>
              <w:jc w:val="both"/>
              <w:rPr>
                <w:rFonts w:cs="Arial"/>
                <w:b/>
                <w:sz w:val="22"/>
              </w:rPr>
            </w:pPr>
          </w:p>
          <w:p w:rsidR="008433DB" w:rsidRDefault="008433DB" w:rsidP="008433DB">
            <w:pPr>
              <w:spacing w:line="240" w:lineRule="auto"/>
              <w:jc w:val="both"/>
              <w:rPr>
                <w:rFonts w:cs="Arial"/>
                <w:b/>
                <w:sz w:val="22"/>
              </w:rPr>
            </w:pPr>
          </w:p>
          <w:p w:rsidR="00EC1025" w:rsidRPr="00E94FB0" w:rsidRDefault="00EC1025" w:rsidP="008433DB">
            <w:pPr>
              <w:spacing w:line="240" w:lineRule="auto"/>
              <w:jc w:val="both"/>
              <w:rPr>
                <w:rFonts w:cs="Arial"/>
                <w:b/>
                <w:sz w:val="22"/>
              </w:rPr>
            </w:pPr>
          </w:p>
          <w:p w:rsidR="008433DB" w:rsidRPr="00E94FB0" w:rsidRDefault="00254DDC" w:rsidP="00EC1025">
            <w:pPr>
              <w:spacing w:line="240" w:lineRule="auto"/>
              <w:jc w:val="center"/>
              <w:rPr>
                <w:rFonts w:cs="Arial"/>
                <w:b/>
                <w:sz w:val="22"/>
              </w:rPr>
            </w:pPr>
            <w:r>
              <w:rPr>
                <w:rFonts w:cs="Arial"/>
                <w:b/>
                <w:sz w:val="22"/>
              </w:rPr>
              <w:t>Valérie GUEDJ</w:t>
            </w:r>
          </w:p>
        </w:tc>
        <w:tc>
          <w:tcPr>
            <w:tcW w:w="5414" w:type="dxa"/>
          </w:tcPr>
          <w:p w:rsidR="008433DB" w:rsidRPr="00E94FB0" w:rsidRDefault="008433DB" w:rsidP="008433DB">
            <w:pPr>
              <w:spacing w:line="240" w:lineRule="auto"/>
              <w:jc w:val="both"/>
              <w:rPr>
                <w:rFonts w:cs="Arial"/>
                <w:b/>
                <w:sz w:val="22"/>
              </w:rPr>
            </w:pPr>
          </w:p>
          <w:p w:rsidR="008433DB" w:rsidRPr="00E94FB0" w:rsidRDefault="008433DB" w:rsidP="00EC1025">
            <w:pPr>
              <w:spacing w:line="240" w:lineRule="auto"/>
              <w:jc w:val="center"/>
              <w:rPr>
                <w:rFonts w:cs="Arial"/>
                <w:b/>
                <w:sz w:val="22"/>
              </w:rPr>
            </w:pPr>
          </w:p>
          <w:p w:rsidR="008433DB" w:rsidRPr="00E94FB0" w:rsidRDefault="008433DB" w:rsidP="00EC1025">
            <w:pPr>
              <w:spacing w:line="240" w:lineRule="auto"/>
              <w:jc w:val="center"/>
              <w:rPr>
                <w:rFonts w:cs="Arial"/>
                <w:b/>
                <w:sz w:val="22"/>
              </w:rPr>
            </w:pPr>
          </w:p>
          <w:p w:rsidR="008433DB" w:rsidRPr="00E94FB0" w:rsidRDefault="008433DB" w:rsidP="00EC1025">
            <w:pPr>
              <w:spacing w:line="240" w:lineRule="auto"/>
              <w:jc w:val="center"/>
              <w:rPr>
                <w:rFonts w:cs="Arial"/>
                <w:b/>
                <w:sz w:val="22"/>
              </w:rPr>
            </w:pPr>
          </w:p>
          <w:p w:rsidR="008433DB" w:rsidRDefault="008433DB" w:rsidP="00EC1025">
            <w:pPr>
              <w:spacing w:line="240" w:lineRule="auto"/>
              <w:jc w:val="center"/>
              <w:rPr>
                <w:rFonts w:cs="Arial"/>
                <w:b/>
                <w:sz w:val="22"/>
              </w:rPr>
            </w:pPr>
          </w:p>
          <w:p w:rsidR="00EC1025" w:rsidRDefault="00EC1025" w:rsidP="00EC1025">
            <w:pPr>
              <w:spacing w:line="240" w:lineRule="auto"/>
              <w:jc w:val="center"/>
              <w:rPr>
                <w:rFonts w:cs="Arial"/>
                <w:b/>
                <w:sz w:val="22"/>
              </w:rPr>
            </w:pPr>
          </w:p>
          <w:p w:rsidR="00254DDC" w:rsidRPr="00E94FB0" w:rsidRDefault="00254DDC" w:rsidP="00EC1025">
            <w:pPr>
              <w:spacing w:line="240" w:lineRule="auto"/>
              <w:jc w:val="center"/>
              <w:rPr>
                <w:rFonts w:cs="Arial"/>
                <w:b/>
                <w:sz w:val="22"/>
              </w:rPr>
            </w:pPr>
            <w:r>
              <w:rPr>
                <w:rFonts w:cs="Arial"/>
                <w:b/>
                <w:sz w:val="22"/>
              </w:rPr>
              <w:t>Raoul BRIET</w:t>
            </w:r>
          </w:p>
          <w:p w:rsidR="008433DB" w:rsidRPr="00E94FB0" w:rsidRDefault="008433DB" w:rsidP="008433DB">
            <w:pPr>
              <w:spacing w:line="240" w:lineRule="auto"/>
              <w:jc w:val="both"/>
              <w:rPr>
                <w:rFonts w:cs="Arial"/>
                <w:b/>
                <w:sz w:val="22"/>
              </w:rPr>
            </w:pPr>
          </w:p>
        </w:tc>
      </w:tr>
    </w:tbl>
    <w:p w:rsidR="008433DB" w:rsidRPr="00E94FB0" w:rsidRDefault="008433DB" w:rsidP="008433DB">
      <w:pPr>
        <w:spacing w:line="240" w:lineRule="auto"/>
        <w:jc w:val="both"/>
        <w:rPr>
          <w:rFonts w:cs="Arial"/>
          <w:sz w:val="22"/>
        </w:rPr>
      </w:pPr>
    </w:p>
    <w:p w:rsidR="008433DB" w:rsidRPr="00E94FB0" w:rsidRDefault="008433DB" w:rsidP="008433DB">
      <w:pPr>
        <w:spacing w:line="240" w:lineRule="auto"/>
        <w:jc w:val="both"/>
        <w:rPr>
          <w:rFonts w:cs="Arial"/>
          <w:sz w:val="22"/>
        </w:rPr>
      </w:pPr>
    </w:p>
    <w:p w:rsidR="008433DB" w:rsidRPr="00E94FB0" w:rsidRDefault="008029BD" w:rsidP="008433DB">
      <w:pPr>
        <w:spacing w:line="240" w:lineRule="auto"/>
        <w:jc w:val="both"/>
        <w:rPr>
          <w:rFonts w:cs="Arial"/>
          <w:sz w:val="22"/>
        </w:rPr>
      </w:pPr>
      <w:r w:rsidRPr="00CB66FB">
        <w:rPr>
          <w:rFonts w:cs="Arial"/>
          <w:sz w:val="22"/>
        </w:rPr>
        <w:t>En conséquence, la République française mande et ordonne à tous huissiers de justice, sur ce requis, de mettre ledit arrêt à exécution, aux procureurs généraux et aux procureurs de la</w:t>
      </w:r>
      <w:r w:rsidR="002C3506" w:rsidRPr="00CB66FB">
        <w:rPr>
          <w:rFonts w:cs="Arial"/>
          <w:sz w:val="22"/>
        </w:rPr>
        <w:t> </w:t>
      </w:r>
      <w:r w:rsidRPr="00CB66FB">
        <w:rPr>
          <w:rFonts w:cs="Arial"/>
          <w:sz w:val="22"/>
        </w:rPr>
        <w:t>République près les tribunaux de grande instance d’y tenir la main, à tous commandants et</w:t>
      </w:r>
      <w:r w:rsidR="002C3506" w:rsidRPr="00CB66FB">
        <w:rPr>
          <w:rFonts w:cs="Arial"/>
          <w:sz w:val="22"/>
        </w:rPr>
        <w:t> </w:t>
      </w:r>
      <w:r w:rsidRPr="00CB66FB">
        <w:rPr>
          <w:rFonts w:cs="Arial"/>
          <w:sz w:val="22"/>
        </w:rPr>
        <w:t>officiers de la force publique de prêter main-forte lorsqu’ils en seront légalement requis.</w:t>
      </w:r>
      <w:bookmarkStart w:id="0" w:name="_GoBack"/>
      <w:bookmarkEnd w:id="0"/>
    </w:p>
    <w:p w:rsidR="008433DB" w:rsidRPr="00E94FB0" w:rsidRDefault="008433DB" w:rsidP="008433DB">
      <w:pPr>
        <w:spacing w:line="240" w:lineRule="auto"/>
        <w:jc w:val="both"/>
        <w:rPr>
          <w:rFonts w:cs="Arial"/>
          <w:sz w:val="22"/>
        </w:rPr>
      </w:pPr>
    </w:p>
    <w:p w:rsidR="008433DB" w:rsidRPr="00E94FB0" w:rsidRDefault="008433DB" w:rsidP="008433DB">
      <w:pPr>
        <w:spacing w:line="240" w:lineRule="auto"/>
        <w:jc w:val="both"/>
        <w:rPr>
          <w:rFonts w:cs="Arial"/>
          <w:sz w:val="22"/>
        </w:rPr>
      </w:pPr>
    </w:p>
    <w:p w:rsidR="00FA2EC4" w:rsidRPr="00764D23" w:rsidRDefault="008029BD" w:rsidP="00764D23">
      <w:pPr>
        <w:spacing w:line="240" w:lineRule="auto"/>
        <w:jc w:val="both"/>
        <w:rPr>
          <w:rFonts w:cs="Arial"/>
          <w:sz w:val="22"/>
        </w:rPr>
      </w:pPr>
      <w:r w:rsidRPr="00E94FB0">
        <w:rPr>
          <w:rFonts w:cs="Arial"/>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sectPr w:rsidR="00FA2EC4" w:rsidRPr="00764D23"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EE0" w:rsidRDefault="00D62EE0" w:rsidP="00B41656">
      <w:pPr>
        <w:spacing w:line="240" w:lineRule="auto"/>
      </w:pPr>
      <w:r>
        <w:separator/>
      </w:r>
    </w:p>
  </w:endnote>
  <w:endnote w:type="continuationSeparator" w:id="0">
    <w:p w:rsidR="00D62EE0" w:rsidRDefault="00D62EE0"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433DB" w:rsidTr="008433DB">
      <w:trPr>
        <w:jc w:val="center"/>
      </w:trPr>
      <w:tc>
        <w:tcPr>
          <w:tcW w:w="9212" w:type="dxa"/>
        </w:tcPr>
        <w:p w:rsidR="008433DB" w:rsidRPr="008F0DC7" w:rsidRDefault="008433DB" w:rsidP="008433DB">
          <w:pPr>
            <w:pStyle w:val="Pieddepage"/>
            <w:jc w:val="center"/>
            <w:rPr>
              <w:rFonts w:cs="Arial"/>
            </w:rPr>
          </w:pPr>
          <w:r w:rsidRPr="008F0DC7">
            <w:rPr>
              <w:rFonts w:cs="Arial"/>
            </w:rPr>
            <w:t>13 rue Cambon - 75100 PARIS CEDEX 01 - T +33 1 42 98 95 00 - www.ccomptes.fr</w:t>
          </w:r>
        </w:p>
      </w:tc>
    </w:tr>
    <w:tr w:rsidR="008433DB" w:rsidTr="008433DB">
      <w:trPr>
        <w:jc w:val="center"/>
      </w:trPr>
      <w:tc>
        <w:tcPr>
          <w:tcW w:w="9212" w:type="dxa"/>
        </w:tcPr>
        <w:p w:rsidR="008433DB" w:rsidRPr="008F0DC7" w:rsidRDefault="008433DB" w:rsidP="008433DB">
          <w:pPr>
            <w:pStyle w:val="Pieddepage"/>
            <w:jc w:val="center"/>
            <w:rPr>
              <w:rFonts w:cs="Arial"/>
            </w:rPr>
          </w:pPr>
        </w:p>
      </w:tc>
    </w:tr>
  </w:tbl>
  <w:p w:rsidR="008433DB" w:rsidRDefault="008433D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433DB" w:rsidTr="008433DB">
      <w:trPr>
        <w:jc w:val="center"/>
      </w:trPr>
      <w:tc>
        <w:tcPr>
          <w:tcW w:w="9212" w:type="dxa"/>
        </w:tcPr>
        <w:p w:rsidR="008433DB" w:rsidRPr="008F0DC7" w:rsidRDefault="008433DB" w:rsidP="008433DB">
          <w:pPr>
            <w:pStyle w:val="Pieddepage"/>
            <w:jc w:val="center"/>
            <w:rPr>
              <w:rFonts w:cs="Arial"/>
            </w:rPr>
          </w:pPr>
          <w:r w:rsidRPr="008F0DC7">
            <w:rPr>
              <w:rFonts w:cs="Arial"/>
            </w:rPr>
            <w:t>13 rue Cambon - 75100 PARIS CEDEX 01 - T +33 1 42 98 95 00 - www.ccomptes.fr</w:t>
          </w:r>
        </w:p>
      </w:tc>
    </w:tr>
    <w:tr w:rsidR="008433DB" w:rsidTr="008433DB">
      <w:trPr>
        <w:jc w:val="center"/>
      </w:trPr>
      <w:tc>
        <w:tcPr>
          <w:tcW w:w="9212" w:type="dxa"/>
        </w:tcPr>
        <w:p w:rsidR="008433DB" w:rsidRPr="008F0DC7" w:rsidRDefault="008433DB" w:rsidP="008433DB">
          <w:pPr>
            <w:pStyle w:val="Pieddepage"/>
            <w:jc w:val="center"/>
            <w:rPr>
              <w:rFonts w:cs="Arial"/>
            </w:rPr>
          </w:pPr>
        </w:p>
      </w:tc>
    </w:tr>
  </w:tbl>
  <w:p w:rsidR="008433DB" w:rsidRDefault="008433DB"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EE0" w:rsidRDefault="00D62EE0" w:rsidP="00B41656">
      <w:pPr>
        <w:spacing w:line="240" w:lineRule="auto"/>
      </w:pPr>
      <w:r>
        <w:separator/>
      </w:r>
    </w:p>
  </w:footnote>
  <w:footnote w:type="continuationSeparator" w:id="0">
    <w:p w:rsidR="00D62EE0" w:rsidRDefault="00D62EE0"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3DB" w:rsidRDefault="008433DB">
    <w:pPr>
      <w:pStyle w:val="En-tte"/>
      <w:jc w:val="right"/>
    </w:pPr>
  </w:p>
  <w:tbl>
    <w:tblPr>
      <w:tblStyle w:val="Grilledutableau"/>
      <w:tblW w:w="0" w:type="auto"/>
      <w:tblLook w:val="0680" w:firstRow="0" w:lastRow="0" w:firstColumn="1" w:lastColumn="0" w:noHBand="1" w:noVBand="1"/>
    </w:tblPr>
    <w:tblGrid>
      <w:gridCol w:w="8046"/>
      <w:gridCol w:w="1164"/>
    </w:tblGrid>
    <w:tr w:rsidR="008433DB" w:rsidTr="003D7655">
      <w:tc>
        <w:tcPr>
          <w:tcW w:w="8046" w:type="dxa"/>
          <w:tcBorders>
            <w:top w:val="nil"/>
            <w:left w:val="nil"/>
            <w:bottom w:val="nil"/>
            <w:right w:val="nil"/>
          </w:tcBorders>
          <w:vAlign w:val="center"/>
        </w:tcPr>
        <w:p w:rsidR="008433DB" w:rsidRDefault="008433DB" w:rsidP="003D7655">
          <w:pPr>
            <w:pStyle w:val="En-tte"/>
            <w:spacing w:line="320" w:lineRule="exact"/>
          </w:pPr>
        </w:p>
      </w:tc>
      <w:tc>
        <w:tcPr>
          <w:tcW w:w="1164" w:type="dxa"/>
          <w:tcBorders>
            <w:top w:val="nil"/>
            <w:left w:val="nil"/>
            <w:bottom w:val="nil"/>
            <w:right w:val="nil"/>
          </w:tcBorders>
          <w:vAlign w:val="center"/>
        </w:tcPr>
        <w:p w:rsidR="008433DB" w:rsidRDefault="00CB66FB" w:rsidP="003D7655">
          <w:pPr>
            <w:pStyle w:val="En-tte"/>
            <w:jc w:val="right"/>
          </w:pPr>
          <w:sdt>
            <w:sdtPr>
              <w:id w:val="123790272"/>
              <w:docPartObj>
                <w:docPartGallery w:val="Page Numbers (Top of Page)"/>
                <w:docPartUnique/>
              </w:docPartObj>
            </w:sdtPr>
            <w:sdtEndPr/>
            <w:sdtContent>
              <w:r w:rsidR="008433DB">
                <w:t xml:space="preserve"> </w:t>
              </w:r>
              <w:r w:rsidR="008433DB">
                <w:rPr>
                  <w:b/>
                  <w:sz w:val="24"/>
                  <w:szCs w:val="24"/>
                </w:rPr>
                <w:fldChar w:fldCharType="begin"/>
              </w:r>
              <w:r w:rsidR="008433DB">
                <w:rPr>
                  <w:b/>
                </w:rPr>
                <w:instrText>PAGE</w:instrText>
              </w:r>
              <w:r w:rsidR="008433DB">
                <w:rPr>
                  <w:b/>
                  <w:sz w:val="24"/>
                  <w:szCs w:val="24"/>
                </w:rPr>
                <w:fldChar w:fldCharType="separate"/>
              </w:r>
              <w:r>
                <w:rPr>
                  <w:b/>
                  <w:noProof/>
                </w:rPr>
                <w:t>8</w:t>
              </w:r>
              <w:r w:rsidR="008433DB">
                <w:rPr>
                  <w:b/>
                  <w:sz w:val="24"/>
                  <w:szCs w:val="24"/>
                </w:rPr>
                <w:fldChar w:fldCharType="end"/>
              </w:r>
              <w:r w:rsidR="008433DB">
                <w:t xml:space="preserve"> / </w:t>
              </w:r>
              <w:r w:rsidR="008433DB">
                <w:rPr>
                  <w:b/>
                  <w:sz w:val="24"/>
                  <w:szCs w:val="24"/>
                </w:rPr>
                <w:fldChar w:fldCharType="begin"/>
              </w:r>
              <w:r w:rsidR="008433DB">
                <w:rPr>
                  <w:b/>
                </w:rPr>
                <w:instrText>NUMPAGES</w:instrText>
              </w:r>
              <w:r w:rsidR="008433DB">
                <w:rPr>
                  <w:b/>
                  <w:sz w:val="24"/>
                  <w:szCs w:val="24"/>
                </w:rPr>
                <w:fldChar w:fldCharType="separate"/>
              </w:r>
              <w:r>
                <w:rPr>
                  <w:b/>
                  <w:noProof/>
                </w:rPr>
                <w:t>8</w:t>
              </w:r>
              <w:r w:rsidR="008433DB">
                <w:rPr>
                  <w:b/>
                  <w:sz w:val="24"/>
                  <w:szCs w:val="24"/>
                </w:rPr>
                <w:fldChar w:fldCharType="end"/>
              </w:r>
            </w:sdtContent>
          </w:sdt>
        </w:p>
      </w:tc>
    </w:tr>
  </w:tbl>
  <w:p w:rsidR="008433DB" w:rsidRDefault="008433DB"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3DB" w:rsidRDefault="008433DB">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6E3AC2"/>
    <w:multiLevelType w:val="hybridMultilevel"/>
    <w:tmpl w:val="E97CE4B2"/>
    <w:lvl w:ilvl="0" w:tplc="818643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7"/>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2BD0"/>
    <w:rsid w:val="0000562F"/>
    <w:rsid w:val="00015680"/>
    <w:rsid w:val="000453A1"/>
    <w:rsid w:val="00057C1C"/>
    <w:rsid w:val="00060466"/>
    <w:rsid w:val="00067EA3"/>
    <w:rsid w:val="000775A1"/>
    <w:rsid w:val="00084C06"/>
    <w:rsid w:val="00085435"/>
    <w:rsid w:val="000A4657"/>
    <w:rsid w:val="000C56C4"/>
    <w:rsid w:val="000C64BE"/>
    <w:rsid w:val="000C69EB"/>
    <w:rsid w:val="000E0960"/>
    <w:rsid w:val="000E6081"/>
    <w:rsid w:val="000F5299"/>
    <w:rsid w:val="000F53CA"/>
    <w:rsid w:val="00101449"/>
    <w:rsid w:val="00110640"/>
    <w:rsid w:val="0011428F"/>
    <w:rsid w:val="001175B5"/>
    <w:rsid w:val="001248F5"/>
    <w:rsid w:val="001261AB"/>
    <w:rsid w:val="0013115F"/>
    <w:rsid w:val="00131A38"/>
    <w:rsid w:val="00133268"/>
    <w:rsid w:val="001440E9"/>
    <w:rsid w:val="00154D8A"/>
    <w:rsid w:val="00165241"/>
    <w:rsid w:val="0016783F"/>
    <w:rsid w:val="001733C8"/>
    <w:rsid w:val="00174245"/>
    <w:rsid w:val="00177B90"/>
    <w:rsid w:val="00180C4F"/>
    <w:rsid w:val="001855D6"/>
    <w:rsid w:val="001A09C2"/>
    <w:rsid w:val="001A1061"/>
    <w:rsid w:val="001D11BE"/>
    <w:rsid w:val="001E18CB"/>
    <w:rsid w:val="002040C2"/>
    <w:rsid w:val="00221014"/>
    <w:rsid w:val="002274ED"/>
    <w:rsid w:val="002304DE"/>
    <w:rsid w:val="00231C67"/>
    <w:rsid w:val="00240C13"/>
    <w:rsid w:val="0024302E"/>
    <w:rsid w:val="00244112"/>
    <w:rsid w:val="00244453"/>
    <w:rsid w:val="0024747D"/>
    <w:rsid w:val="00254DDC"/>
    <w:rsid w:val="00255965"/>
    <w:rsid w:val="00265091"/>
    <w:rsid w:val="00283473"/>
    <w:rsid w:val="002878B1"/>
    <w:rsid w:val="002B74C3"/>
    <w:rsid w:val="002C0B4C"/>
    <w:rsid w:val="002C3454"/>
    <w:rsid w:val="002C3506"/>
    <w:rsid w:val="002D0DA9"/>
    <w:rsid w:val="002D4B20"/>
    <w:rsid w:val="002E75B7"/>
    <w:rsid w:val="0030375A"/>
    <w:rsid w:val="00312BBD"/>
    <w:rsid w:val="00322D6B"/>
    <w:rsid w:val="00326FEB"/>
    <w:rsid w:val="003440D6"/>
    <w:rsid w:val="003502AF"/>
    <w:rsid w:val="00354BC5"/>
    <w:rsid w:val="00363921"/>
    <w:rsid w:val="00367B02"/>
    <w:rsid w:val="00371A80"/>
    <w:rsid w:val="00373751"/>
    <w:rsid w:val="00376FD6"/>
    <w:rsid w:val="003955D7"/>
    <w:rsid w:val="003A09FE"/>
    <w:rsid w:val="003B6F0B"/>
    <w:rsid w:val="003B7BA2"/>
    <w:rsid w:val="003C582D"/>
    <w:rsid w:val="003C729C"/>
    <w:rsid w:val="003D3424"/>
    <w:rsid w:val="003D3693"/>
    <w:rsid w:val="003D7655"/>
    <w:rsid w:val="003E7CFE"/>
    <w:rsid w:val="004022CB"/>
    <w:rsid w:val="0042176C"/>
    <w:rsid w:val="00425D84"/>
    <w:rsid w:val="00427492"/>
    <w:rsid w:val="00445350"/>
    <w:rsid w:val="004507C2"/>
    <w:rsid w:val="00454F39"/>
    <w:rsid w:val="004635FE"/>
    <w:rsid w:val="00466852"/>
    <w:rsid w:val="0047092C"/>
    <w:rsid w:val="00476BBC"/>
    <w:rsid w:val="00476F66"/>
    <w:rsid w:val="00477C3D"/>
    <w:rsid w:val="00477EAF"/>
    <w:rsid w:val="0048539F"/>
    <w:rsid w:val="00497E4C"/>
    <w:rsid w:val="004A1A11"/>
    <w:rsid w:val="004A49F1"/>
    <w:rsid w:val="004B7C1D"/>
    <w:rsid w:val="004C1568"/>
    <w:rsid w:val="004C4467"/>
    <w:rsid w:val="004E43A6"/>
    <w:rsid w:val="005100CE"/>
    <w:rsid w:val="005369EE"/>
    <w:rsid w:val="0054781F"/>
    <w:rsid w:val="00576FD9"/>
    <w:rsid w:val="005800C8"/>
    <w:rsid w:val="00580985"/>
    <w:rsid w:val="00585F54"/>
    <w:rsid w:val="00595DC8"/>
    <w:rsid w:val="005A336D"/>
    <w:rsid w:val="005B00BF"/>
    <w:rsid w:val="005B3F72"/>
    <w:rsid w:val="005B4CA5"/>
    <w:rsid w:val="005C5994"/>
    <w:rsid w:val="005D4148"/>
    <w:rsid w:val="005F5CE4"/>
    <w:rsid w:val="005F61B5"/>
    <w:rsid w:val="005F6A1F"/>
    <w:rsid w:val="00603D65"/>
    <w:rsid w:val="00604974"/>
    <w:rsid w:val="006344B0"/>
    <w:rsid w:val="00642AB9"/>
    <w:rsid w:val="00647807"/>
    <w:rsid w:val="00652E46"/>
    <w:rsid w:val="00662166"/>
    <w:rsid w:val="00662AB6"/>
    <w:rsid w:val="00676091"/>
    <w:rsid w:val="006774B5"/>
    <w:rsid w:val="00687F6F"/>
    <w:rsid w:val="006A4EB5"/>
    <w:rsid w:val="006A568B"/>
    <w:rsid w:val="006A7750"/>
    <w:rsid w:val="006B3D0D"/>
    <w:rsid w:val="006C26F2"/>
    <w:rsid w:val="006C72CB"/>
    <w:rsid w:val="006D3598"/>
    <w:rsid w:val="006E170E"/>
    <w:rsid w:val="006E2DBB"/>
    <w:rsid w:val="006E3A7F"/>
    <w:rsid w:val="006E4912"/>
    <w:rsid w:val="006F05E7"/>
    <w:rsid w:val="00707BD1"/>
    <w:rsid w:val="00715D72"/>
    <w:rsid w:val="00716890"/>
    <w:rsid w:val="00724014"/>
    <w:rsid w:val="007252C5"/>
    <w:rsid w:val="00740464"/>
    <w:rsid w:val="007410AA"/>
    <w:rsid w:val="00764A9D"/>
    <w:rsid w:val="00764D23"/>
    <w:rsid w:val="00764F62"/>
    <w:rsid w:val="00765A21"/>
    <w:rsid w:val="00770A24"/>
    <w:rsid w:val="0077703E"/>
    <w:rsid w:val="007837FE"/>
    <w:rsid w:val="00796BF5"/>
    <w:rsid w:val="007A448C"/>
    <w:rsid w:val="007B06F6"/>
    <w:rsid w:val="007B46F9"/>
    <w:rsid w:val="007D2E6C"/>
    <w:rsid w:val="007E06F2"/>
    <w:rsid w:val="007E5712"/>
    <w:rsid w:val="007F2707"/>
    <w:rsid w:val="008029BD"/>
    <w:rsid w:val="0081551A"/>
    <w:rsid w:val="00823267"/>
    <w:rsid w:val="008256E2"/>
    <w:rsid w:val="008433DB"/>
    <w:rsid w:val="008435E3"/>
    <w:rsid w:val="0085039F"/>
    <w:rsid w:val="0085194D"/>
    <w:rsid w:val="00853CE2"/>
    <w:rsid w:val="00863D04"/>
    <w:rsid w:val="0086760B"/>
    <w:rsid w:val="008717C0"/>
    <w:rsid w:val="00875AE9"/>
    <w:rsid w:val="00884332"/>
    <w:rsid w:val="008844EF"/>
    <w:rsid w:val="00895840"/>
    <w:rsid w:val="008A34BF"/>
    <w:rsid w:val="008A6ACF"/>
    <w:rsid w:val="008C244D"/>
    <w:rsid w:val="008D223B"/>
    <w:rsid w:val="008E360F"/>
    <w:rsid w:val="008E5EE8"/>
    <w:rsid w:val="008E6349"/>
    <w:rsid w:val="008F7504"/>
    <w:rsid w:val="00900D96"/>
    <w:rsid w:val="00932306"/>
    <w:rsid w:val="009405CE"/>
    <w:rsid w:val="00950441"/>
    <w:rsid w:val="00961084"/>
    <w:rsid w:val="009641F9"/>
    <w:rsid w:val="00966697"/>
    <w:rsid w:val="009802E3"/>
    <w:rsid w:val="0099686E"/>
    <w:rsid w:val="009B22BF"/>
    <w:rsid w:val="009D51FB"/>
    <w:rsid w:val="009E6C69"/>
    <w:rsid w:val="009F1BE6"/>
    <w:rsid w:val="00A02D30"/>
    <w:rsid w:val="00A20C35"/>
    <w:rsid w:val="00A32C49"/>
    <w:rsid w:val="00A341DA"/>
    <w:rsid w:val="00A4059D"/>
    <w:rsid w:val="00A56A52"/>
    <w:rsid w:val="00A755A3"/>
    <w:rsid w:val="00A83FC9"/>
    <w:rsid w:val="00A9735F"/>
    <w:rsid w:val="00AA0D53"/>
    <w:rsid w:val="00AE774F"/>
    <w:rsid w:val="00B0285F"/>
    <w:rsid w:val="00B1065D"/>
    <w:rsid w:val="00B128E3"/>
    <w:rsid w:val="00B27DA3"/>
    <w:rsid w:val="00B41656"/>
    <w:rsid w:val="00B429CF"/>
    <w:rsid w:val="00B50E34"/>
    <w:rsid w:val="00B645D1"/>
    <w:rsid w:val="00B7645C"/>
    <w:rsid w:val="00B967C8"/>
    <w:rsid w:val="00BA60D8"/>
    <w:rsid w:val="00BB2920"/>
    <w:rsid w:val="00BB7176"/>
    <w:rsid w:val="00BC2CD1"/>
    <w:rsid w:val="00BC40A5"/>
    <w:rsid w:val="00C04525"/>
    <w:rsid w:val="00C15660"/>
    <w:rsid w:val="00C17123"/>
    <w:rsid w:val="00C22187"/>
    <w:rsid w:val="00C22E90"/>
    <w:rsid w:val="00C23B89"/>
    <w:rsid w:val="00C32D50"/>
    <w:rsid w:val="00C42837"/>
    <w:rsid w:val="00C470E9"/>
    <w:rsid w:val="00C77BBA"/>
    <w:rsid w:val="00C77CA2"/>
    <w:rsid w:val="00C90B0D"/>
    <w:rsid w:val="00CA1BD5"/>
    <w:rsid w:val="00CB4644"/>
    <w:rsid w:val="00CB66FB"/>
    <w:rsid w:val="00CC39B0"/>
    <w:rsid w:val="00CD10C6"/>
    <w:rsid w:val="00CE1BD7"/>
    <w:rsid w:val="00CE3904"/>
    <w:rsid w:val="00CE4F79"/>
    <w:rsid w:val="00CF039F"/>
    <w:rsid w:val="00CF6809"/>
    <w:rsid w:val="00D07C02"/>
    <w:rsid w:val="00D127A4"/>
    <w:rsid w:val="00D21063"/>
    <w:rsid w:val="00D21CDB"/>
    <w:rsid w:val="00D31603"/>
    <w:rsid w:val="00D466FF"/>
    <w:rsid w:val="00D500EF"/>
    <w:rsid w:val="00D51C43"/>
    <w:rsid w:val="00D62649"/>
    <w:rsid w:val="00D62EE0"/>
    <w:rsid w:val="00D6497D"/>
    <w:rsid w:val="00D65BC0"/>
    <w:rsid w:val="00D817B5"/>
    <w:rsid w:val="00DA2619"/>
    <w:rsid w:val="00DA6392"/>
    <w:rsid w:val="00DB4B44"/>
    <w:rsid w:val="00DB6817"/>
    <w:rsid w:val="00DD7DA4"/>
    <w:rsid w:val="00DE48AF"/>
    <w:rsid w:val="00DE6999"/>
    <w:rsid w:val="00DF798A"/>
    <w:rsid w:val="00E03E5C"/>
    <w:rsid w:val="00E04658"/>
    <w:rsid w:val="00E07C0C"/>
    <w:rsid w:val="00E163E8"/>
    <w:rsid w:val="00E25406"/>
    <w:rsid w:val="00E26F89"/>
    <w:rsid w:val="00E30FB3"/>
    <w:rsid w:val="00E31116"/>
    <w:rsid w:val="00E3305D"/>
    <w:rsid w:val="00E35B8A"/>
    <w:rsid w:val="00E430FB"/>
    <w:rsid w:val="00E4326F"/>
    <w:rsid w:val="00E43E5A"/>
    <w:rsid w:val="00E55D24"/>
    <w:rsid w:val="00E75F88"/>
    <w:rsid w:val="00E86FB6"/>
    <w:rsid w:val="00E87137"/>
    <w:rsid w:val="00EB6291"/>
    <w:rsid w:val="00EC1025"/>
    <w:rsid w:val="00ED3235"/>
    <w:rsid w:val="00ED3BBB"/>
    <w:rsid w:val="00EE3AA4"/>
    <w:rsid w:val="00EE4F42"/>
    <w:rsid w:val="00EE6E3C"/>
    <w:rsid w:val="00F02D0A"/>
    <w:rsid w:val="00F114E0"/>
    <w:rsid w:val="00F34BAC"/>
    <w:rsid w:val="00F63CE2"/>
    <w:rsid w:val="00F65BE0"/>
    <w:rsid w:val="00F73ABC"/>
    <w:rsid w:val="00F752DD"/>
    <w:rsid w:val="00F81AA2"/>
    <w:rsid w:val="00F8606B"/>
    <w:rsid w:val="00F93E78"/>
    <w:rsid w:val="00F95875"/>
    <w:rsid w:val="00FA2DCD"/>
    <w:rsid w:val="00FA2EC4"/>
    <w:rsid w:val="00FA30DB"/>
    <w:rsid w:val="00FC31E5"/>
    <w:rsid w:val="00FC3558"/>
    <w:rsid w:val="00FD31C9"/>
    <w:rsid w:val="00FE65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western">
    <w:name w:val="western"/>
    <w:basedOn w:val="Normal"/>
    <w:rsid w:val="00DB4B44"/>
    <w:pPr>
      <w:spacing w:before="100" w:beforeAutospacing="1" w:line="240" w:lineRule="auto"/>
      <w:jc w:val="both"/>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7B46F9"/>
    <w:rPr>
      <w:sz w:val="16"/>
      <w:szCs w:val="16"/>
    </w:rPr>
  </w:style>
  <w:style w:type="paragraph" w:styleId="Commentaire">
    <w:name w:val="annotation text"/>
    <w:basedOn w:val="Normal"/>
    <w:link w:val="CommentaireCar"/>
    <w:uiPriority w:val="99"/>
    <w:semiHidden/>
    <w:rsid w:val="007B46F9"/>
    <w:pPr>
      <w:spacing w:line="240" w:lineRule="auto"/>
    </w:pPr>
    <w:rPr>
      <w:sz w:val="20"/>
      <w:szCs w:val="20"/>
    </w:rPr>
  </w:style>
  <w:style w:type="character" w:customStyle="1" w:styleId="CommentaireCar">
    <w:name w:val="Commentaire Car"/>
    <w:basedOn w:val="Policepardfaut"/>
    <w:link w:val="Commentaire"/>
    <w:uiPriority w:val="99"/>
    <w:semiHidden/>
    <w:rsid w:val="007B46F9"/>
    <w:rPr>
      <w:lang w:eastAsia="en-US"/>
    </w:rPr>
  </w:style>
  <w:style w:type="paragraph" w:styleId="Objetducommentaire">
    <w:name w:val="annotation subject"/>
    <w:basedOn w:val="Commentaire"/>
    <w:next w:val="Commentaire"/>
    <w:link w:val="ObjetducommentaireCar"/>
    <w:uiPriority w:val="99"/>
    <w:semiHidden/>
    <w:rsid w:val="007B46F9"/>
    <w:rPr>
      <w:b/>
      <w:bCs/>
    </w:rPr>
  </w:style>
  <w:style w:type="character" w:customStyle="1" w:styleId="ObjetducommentaireCar">
    <w:name w:val="Objet du commentaire Car"/>
    <w:basedOn w:val="CommentaireCar"/>
    <w:link w:val="Objetducommentaire"/>
    <w:uiPriority w:val="99"/>
    <w:semiHidden/>
    <w:rsid w:val="007B46F9"/>
    <w:rPr>
      <w:b/>
      <w:bCs/>
      <w:lang w:eastAsia="en-US"/>
    </w:rPr>
  </w:style>
  <w:style w:type="paragraph" w:styleId="Rvision">
    <w:name w:val="Revision"/>
    <w:hidden/>
    <w:uiPriority w:val="71"/>
    <w:rsid w:val="00715D72"/>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western">
    <w:name w:val="western"/>
    <w:basedOn w:val="Normal"/>
    <w:rsid w:val="00DB4B44"/>
    <w:pPr>
      <w:spacing w:before="100" w:beforeAutospacing="1" w:line="240" w:lineRule="auto"/>
      <w:jc w:val="both"/>
    </w:pPr>
    <w:rPr>
      <w:rFonts w:ascii="Times New Roman" w:eastAsia="Times New Roman" w:hAnsi="Times New Roman"/>
      <w:color w:val="000000"/>
      <w:sz w:val="24"/>
      <w:szCs w:val="24"/>
      <w:lang w:eastAsia="fr-FR"/>
    </w:rPr>
  </w:style>
  <w:style w:type="character" w:styleId="Marquedecommentaire">
    <w:name w:val="annotation reference"/>
    <w:basedOn w:val="Policepardfaut"/>
    <w:uiPriority w:val="99"/>
    <w:semiHidden/>
    <w:rsid w:val="007B46F9"/>
    <w:rPr>
      <w:sz w:val="16"/>
      <w:szCs w:val="16"/>
    </w:rPr>
  </w:style>
  <w:style w:type="paragraph" w:styleId="Commentaire">
    <w:name w:val="annotation text"/>
    <w:basedOn w:val="Normal"/>
    <w:link w:val="CommentaireCar"/>
    <w:uiPriority w:val="99"/>
    <w:semiHidden/>
    <w:rsid w:val="007B46F9"/>
    <w:pPr>
      <w:spacing w:line="240" w:lineRule="auto"/>
    </w:pPr>
    <w:rPr>
      <w:sz w:val="20"/>
      <w:szCs w:val="20"/>
    </w:rPr>
  </w:style>
  <w:style w:type="character" w:customStyle="1" w:styleId="CommentaireCar">
    <w:name w:val="Commentaire Car"/>
    <w:basedOn w:val="Policepardfaut"/>
    <w:link w:val="Commentaire"/>
    <w:uiPriority w:val="99"/>
    <w:semiHidden/>
    <w:rsid w:val="007B46F9"/>
    <w:rPr>
      <w:lang w:eastAsia="en-US"/>
    </w:rPr>
  </w:style>
  <w:style w:type="paragraph" w:styleId="Objetducommentaire">
    <w:name w:val="annotation subject"/>
    <w:basedOn w:val="Commentaire"/>
    <w:next w:val="Commentaire"/>
    <w:link w:val="ObjetducommentaireCar"/>
    <w:uiPriority w:val="99"/>
    <w:semiHidden/>
    <w:rsid w:val="007B46F9"/>
    <w:rPr>
      <w:b/>
      <w:bCs/>
    </w:rPr>
  </w:style>
  <w:style w:type="character" w:customStyle="1" w:styleId="ObjetducommentaireCar">
    <w:name w:val="Objet du commentaire Car"/>
    <w:basedOn w:val="CommentaireCar"/>
    <w:link w:val="Objetducommentaire"/>
    <w:uiPriority w:val="99"/>
    <w:semiHidden/>
    <w:rsid w:val="007B46F9"/>
    <w:rPr>
      <w:b/>
      <w:bCs/>
      <w:lang w:eastAsia="en-US"/>
    </w:rPr>
  </w:style>
  <w:style w:type="paragraph" w:styleId="Rvision">
    <w:name w:val="Revision"/>
    <w:hidden/>
    <w:uiPriority w:val="71"/>
    <w:rsid w:val="00715D72"/>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10315">
      <w:bodyDiv w:val="1"/>
      <w:marLeft w:val="0"/>
      <w:marRight w:val="0"/>
      <w:marTop w:val="0"/>
      <w:marBottom w:val="0"/>
      <w:divBdr>
        <w:top w:val="none" w:sz="0" w:space="0" w:color="auto"/>
        <w:left w:val="none" w:sz="0" w:space="0" w:color="auto"/>
        <w:bottom w:val="none" w:sz="0" w:space="0" w:color="auto"/>
        <w:right w:val="none" w:sz="0" w:space="0" w:color="auto"/>
      </w:divBdr>
      <w:divsChild>
        <w:div w:id="351497408">
          <w:marLeft w:val="0"/>
          <w:marRight w:val="0"/>
          <w:marTop w:val="0"/>
          <w:marBottom w:val="0"/>
          <w:divBdr>
            <w:top w:val="none" w:sz="0" w:space="0" w:color="auto"/>
            <w:left w:val="none" w:sz="0" w:space="0" w:color="auto"/>
            <w:bottom w:val="none" w:sz="0" w:space="0" w:color="auto"/>
            <w:right w:val="none" w:sz="0" w:space="0" w:color="auto"/>
          </w:divBdr>
          <w:divsChild>
            <w:div w:id="108090211">
              <w:marLeft w:val="0"/>
              <w:marRight w:val="0"/>
              <w:marTop w:val="0"/>
              <w:marBottom w:val="0"/>
              <w:divBdr>
                <w:top w:val="none" w:sz="0" w:space="0" w:color="auto"/>
                <w:left w:val="none" w:sz="0" w:space="0" w:color="auto"/>
                <w:bottom w:val="none" w:sz="0" w:space="0" w:color="auto"/>
                <w:right w:val="none" w:sz="0" w:space="0" w:color="auto"/>
              </w:divBdr>
              <w:divsChild>
                <w:div w:id="267322342">
                  <w:marLeft w:val="0"/>
                  <w:marRight w:val="0"/>
                  <w:marTop w:val="0"/>
                  <w:marBottom w:val="0"/>
                  <w:divBdr>
                    <w:top w:val="none" w:sz="0" w:space="0" w:color="auto"/>
                    <w:left w:val="none" w:sz="0" w:space="0" w:color="auto"/>
                    <w:bottom w:val="none" w:sz="0" w:space="0" w:color="auto"/>
                    <w:right w:val="none" w:sz="0" w:space="0" w:color="auto"/>
                  </w:divBdr>
                  <w:divsChild>
                    <w:div w:id="1665235170">
                      <w:marLeft w:val="0"/>
                      <w:marRight w:val="0"/>
                      <w:marTop w:val="0"/>
                      <w:marBottom w:val="0"/>
                      <w:divBdr>
                        <w:top w:val="none" w:sz="0" w:space="0" w:color="auto"/>
                        <w:left w:val="none" w:sz="0" w:space="0" w:color="auto"/>
                        <w:bottom w:val="none" w:sz="0" w:space="0" w:color="auto"/>
                        <w:right w:val="none" w:sz="0" w:space="0" w:color="auto"/>
                      </w:divBdr>
                      <w:divsChild>
                        <w:div w:id="318117392">
                          <w:marLeft w:val="0"/>
                          <w:marRight w:val="0"/>
                          <w:marTop w:val="0"/>
                          <w:marBottom w:val="0"/>
                          <w:divBdr>
                            <w:top w:val="none" w:sz="0" w:space="0" w:color="auto"/>
                            <w:left w:val="none" w:sz="0" w:space="0" w:color="auto"/>
                            <w:bottom w:val="none" w:sz="0" w:space="0" w:color="auto"/>
                            <w:right w:val="none" w:sz="0" w:space="0" w:color="auto"/>
                          </w:divBdr>
                          <w:divsChild>
                            <w:div w:id="200896227">
                              <w:marLeft w:val="0"/>
                              <w:marRight w:val="0"/>
                              <w:marTop w:val="0"/>
                              <w:marBottom w:val="0"/>
                              <w:divBdr>
                                <w:top w:val="none" w:sz="0" w:space="0" w:color="auto"/>
                                <w:left w:val="none" w:sz="0" w:space="0" w:color="auto"/>
                                <w:bottom w:val="none" w:sz="0" w:space="0" w:color="auto"/>
                                <w:right w:val="none" w:sz="0" w:space="0" w:color="auto"/>
                              </w:divBdr>
                              <w:divsChild>
                                <w:div w:id="19079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691518">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egifrance.gouv.fr/affichCodeArticle.do;jsessionid=AD074012038DEA782439811DFD836174.tpdila21v_1?cidTexte=LEGITEXT000006070633&amp;idArticle=LEGIARTI000029930170&amp;dateTexte=&amp;categorieLien=cid"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3011-6D7A-40E0-9A42-D48C56DF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3930</Words>
  <Characters>21616</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Floret, Nathalie</cp:lastModifiedBy>
  <cp:revision>28</cp:revision>
  <cp:lastPrinted>2016-03-15T09:00:00Z</cp:lastPrinted>
  <dcterms:created xsi:type="dcterms:W3CDTF">2015-12-17T08:47:00Z</dcterms:created>
  <dcterms:modified xsi:type="dcterms:W3CDTF">2016-03-15T09:00:00Z</dcterms:modified>
</cp:coreProperties>
</file>