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before="400" w:lineRule="auto"/>
        <w:contextualSpacing w:val="0"/>
        <w:jc w:val="center"/>
        <w:rPr>
          <w:sz w:val="40"/>
          <w:szCs w:val="40"/>
        </w:rPr>
      </w:pPr>
      <w:bookmarkStart w:colFirst="0" w:colLast="0" w:name="_kp32mi5jzb35" w:id="0"/>
      <w:bookmarkEnd w:id="0"/>
      <w:r w:rsidDel="00000000" w:rsidR="00000000" w:rsidRPr="00000000">
        <w:rPr>
          <w:sz w:val="40"/>
          <w:szCs w:val="40"/>
          <w:rtl w:val="0"/>
        </w:rPr>
        <w:t xml:space="preserve">Bioinformatics Lab Guide 3: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>
          <w:b w:val="1"/>
          <w:i w:val="1"/>
          <w:color w:val="0b5394"/>
        </w:rPr>
      </w:pPr>
      <w:bookmarkStart w:colFirst="0" w:colLast="0" w:name="_218vwx66r0mz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Antimicrobial Resistance Gene Detection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B. Herrick, Ph.D.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James Madison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There are essentially two approaches to antimicrobial resistance (AMR) gene detection: </w:t>
      </w:r>
      <w:r w:rsidDel="00000000" w:rsidR="00000000" w:rsidRPr="00000000">
        <w:rPr>
          <w:u w:val="single"/>
          <w:rtl w:val="0"/>
        </w:rPr>
        <w:t xml:space="preserve">assembly-based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read-based</w:t>
      </w:r>
      <w:r w:rsidDel="00000000" w:rsidR="00000000" w:rsidRPr="00000000">
        <w:rPr>
          <w:rtl w:val="0"/>
        </w:rPr>
        <w:t xml:space="preserve">. For assembly-based, we’ll use </w:t>
      </w:r>
      <w:r w:rsidDel="00000000" w:rsidR="00000000" w:rsidRPr="00000000">
        <w:rPr>
          <w:i w:val="1"/>
          <w:rtl w:val="0"/>
        </w:rPr>
        <w:t xml:space="preserve">Abricate</w:t>
      </w:r>
      <w:r w:rsidDel="00000000" w:rsidR="00000000" w:rsidRPr="00000000">
        <w:rPr>
          <w:rtl w:val="0"/>
        </w:rPr>
        <w:t xml:space="preserve"> in GalaxyTrakr. For read-based, we’ll use </w:t>
      </w:r>
      <w:r w:rsidDel="00000000" w:rsidR="00000000" w:rsidRPr="00000000">
        <w:rPr>
          <w:i w:val="1"/>
          <w:rtl w:val="0"/>
        </w:rPr>
        <w:t xml:space="preserve">KmerResistance</w:t>
      </w:r>
      <w:r w:rsidDel="00000000" w:rsidR="00000000" w:rsidRPr="00000000">
        <w:rPr>
          <w:rtl w:val="0"/>
        </w:rPr>
        <w:t xml:space="preserve"> on the Center for Genomic Epidemiology (CGE)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1tosw2hcchb8" w:id="2"/>
      <w:bookmarkEnd w:id="2"/>
      <w:r w:rsidDel="00000000" w:rsidR="00000000" w:rsidRPr="00000000">
        <w:rPr>
          <w:rtl w:val="0"/>
        </w:rPr>
        <w:t xml:space="preserve">Detecting AMR Genes Using </w:t>
      </w:r>
      <w:r w:rsidDel="00000000" w:rsidR="00000000" w:rsidRPr="00000000">
        <w:rPr>
          <w:i w:val="1"/>
          <w:rtl w:val="0"/>
        </w:rPr>
        <w:t xml:space="preserve">Abricate </w:t>
      </w:r>
      <w:r w:rsidDel="00000000" w:rsidR="00000000" w:rsidRPr="00000000">
        <w:rPr>
          <w:rtl w:val="0"/>
        </w:rPr>
        <w:t xml:space="preserve">in GalaxyTrakr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i w:val="1"/>
          <w:rtl w:val="0"/>
        </w:rPr>
        <w:t xml:space="preserve">Abricate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rtl w:val="0"/>
        </w:rPr>
        <w:t xml:space="preserve">"NGS: Screening and Prediction”.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your SPAdes assembly file (for example, “SPAdes on data 2 and data 1: contigs (fasta)”).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‘Advanced Options.’ Try each database one at a time</w:t>
      </w:r>
      <w:r w:rsidDel="00000000" w:rsidR="00000000" w:rsidRPr="00000000">
        <w:rPr>
          <w:rtl w:val="0"/>
        </w:rPr>
        <w:t xml:space="preserve">. Remember how to quickly re-run analyses by clicking on the name of the analysis in the right window, then on the ‘re-do’ icon:</w:t>
      </w:r>
    </w:p>
    <w:p w:rsidR="00000000" w:rsidDel="00000000" w:rsidP="00000000" w:rsidRDefault="00000000" w:rsidRPr="00000000" w14:paraId="0000000A">
      <w:pPr>
        <w:spacing w:before="20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86163" cy="32399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23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ARG-ANNOTT is a good database. The CARD databse will normally return a lot of genes, most of which may or may not be involved in AMR. Try more than one and see what you get. You can and ultimately should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BLAST</w:t>
        </w:r>
      </w:hyperlink>
      <w:r w:rsidDel="00000000" w:rsidR="00000000" w:rsidRPr="00000000">
        <w:rPr>
          <w:rtl w:val="0"/>
        </w:rPr>
        <w:t xml:space="preserve"> any results you get just to verify; also read what the genes actually encode.</w:t>
      </w:r>
    </w:p>
    <w:p w:rsidR="00000000" w:rsidDel="00000000" w:rsidP="00000000" w:rsidRDefault="00000000" w:rsidRPr="00000000" w14:paraId="0000000C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200" w:lineRule="auto"/>
        <w:contextualSpacing w:val="0"/>
        <w:rPr/>
      </w:pPr>
      <w:bookmarkStart w:colFirst="0" w:colLast="0" w:name="_cxtw2vz8mi0i" w:id="3"/>
      <w:bookmarkEnd w:id="3"/>
      <w:r w:rsidDel="00000000" w:rsidR="00000000" w:rsidRPr="00000000">
        <w:rPr>
          <w:rtl w:val="0"/>
        </w:rPr>
        <w:t xml:space="preserve">Abricate Output (from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E">
      <w:pPr>
        <w:keepNext w:val="0"/>
        <w:keepLines w:val="0"/>
        <w:pBdr>
          <w:bottom w:color="eaecef" w:space="5" w:sz="6" w:val="single"/>
        </w:pBdr>
        <w:spacing w:after="240" w:before="360" w:line="30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Abricate produces a tap-separated output file with the following columns:</w:t>
      </w:r>
    </w:p>
    <w:tbl>
      <w:tblPr>
        <w:tblStyle w:val="Table1"/>
        <w:tblW w:w="9365.96956031567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105"/>
        <w:gridCol w:w="4220.9695603156715"/>
        <w:tblGridChange w:id="0">
          <w:tblGrid>
            <w:gridCol w:w="2040"/>
            <w:gridCol w:w="3105"/>
            <w:gridCol w:w="4220.9695603156715"/>
          </w:tblGrid>
        </w:tblGridChange>
      </w:tblGrid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contextualSpacing w:val="0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contextualSpacing w:val="0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ind w:left="0" w:firstLine="0"/>
              <w:contextualSpacing w:val="0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FILE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Ecoli.fna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filename this hit came from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SEQUENCE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contig000324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sequence in the filename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START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23423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Start coordinate in the sequence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END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24117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End coordinate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GENE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tet(M)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AMR gene name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COVERAGE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1-1920/1920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What proportion of the gene is in our sequence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COVERAGE_MAP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===============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 visual represenation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GAPS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1/4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Openings / gaps in subject and query - possible psuedogene?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%COVERAGE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100.00%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Proportion of gene covered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%IDENTITY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99.95%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Proportion of exact nucleotide matches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DATABASE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card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database this sequence comes from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ACCESSION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NC_009632:49744-50476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The genomic source of the sequence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PRODUCT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aminoglycoside O-phosphotransferase APH(3')-IIIa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ind w:left="0" w:firstLine="0"/>
              <w:contextualSpacing w:val="0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Gene product (if available)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Caveats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Does not find mutational resistance, only acquired genes.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Gap reporting incomplete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Sometimes two heavily overlapping genes will be reported for the same locus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Possible coverage calculation issues</w:t>
      </w:r>
    </w:p>
    <w:p w:rsidR="00000000" w:rsidDel="00000000" w:rsidP="00000000" w:rsidRDefault="00000000" w:rsidRPr="00000000" w14:paraId="0000003F">
      <w:pPr>
        <w:spacing w:before="200" w:lineRule="auto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MegaRes</w:t>
        </w:r>
      </w:hyperlink>
      <w:r w:rsidDel="00000000" w:rsidR="00000000" w:rsidRPr="00000000">
        <w:rPr>
          <w:rtl w:val="0"/>
        </w:rPr>
        <w:t xml:space="preserve"> - Has good summaries of the activities of, as well as references for, many of the R genes you will find.</w:t>
      </w:r>
    </w:p>
    <w:p w:rsidR="00000000" w:rsidDel="00000000" w:rsidP="00000000" w:rsidRDefault="00000000" w:rsidRPr="00000000" w14:paraId="00000040">
      <w:pPr>
        <w:pStyle w:val="Heading1"/>
        <w:contextualSpacing w:val="0"/>
        <w:rPr/>
      </w:pPr>
      <w:bookmarkStart w:colFirst="0" w:colLast="0" w:name="_tay8jfblynsk" w:id="4"/>
      <w:bookmarkEnd w:id="4"/>
      <w:r w:rsidDel="00000000" w:rsidR="00000000" w:rsidRPr="00000000">
        <w:rPr>
          <w:rtl w:val="0"/>
        </w:rPr>
        <w:t xml:space="preserve">Detecting AMR Genes using </w:t>
      </w:r>
      <w:r w:rsidDel="00000000" w:rsidR="00000000" w:rsidRPr="00000000">
        <w:rPr>
          <w:i w:val="1"/>
          <w:rtl w:val="0"/>
        </w:rPr>
        <w:t xml:space="preserve">KmerResistance</w:t>
      </w:r>
      <w:r w:rsidDel="00000000" w:rsidR="00000000" w:rsidRPr="00000000">
        <w:rPr>
          <w:rtl w:val="0"/>
        </w:rPr>
        <w:t xml:space="preserve"> on CGE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Center for Genomic Epidemiology</w:t>
        </w:r>
      </w:hyperlink>
      <w:r w:rsidDel="00000000" w:rsidR="00000000" w:rsidRPr="00000000">
        <w:rPr>
          <w:rtl w:val="0"/>
        </w:rPr>
        <w:t xml:space="preserve"> has a number of programs which can be useful in microbial genomics, and especially in the study of </w:t>
      </w:r>
      <w:r w:rsidDel="00000000" w:rsidR="00000000" w:rsidRPr="00000000">
        <w:rPr>
          <w:i w:val="1"/>
          <w:rtl w:val="0"/>
        </w:rPr>
        <w:t xml:space="preserve">Salmonella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E. coli. </w:t>
      </w:r>
      <w:r w:rsidDel="00000000" w:rsidR="00000000" w:rsidRPr="00000000">
        <w:rPr>
          <w:rtl w:val="0"/>
        </w:rPr>
        <w:t xml:space="preserve">The site can be slow, though, and sometimes a bit buggy as well. Sometimes it’s finicky about file names. Be sure they follow our file-naming suggestions and if in doubt, make them shorter. For CGE analyses, plan to start early and to be patient.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Philip T. L. C. Clausen, Ea Zankari, Frank M. Aarestrup, Ole Lund; Benchmarking of methods for identification of antimicrobial resistance genes in bacterial whole genome data, Journal of Antimicrobial Chemotherapy, Volume 71, Issue 9, 1 September 2016, Pages 2484–2488,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https://doi.org/10.1093/jac/dkw184</w:t>
        </w:r>
      </w:hyperlink>
      <w:r w:rsidDel="00000000" w:rsidR="00000000" w:rsidRPr="00000000">
        <w:rPr>
          <w:sz w:val="20"/>
          <w:szCs w:val="20"/>
          <w:rtl w:val="0"/>
        </w:rPr>
        <w:t xml:space="preserve">. See also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this comment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Click on “KmerResistance” in the left menu. Click on the ‘Instructions’ link at the top and read through (you should do this with any CGE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Leave the defaults as they are. Click on ‘isolate file’, upload your two </w:t>
      </w:r>
      <w:r w:rsidDel="00000000" w:rsidR="00000000" w:rsidRPr="00000000">
        <w:rPr>
          <w:u w:val="single"/>
          <w:rtl w:val="0"/>
        </w:rPr>
        <w:t xml:space="preserve">short read</w:t>
      </w:r>
      <w:r w:rsidDel="00000000" w:rsidR="00000000" w:rsidRPr="00000000">
        <w:rPr>
          <w:rtl w:val="0"/>
        </w:rPr>
        <w:t xml:space="preserve"> (not assembly) files, then click ‘execute’. This analysis can take a few hours to a day to return. You can input your email address to be notified when your analysis is complete.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color w:val="99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093/jac/dkw184" TargetMode="External"/><Relationship Id="rId10" Type="http://schemas.openxmlformats.org/officeDocument/2006/relationships/hyperlink" Target="http://www.genomicepidemiology.org/index.html" TargetMode="External"/><Relationship Id="rId12" Type="http://schemas.openxmlformats.org/officeDocument/2006/relationships/hyperlink" Target="https://academic.oup.com/jac/article/72/2/635/2629222" TargetMode="External"/><Relationship Id="rId9" Type="http://schemas.openxmlformats.org/officeDocument/2006/relationships/hyperlink" Target="https://megares.meglab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blast.ncbi.nlm.nih.gov/Blast.cgi" TargetMode="External"/><Relationship Id="rId8" Type="http://schemas.openxmlformats.org/officeDocument/2006/relationships/hyperlink" Target="https://github.com/tseemann/abricate#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