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97E4" w14:textId="0BD0C632" w:rsidR="005B6178" w:rsidRDefault="001A432A" w:rsidP="001A432A">
      <w:pPr>
        <w:spacing w:line="252" w:lineRule="auto"/>
        <w:jc w:val="center"/>
        <w:rPr>
          <w:b/>
          <w:sz w:val="28"/>
        </w:rPr>
      </w:pPr>
      <w:r>
        <w:rPr>
          <w:rFonts w:hint="eastAsia"/>
          <w:b/>
          <w:sz w:val="28"/>
        </w:rPr>
        <w:t>附录</w:t>
      </w:r>
      <w:r>
        <w:rPr>
          <w:rFonts w:hint="eastAsia"/>
          <w:b/>
          <w:sz w:val="28"/>
        </w:rPr>
        <w:t>1</w:t>
      </w:r>
      <w:r>
        <w:rPr>
          <w:rFonts w:hint="eastAsia"/>
          <w:b/>
          <w:sz w:val="28"/>
        </w:rPr>
        <w:t>：第</w:t>
      </w:r>
      <w:r w:rsidR="00835ECF">
        <w:rPr>
          <w:rFonts w:hint="eastAsia"/>
          <w:b/>
          <w:sz w:val="28"/>
        </w:rPr>
        <w:t>七</w:t>
      </w:r>
      <w:r>
        <w:rPr>
          <w:rFonts w:hint="eastAsia"/>
          <w:b/>
          <w:sz w:val="28"/>
        </w:rPr>
        <w:t>届未创项目计划书</w:t>
      </w:r>
    </w:p>
    <w:tbl>
      <w:tblPr>
        <w:tblStyle w:val="ab"/>
        <w:tblpPr w:leftFromText="180" w:rightFromText="180" w:vertAnchor="page" w:horzAnchor="margin" w:tblpY="2386"/>
        <w:tblW w:w="8472" w:type="dxa"/>
        <w:tblLayout w:type="fixed"/>
        <w:tblLook w:val="04A0" w:firstRow="1" w:lastRow="0" w:firstColumn="1" w:lastColumn="0" w:noHBand="0" w:noVBand="1"/>
      </w:tblPr>
      <w:tblGrid>
        <w:gridCol w:w="1242"/>
        <w:gridCol w:w="2127"/>
        <w:gridCol w:w="478"/>
        <w:gridCol w:w="1551"/>
        <w:gridCol w:w="3074"/>
      </w:tblGrid>
      <w:tr w:rsidR="005B6178" w14:paraId="2DC2FE2F" w14:textId="77777777">
        <w:trPr>
          <w:trHeight w:val="421"/>
        </w:trPr>
        <w:tc>
          <w:tcPr>
            <w:tcW w:w="1242" w:type="dxa"/>
            <w:vAlign w:val="center"/>
          </w:tcPr>
          <w:p w14:paraId="2683C0CC" w14:textId="77777777" w:rsidR="005B6178" w:rsidRDefault="001A432A">
            <w:pPr>
              <w:spacing w:line="252" w:lineRule="auto"/>
              <w:jc w:val="center"/>
              <w:rPr>
                <w:sz w:val="24"/>
                <w:szCs w:val="24"/>
              </w:rPr>
            </w:pPr>
            <w:r>
              <w:rPr>
                <w:sz w:val="24"/>
                <w:szCs w:val="24"/>
              </w:rPr>
              <w:t>项目名称</w:t>
            </w:r>
          </w:p>
        </w:tc>
        <w:tc>
          <w:tcPr>
            <w:tcW w:w="7230" w:type="dxa"/>
            <w:gridSpan w:val="4"/>
            <w:vAlign w:val="center"/>
          </w:tcPr>
          <w:p w14:paraId="27882A14" w14:textId="2A6EDF67" w:rsidR="005B6178" w:rsidRDefault="001A432A">
            <w:pPr>
              <w:spacing w:line="252" w:lineRule="auto"/>
              <w:jc w:val="center"/>
              <w:rPr>
                <w:rFonts w:hint="eastAsia"/>
                <w:sz w:val="24"/>
                <w:szCs w:val="24"/>
              </w:rPr>
            </w:pPr>
            <w:r>
              <w:rPr>
                <w:rFonts w:hint="eastAsia"/>
                <w:sz w:val="24"/>
                <w:szCs w:val="24"/>
              </w:rPr>
              <w:t>极端天气事件影响下的城市人群移动模式研究</w:t>
            </w:r>
          </w:p>
        </w:tc>
      </w:tr>
      <w:tr w:rsidR="005B6178" w14:paraId="200CFF1E" w14:textId="77777777">
        <w:trPr>
          <w:trHeight w:val="413"/>
        </w:trPr>
        <w:tc>
          <w:tcPr>
            <w:tcW w:w="1242" w:type="dxa"/>
            <w:vAlign w:val="center"/>
          </w:tcPr>
          <w:p w14:paraId="2C9E1E67" w14:textId="77777777" w:rsidR="005B6178" w:rsidRDefault="001A432A">
            <w:pPr>
              <w:spacing w:line="252" w:lineRule="auto"/>
              <w:jc w:val="center"/>
              <w:rPr>
                <w:sz w:val="24"/>
                <w:szCs w:val="24"/>
              </w:rPr>
            </w:pPr>
            <w:r>
              <w:rPr>
                <w:sz w:val="24"/>
                <w:szCs w:val="24"/>
              </w:rPr>
              <w:t>指导老师</w:t>
            </w:r>
          </w:p>
        </w:tc>
        <w:tc>
          <w:tcPr>
            <w:tcW w:w="2605" w:type="dxa"/>
            <w:gridSpan w:val="2"/>
            <w:vAlign w:val="center"/>
          </w:tcPr>
          <w:p w14:paraId="49011A47" w14:textId="7A7D3879" w:rsidR="005B6178" w:rsidRDefault="001A432A">
            <w:pPr>
              <w:spacing w:line="252" w:lineRule="auto"/>
              <w:jc w:val="center"/>
              <w:rPr>
                <w:sz w:val="24"/>
                <w:szCs w:val="24"/>
              </w:rPr>
            </w:pPr>
            <w:r>
              <w:rPr>
                <w:rFonts w:hint="eastAsia"/>
                <w:sz w:val="24"/>
                <w:szCs w:val="24"/>
              </w:rPr>
              <w:t>李楠</w:t>
            </w:r>
          </w:p>
        </w:tc>
        <w:tc>
          <w:tcPr>
            <w:tcW w:w="1551" w:type="dxa"/>
            <w:vAlign w:val="center"/>
          </w:tcPr>
          <w:p w14:paraId="4A59ECDC" w14:textId="77777777" w:rsidR="005B6178" w:rsidRDefault="001A432A">
            <w:pPr>
              <w:spacing w:line="252" w:lineRule="auto"/>
              <w:jc w:val="center"/>
              <w:rPr>
                <w:sz w:val="24"/>
                <w:szCs w:val="24"/>
              </w:rPr>
            </w:pPr>
            <w:r>
              <w:rPr>
                <w:sz w:val="24"/>
                <w:szCs w:val="24"/>
              </w:rPr>
              <w:t>队长</w:t>
            </w:r>
          </w:p>
        </w:tc>
        <w:tc>
          <w:tcPr>
            <w:tcW w:w="3074" w:type="dxa"/>
            <w:vAlign w:val="center"/>
          </w:tcPr>
          <w:p w14:paraId="76E0904E" w14:textId="30EC73CB" w:rsidR="005B6178" w:rsidRDefault="001A432A">
            <w:pPr>
              <w:spacing w:line="252" w:lineRule="auto"/>
              <w:jc w:val="center"/>
              <w:rPr>
                <w:sz w:val="24"/>
                <w:szCs w:val="24"/>
              </w:rPr>
            </w:pPr>
            <w:r>
              <w:rPr>
                <w:rFonts w:hint="eastAsia"/>
                <w:sz w:val="24"/>
                <w:szCs w:val="24"/>
              </w:rPr>
              <w:t>刘启涵</w:t>
            </w:r>
          </w:p>
        </w:tc>
      </w:tr>
      <w:tr w:rsidR="005B6178" w14:paraId="49EE1A71" w14:textId="77777777">
        <w:trPr>
          <w:trHeight w:val="405"/>
        </w:trPr>
        <w:tc>
          <w:tcPr>
            <w:tcW w:w="1242" w:type="dxa"/>
            <w:vAlign w:val="center"/>
          </w:tcPr>
          <w:p w14:paraId="2DA3E243" w14:textId="77777777" w:rsidR="005B6178" w:rsidRDefault="001A432A">
            <w:pPr>
              <w:spacing w:line="252" w:lineRule="auto"/>
              <w:jc w:val="center"/>
              <w:rPr>
                <w:sz w:val="24"/>
                <w:szCs w:val="24"/>
              </w:rPr>
            </w:pPr>
            <w:r>
              <w:rPr>
                <w:rFonts w:hint="eastAsia"/>
                <w:sz w:val="24"/>
                <w:szCs w:val="24"/>
              </w:rPr>
              <w:t>队员</w:t>
            </w:r>
          </w:p>
        </w:tc>
        <w:tc>
          <w:tcPr>
            <w:tcW w:w="7230" w:type="dxa"/>
            <w:gridSpan w:val="4"/>
            <w:vAlign w:val="center"/>
          </w:tcPr>
          <w:p w14:paraId="032BFF4F" w14:textId="7A22F3B5" w:rsidR="005B6178" w:rsidRDefault="001A432A">
            <w:pPr>
              <w:spacing w:line="252" w:lineRule="auto"/>
              <w:jc w:val="center"/>
              <w:rPr>
                <w:sz w:val="24"/>
                <w:szCs w:val="24"/>
              </w:rPr>
            </w:pPr>
            <w:r>
              <w:rPr>
                <w:rFonts w:hint="eastAsia"/>
                <w:sz w:val="24"/>
                <w:szCs w:val="24"/>
              </w:rPr>
              <w:t>/</w:t>
            </w:r>
          </w:p>
        </w:tc>
      </w:tr>
      <w:tr w:rsidR="005B6178" w14:paraId="7E226B15" w14:textId="77777777">
        <w:trPr>
          <w:trHeight w:val="1404"/>
        </w:trPr>
        <w:tc>
          <w:tcPr>
            <w:tcW w:w="1242" w:type="dxa"/>
            <w:vAlign w:val="center"/>
          </w:tcPr>
          <w:p w14:paraId="4E79495A" w14:textId="77777777" w:rsidR="005B6178" w:rsidRDefault="001A432A">
            <w:pPr>
              <w:spacing w:line="252" w:lineRule="auto"/>
              <w:jc w:val="center"/>
              <w:rPr>
                <w:sz w:val="24"/>
                <w:szCs w:val="24"/>
              </w:rPr>
            </w:pPr>
            <w:r>
              <w:rPr>
                <w:sz w:val="24"/>
                <w:szCs w:val="24"/>
              </w:rPr>
              <w:t>选题背景及意义</w:t>
            </w:r>
          </w:p>
        </w:tc>
        <w:tc>
          <w:tcPr>
            <w:tcW w:w="7230" w:type="dxa"/>
            <w:gridSpan w:val="4"/>
            <w:vAlign w:val="center"/>
          </w:tcPr>
          <w:p w14:paraId="1DFFEC8C" w14:textId="72FA9F56" w:rsidR="005B6178" w:rsidRDefault="001A432A" w:rsidP="001A432A">
            <w:pPr>
              <w:spacing w:line="252" w:lineRule="auto"/>
              <w:jc w:val="left"/>
              <w:rPr>
                <w:sz w:val="24"/>
                <w:szCs w:val="24"/>
              </w:rPr>
            </w:pPr>
            <w:r w:rsidRPr="001A432A">
              <w:rPr>
                <w:rFonts w:hint="eastAsia"/>
                <w:sz w:val="24"/>
                <w:szCs w:val="24"/>
              </w:rPr>
              <w:t>以台风</w:t>
            </w:r>
            <w:r w:rsidRPr="001A432A">
              <w:rPr>
                <w:rFonts w:hint="eastAsia"/>
                <w:sz w:val="24"/>
                <w:szCs w:val="24"/>
              </w:rPr>
              <w:t>(</w:t>
            </w:r>
            <w:r w:rsidRPr="001A432A">
              <w:rPr>
                <w:rFonts w:hint="eastAsia"/>
                <w:sz w:val="24"/>
                <w:szCs w:val="24"/>
              </w:rPr>
              <w:t>飓风</w:t>
            </w:r>
            <w:r w:rsidRPr="001A432A">
              <w:rPr>
                <w:rFonts w:hint="eastAsia"/>
                <w:sz w:val="24"/>
                <w:szCs w:val="24"/>
              </w:rPr>
              <w:t>)</w:t>
            </w:r>
            <w:r w:rsidRPr="001A432A">
              <w:rPr>
                <w:rFonts w:hint="eastAsia"/>
                <w:sz w:val="24"/>
                <w:szCs w:val="24"/>
              </w:rPr>
              <w:t>、暴雨洪涝、暴风雪等为代表的各类灾害性气象事件是城市正常运转所面临的重要风险。在全球气候变暖背景下，近年来各类灾害性气象事件发生的频率和强度呈增加趋势。人群移动研究处于物理学、地球科学、信息技术和管理科学的交叉领域，是近年来迅速兴起的研究热点。然而，现有研究针对的主要是城市运行的常态</w:t>
            </w:r>
            <w:r w:rsidRPr="001A432A">
              <w:rPr>
                <w:rFonts w:hint="eastAsia"/>
                <w:sz w:val="24"/>
                <w:szCs w:val="24"/>
              </w:rPr>
              <w:t>;</w:t>
            </w:r>
            <w:r w:rsidRPr="001A432A">
              <w:rPr>
                <w:rFonts w:hint="eastAsia"/>
                <w:sz w:val="24"/>
                <w:szCs w:val="24"/>
              </w:rPr>
              <w:t>与之相比，对灾害情境下城市人群移动的相关研究明显滞后，对于在灾害条件影响下城市人群移动模式的</w:t>
            </w:r>
            <w:proofErr w:type="gramStart"/>
            <w:r w:rsidRPr="001A432A">
              <w:rPr>
                <w:rFonts w:hint="eastAsia"/>
                <w:sz w:val="24"/>
                <w:szCs w:val="24"/>
              </w:rPr>
              <w:t>理解仍</w:t>
            </w:r>
            <w:proofErr w:type="gramEnd"/>
            <w:r w:rsidRPr="001A432A">
              <w:rPr>
                <w:rFonts w:hint="eastAsia"/>
                <w:sz w:val="24"/>
                <w:szCs w:val="24"/>
              </w:rPr>
              <w:t>较为匮乏。该研究使用人群移动大数据刻画常态和灾害下人群移动关键指标和统计规律，以评估灾害风险和预测未来城市人群移动。研究结论可作为制定灾害应对措施的依据，对于提高城市灾害应对能力、降低灾害损失至关重要。</w:t>
            </w:r>
          </w:p>
        </w:tc>
      </w:tr>
      <w:tr w:rsidR="005B6178" w14:paraId="7DC9A14E" w14:textId="77777777">
        <w:trPr>
          <w:trHeight w:val="1562"/>
        </w:trPr>
        <w:tc>
          <w:tcPr>
            <w:tcW w:w="1242" w:type="dxa"/>
            <w:vAlign w:val="center"/>
          </w:tcPr>
          <w:p w14:paraId="0972F5A0" w14:textId="77777777" w:rsidR="005B6178" w:rsidRDefault="001A432A">
            <w:pPr>
              <w:spacing w:line="252" w:lineRule="auto"/>
              <w:jc w:val="center"/>
              <w:rPr>
                <w:sz w:val="24"/>
                <w:szCs w:val="24"/>
              </w:rPr>
            </w:pPr>
            <w:r>
              <w:rPr>
                <w:sz w:val="24"/>
                <w:szCs w:val="24"/>
              </w:rPr>
              <w:t>本项目研究内容及创新点</w:t>
            </w:r>
          </w:p>
        </w:tc>
        <w:tc>
          <w:tcPr>
            <w:tcW w:w="7230" w:type="dxa"/>
            <w:gridSpan w:val="4"/>
            <w:vAlign w:val="center"/>
          </w:tcPr>
          <w:p w14:paraId="1A650524" w14:textId="77777777" w:rsidR="005B6178" w:rsidRDefault="001A432A" w:rsidP="001A432A">
            <w:pPr>
              <w:spacing w:line="252" w:lineRule="auto"/>
              <w:rPr>
                <w:sz w:val="24"/>
                <w:szCs w:val="24"/>
              </w:rPr>
            </w:pPr>
            <w:r>
              <w:rPr>
                <w:rFonts w:hint="eastAsia"/>
                <w:sz w:val="24"/>
                <w:szCs w:val="24"/>
              </w:rPr>
              <w:t>灾害条件影响下的城市人群移动模式。</w:t>
            </w:r>
          </w:p>
          <w:p w14:paraId="1A45AB4E" w14:textId="542B5849" w:rsidR="001A432A" w:rsidRDefault="001A432A" w:rsidP="001A432A">
            <w:pPr>
              <w:spacing w:line="252" w:lineRule="auto"/>
              <w:rPr>
                <w:rFonts w:hint="eastAsia"/>
                <w:sz w:val="24"/>
                <w:szCs w:val="24"/>
              </w:rPr>
            </w:pPr>
            <w:r w:rsidRPr="001A432A">
              <w:rPr>
                <w:rFonts w:hint="eastAsia"/>
                <w:sz w:val="24"/>
                <w:szCs w:val="24"/>
              </w:rPr>
              <w:t>人群移动研究处于物理学、地球科学、信息技术和管理科学的交叉领域，是近年来迅速兴起的研究热点</w:t>
            </w:r>
            <w:r>
              <w:rPr>
                <w:rFonts w:hint="eastAsia"/>
                <w:sz w:val="24"/>
                <w:szCs w:val="24"/>
              </w:rPr>
              <w:t>，</w:t>
            </w:r>
            <w:r w:rsidRPr="001A432A">
              <w:rPr>
                <w:rFonts w:hint="eastAsia"/>
                <w:sz w:val="24"/>
                <w:szCs w:val="24"/>
              </w:rPr>
              <w:t>然而，现有研究针对的主要是城市运行的常态</w:t>
            </w:r>
            <w:r w:rsidRPr="001A432A">
              <w:rPr>
                <w:rFonts w:hint="eastAsia"/>
                <w:sz w:val="24"/>
                <w:szCs w:val="24"/>
              </w:rPr>
              <w:t>;</w:t>
            </w:r>
            <w:r w:rsidRPr="001A432A">
              <w:rPr>
                <w:rFonts w:hint="eastAsia"/>
                <w:sz w:val="24"/>
                <w:szCs w:val="24"/>
              </w:rPr>
              <w:t>与之相比，对灾害情境下城市人群移动的相关研究明显滞后，对于在灾害条件影响下城市人群移动模式的</w:t>
            </w:r>
            <w:proofErr w:type="gramStart"/>
            <w:r w:rsidRPr="001A432A">
              <w:rPr>
                <w:rFonts w:hint="eastAsia"/>
                <w:sz w:val="24"/>
                <w:szCs w:val="24"/>
              </w:rPr>
              <w:t>理解仍</w:t>
            </w:r>
            <w:proofErr w:type="gramEnd"/>
            <w:r w:rsidRPr="001A432A">
              <w:rPr>
                <w:rFonts w:hint="eastAsia"/>
                <w:sz w:val="24"/>
                <w:szCs w:val="24"/>
              </w:rPr>
              <w:t>较为匮乏。</w:t>
            </w:r>
          </w:p>
        </w:tc>
      </w:tr>
      <w:tr w:rsidR="005B6178" w14:paraId="0915AC10" w14:textId="77777777">
        <w:trPr>
          <w:trHeight w:val="1398"/>
        </w:trPr>
        <w:tc>
          <w:tcPr>
            <w:tcW w:w="1242" w:type="dxa"/>
            <w:vAlign w:val="center"/>
          </w:tcPr>
          <w:p w14:paraId="3B3E2299" w14:textId="77777777" w:rsidR="005B6178" w:rsidRDefault="001A432A">
            <w:pPr>
              <w:spacing w:line="252" w:lineRule="auto"/>
              <w:jc w:val="center"/>
              <w:rPr>
                <w:sz w:val="24"/>
                <w:szCs w:val="24"/>
              </w:rPr>
            </w:pPr>
            <w:r>
              <w:rPr>
                <w:rFonts w:hint="eastAsia"/>
                <w:sz w:val="24"/>
                <w:szCs w:val="24"/>
              </w:rPr>
              <w:t>主要</w:t>
            </w:r>
            <w:r>
              <w:rPr>
                <w:sz w:val="24"/>
                <w:szCs w:val="24"/>
              </w:rPr>
              <w:t>研究方法</w:t>
            </w:r>
          </w:p>
        </w:tc>
        <w:tc>
          <w:tcPr>
            <w:tcW w:w="7230" w:type="dxa"/>
            <w:gridSpan w:val="4"/>
            <w:vAlign w:val="center"/>
          </w:tcPr>
          <w:p w14:paraId="59C22BC3" w14:textId="1DE6BC5E" w:rsidR="005B6178" w:rsidRDefault="001A432A">
            <w:pPr>
              <w:spacing w:line="252" w:lineRule="auto"/>
              <w:rPr>
                <w:sz w:val="24"/>
                <w:szCs w:val="24"/>
              </w:rPr>
            </w:pPr>
            <w:r w:rsidRPr="001A432A">
              <w:rPr>
                <w:rFonts w:hint="eastAsia"/>
                <w:sz w:val="24"/>
                <w:szCs w:val="24"/>
              </w:rPr>
              <w:t>使用人群移动大数据刻画常态和灾害下人群移动关键指标和统计规律，以评估灾害风险和预测未来城市人群移动。</w:t>
            </w:r>
          </w:p>
        </w:tc>
      </w:tr>
      <w:tr w:rsidR="005B6178" w14:paraId="31284714" w14:textId="77777777">
        <w:trPr>
          <w:trHeight w:val="494"/>
        </w:trPr>
        <w:tc>
          <w:tcPr>
            <w:tcW w:w="1242" w:type="dxa"/>
            <w:vMerge w:val="restart"/>
            <w:vAlign w:val="center"/>
          </w:tcPr>
          <w:p w14:paraId="1F769B96" w14:textId="77777777" w:rsidR="005B6178" w:rsidRDefault="001A432A">
            <w:pPr>
              <w:spacing w:line="252" w:lineRule="auto"/>
              <w:jc w:val="center"/>
              <w:rPr>
                <w:sz w:val="24"/>
                <w:szCs w:val="24"/>
              </w:rPr>
            </w:pPr>
            <w:r>
              <w:rPr>
                <w:sz w:val="24"/>
                <w:szCs w:val="24"/>
              </w:rPr>
              <w:t>进度安排</w:t>
            </w:r>
          </w:p>
        </w:tc>
        <w:tc>
          <w:tcPr>
            <w:tcW w:w="2127" w:type="dxa"/>
            <w:vAlign w:val="center"/>
          </w:tcPr>
          <w:p w14:paraId="243B7EB1" w14:textId="77777777" w:rsidR="005B6178" w:rsidRDefault="001A432A">
            <w:pPr>
              <w:spacing w:line="252" w:lineRule="auto"/>
              <w:jc w:val="center"/>
              <w:rPr>
                <w:sz w:val="24"/>
                <w:szCs w:val="24"/>
              </w:rPr>
            </w:pPr>
            <w:r>
              <w:rPr>
                <w:rFonts w:hint="eastAsia"/>
                <w:sz w:val="24"/>
                <w:szCs w:val="24"/>
              </w:rPr>
              <w:t>时间段</w:t>
            </w:r>
          </w:p>
        </w:tc>
        <w:tc>
          <w:tcPr>
            <w:tcW w:w="5103" w:type="dxa"/>
            <w:gridSpan w:val="3"/>
            <w:vAlign w:val="center"/>
          </w:tcPr>
          <w:p w14:paraId="197824CB" w14:textId="77777777" w:rsidR="005B6178" w:rsidRDefault="001A432A">
            <w:pPr>
              <w:spacing w:line="252" w:lineRule="auto"/>
              <w:jc w:val="center"/>
              <w:rPr>
                <w:sz w:val="24"/>
                <w:szCs w:val="24"/>
              </w:rPr>
            </w:pPr>
            <w:r>
              <w:rPr>
                <w:rFonts w:hint="eastAsia"/>
                <w:sz w:val="24"/>
                <w:szCs w:val="24"/>
              </w:rPr>
              <w:t>进度计划</w:t>
            </w:r>
          </w:p>
        </w:tc>
      </w:tr>
      <w:tr w:rsidR="005B6178" w14:paraId="26E6BFC3" w14:textId="77777777">
        <w:trPr>
          <w:trHeight w:val="493"/>
        </w:trPr>
        <w:tc>
          <w:tcPr>
            <w:tcW w:w="1242" w:type="dxa"/>
            <w:vMerge/>
            <w:vAlign w:val="center"/>
          </w:tcPr>
          <w:p w14:paraId="713BA11B" w14:textId="77777777" w:rsidR="005B6178" w:rsidRDefault="005B6178">
            <w:pPr>
              <w:spacing w:line="252" w:lineRule="auto"/>
              <w:jc w:val="center"/>
              <w:rPr>
                <w:sz w:val="24"/>
                <w:szCs w:val="24"/>
              </w:rPr>
            </w:pPr>
          </w:p>
        </w:tc>
        <w:tc>
          <w:tcPr>
            <w:tcW w:w="2127" w:type="dxa"/>
            <w:vAlign w:val="center"/>
          </w:tcPr>
          <w:p w14:paraId="17A076A8" w14:textId="72FD6204" w:rsidR="005B6178" w:rsidRDefault="001A432A">
            <w:pPr>
              <w:spacing w:line="252" w:lineRule="auto"/>
              <w:rPr>
                <w:sz w:val="24"/>
                <w:szCs w:val="24"/>
              </w:rPr>
            </w:pPr>
            <w:r w:rsidRPr="001A432A">
              <w:rPr>
                <w:sz w:val="24"/>
                <w:szCs w:val="24"/>
              </w:rPr>
              <w:t>2022.10- 2022.11</w:t>
            </w:r>
          </w:p>
        </w:tc>
        <w:tc>
          <w:tcPr>
            <w:tcW w:w="5103" w:type="dxa"/>
            <w:gridSpan w:val="3"/>
            <w:vAlign w:val="center"/>
          </w:tcPr>
          <w:p w14:paraId="01F4C99A" w14:textId="3D891CB2" w:rsidR="005B6178" w:rsidRDefault="001A432A">
            <w:pPr>
              <w:spacing w:line="252" w:lineRule="auto"/>
              <w:rPr>
                <w:sz w:val="24"/>
                <w:szCs w:val="24"/>
              </w:rPr>
            </w:pPr>
            <w:r w:rsidRPr="001A432A">
              <w:rPr>
                <w:rFonts w:hint="eastAsia"/>
                <w:sz w:val="24"/>
                <w:szCs w:val="24"/>
              </w:rPr>
              <w:t>明确项目主题和研究思路，制定详细的研究方案，阅读文献</w:t>
            </w:r>
          </w:p>
        </w:tc>
      </w:tr>
      <w:tr w:rsidR="005B6178" w14:paraId="00C655D1" w14:textId="77777777">
        <w:trPr>
          <w:trHeight w:val="493"/>
        </w:trPr>
        <w:tc>
          <w:tcPr>
            <w:tcW w:w="1242" w:type="dxa"/>
            <w:vMerge/>
            <w:vAlign w:val="center"/>
          </w:tcPr>
          <w:p w14:paraId="7D5752C3" w14:textId="77777777" w:rsidR="005B6178" w:rsidRDefault="005B6178">
            <w:pPr>
              <w:spacing w:line="252" w:lineRule="auto"/>
              <w:jc w:val="center"/>
              <w:rPr>
                <w:sz w:val="24"/>
                <w:szCs w:val="24"/>
              </w:rPr>
            </w:pPr>
          </w:p>
        </w:tc>
        <w:tc>
          <w:tcPr>
            <w:tcW w:w="2127" w:type="dxa"/>
            <w:vAlign w:val="center"/>
          </w:tcPr>
          <w:p w14:paraId="1A0EF927" w14:textId="4AAD4182" w:rsidR="005B6178" w:rsidRDefault="001A432A">
            <w:pPr>
              <w:spacing w:line="252" w:lineRule="auto"/>
              <w:rPr>
                <w:sz w:val="24"/>
                <w:szCs w:val="24"/>
              </w:rPr>
            </w:pPr>
            <w:r w:rsidRPr="001A432A">
              <w:rPr>
                <w:sz w:val="24"/>
                <w:szCs w:val="24"/>
              </w:rPr>
              <w:t>2022.12</w:t>
            </w:r>
          </w:p>
        </w:tc>
        <w:tc>
          <w:tcPr>
            <w:tcW w:w="5103" w:type="dxa"/>
            <w:gridSpan w:val="3"/>
            <w:vAlign w:val="center"/>
          </w:tcPr>
          <w:p w14:paraId="4B791FD0" w14:textId="0146F622" w:rsidR="005B6178" w:rsidRDefault="001A432A">
            <w:pPr>
              <w:spacing w:line="252" w:lineRule="auto"/>
              <w:rPr>
                <w:sz w:val="24"/>
                <w:szCs w:val="24"/>
              </w:rPr>
            </w:pPr>
            <w:r w:rsidRPr="001A432A">
              <w:rPr>
                <w:rFonts w:hint="eastAsia"/>
                <w:sz w:val="24"/>
                <w:szCs w:val="24"/>
              </w:rPr>
              <w:t>收集及预处理人群移动相关的数据</w:t>
            </w:r>
          </w:p>
        </w:tc>
      </w:tr>
      <w:tr w:rsidR="005B6178" w14:paraId="15E53F0E" w14:textId="77777777">
        <w:trPr>
          <w:trHeight w:val="493"/>
        </w:trPr>
        <w:tc>
          <w:tcPr>
            <w:tcW w:w="1242" w:type="dxa"/>
            <w:vMerge/>
            <w:vAlign w:val="center"/>
          </w:tcPr>
          <w:p w14:paraId="53D6F1F1" w14:textId="77777777" w:rsidR="005B6178" w:rsidRDefault="005B6178">
            <w:pPr>
              <w:spacing w:line="252" w:lineRule="auto"/>
              <w:jc w:val="center"/>
              <w:rPr>
                <w:sz w:val="24"/>
                <w:szCs w:val="24"/>
              </w:rPr>
            </w:pPr>
          </w:p>
        </w:tc>
        <w:tc>
          <w:tcPr>
            <w:tcW w:w="2127" w:type="dxa"/>
            <w:vAlign w:val="center"/>
          </w:tcPr>
          <w:p w14:paraId="780C7B2C" w14:textId="7CF3362E" w:rsidR="005B6178" w:rsidRDefault="001A432A">
            <w:pPr>
              <w:spacing w:line="252" w:lineRule="auto"/>
              <w:rPr>
                <w:sz w:val="24"/>
                <w:szCs w:val="24"/>
              </w:rPr>
            </w:pPr>
            <w:r w:rsidRPr="001A432A">
              <w:rPr>
                <w:sz w:val="24"/>
                <w:szCs w:val="24"/>
              </w:rPr>
              <w:t>2023.01-2023.02</w:t>
            </w:r>
          </w:p>
        </w:tc>
        <w:tc>
          <w:tcPr>
            <w:tcW w:w="5103" w:type="dxa"/>
            <w:gridSpan w:val="3"/>
            <w:vAlign w:val="center"/>
          </w:tcPr>
          <w:p w14:paraId="11DE3D60" w14:textId="3AFDD533" w:rsidR="005B6178" w:rsidRDefault="001A432A">
            <w:pPr>
              <w:spacing w:line="252" w:lineRule="auto"/>
              <w:rPr>
                <w:sz w:val="24"/>
                <w:szCs w:val="24"/>
              </w:rPr>
            </w:pPr>
            <w:r w:rsidRPr="001A432A">
              <w:rPr>
                <w:rFonts w:hint="eastAsia"/>
                <w:sz w:val="24"/>
                <w:szCs w:val="24"/>
              </w:rPr>
              <w:t>使用</w:t>
            </w:r>
            <w:r w:rsidRPr="001A432A">
              <w:rPr>
                <w:rFonts w:hint="eastAsia"/>
                <w:sz w:val="24"/>
                <w:szCs w:val="24"/>
              </w:rPr>
              <w:t>Python</w:t>
            </w:r>
            <w:r w:rsidRPr="001A432A">
              <w:rPr>
                <w:rFonts w:hint="eastAsia"/>
                <w:sz w:val="24"/>
                <w:szCs w:val="24"/>
              </w:rPr>
              <w:t>进行数据处理并计算刻画人群移动扰动的量化指标</w:t>
            </w:r>
          </w:p>
        </w:tc>
      </w:tr>
      <w:tr w:rsidR="005B6178" w14:paraId="2AB6DFB3" w14:textId="77777777">
        <w:trPr>
          <w:trHeight w:val="493"/>
        </w:trPr>
        <w:tc>
          <w:tcPr>
            <w:tcW w:w="1242" w:type="dxa"/>
            <w:vMerge/>
            <w:vAlign w:val="center"/>
          </w:tcPr>
          <w:p w14:paraId="16B0B1E3" w14:textId="77777777" w:rsidR="005B6178" w:rsidRDefault="005B6178">
            <w:pPr>
              <w:spacing w:line="252" w:lineRule="auto"/>
              <w:jc w:val="center"/>
              <w:rPr>
                <w:sz w:val="24"/>
                <w:szCs w:val="24"/>
              </w:rPr>
            </w:pPr>
          </w:p>
        </w:tc>
        <w:tc>
          <w:tcPr>
            <w:tcW w:w="2127" w:type="dxa"/>
            <w:vAlign w:val="center"/>
          </w:tcPr>
          <w:p w14:paraId="13A514FA" w14:textId="56C36D46" w:rsidR="005B6178" w:rsidRDefault="001A432A">
            <w:pPr>
              <w:spacing w:line="252" w:lineRule="auto"/>
              <w:rPr>
                <w:sz w:val="24"/>
                <w:szCs w:val="24"/>
              </w:rPr>
            </w:pPr>
            <w:r w:rsidRPr="001A432A">
              <w:rPr>
                <w:sz w:val="24"/>
                <w:szCs w:val="24"/>
              </w:rPr>
              <w:t>2023.03-2023.04</w:t>
            </w:r>
          </w:p>
        </w:tc>
        <w:tc>
          <w:tcPr>
            <w:tcW w:w="5103" w:type="dxa"/>
            <w:gridSpan w:val="3"/>
            <w:vAlign w:val="center"/>
          </w:tcPr>
          <w:p w14:paraId="3F22878C" w14:textId="1FA986F9" w:rsidR="005B6178" w:rsidRDefault="001A432A">
            <w:pPr>
              <w:spacing w:line="252" w:lineRule="auto"/>
              <w:rPr>
                <w:sz w:val="24"/>
                <w:szCs w:val="24"/>
              </w:rPr>
            </w:pPr>
            <w:r w:rsidRPr="001A432A">
              <w:rPr>
                <w:rFonts w:hint="eastAsia"/>
                <w:sz w:val="24"/>
                <w:szCs w:val="24"/>
              </w:rPr>
              <w:t>对灾害发生前后的人群移动模式进行分析，分析数据结果</w:t>
            </w:r>
          </w:p>
        </w:tc>
      </w:tr>
      <w:tr w:rsidR="005B6178" w14:paraId="2B81F4D6" w14:textId="77777777">
        <w:trPr>
          <w:trHeight w:val="493"/>
        </w:trPr>
        <w:tc>
          <w:tcPr>
            <w:tcW w:w="1242" w:type="dxa"/>
            <w:vMerge/>
            <w:vAlign w:val="center"/>
          </w:tcPr>
          <w:p w14:paraId="44B0A7B3" w14:textId="77777777" w:rsidR="005B6178" w:rsidRDefault="005B6178">
            <w:pPr>
              <w:spacing w:line="252" w:lineRule="auto"/>
              <w:jc w:val="center"/>
              <w:rPr>
                <w:sz w:val="24"/>
                <w:szCs w:val="24"/>
              </w:rPr>
            </w:pPr>
          </w:p>
        </w:tc>
        <w:tc>
          <w:tcPr>
            <w:tcW w:w="2127" w:type="dxa"/>
            <w:vAlign w:val="center"/>
          </w:tcPr>
          <w:p w14:paraId="481E576B" w14:textId="14A04E19" w:rsidR="005B6178" w:rsidRDefault="001A432A">
            <w:pPr>
              <w:spacing w:line="252" w:lineRule="auto"/>
              <w:rPr>
                <w:sz w:val="24"/>
                <w:szCs w:val="24"/>
              </w:rPr>
            </w:pPr>
            <w:r w:rsidRPr="001A432A">
              <w:rPr>
                <w:sz w:val="24"/>
                <w:szCs w:val="24"/>
              </w:rPr>
              <w:t>2023.05-2023.06</w:t>
            </w:r>
          </w:p>
        </w:tc>
        <w:tc>
          <w:tcPr>
            <w:tcW w:w="5103" w:type="dxa"/>
            <w:gridSpan w:val="3"/>
            <w:vAlign w:val="center"/>
          </w:tcPr>
          <w:p w14:paraId="4F0C7218" w14:textId="6827B2EA" w:rsidR="005B6178" w:rsidRDefault="001A432A">
            <w:pPr>
              <w:spacing w:line="252" w:lineRule="auto"/>
              <w:rPr>
                <w:sz w:val="24"/>
                <w:szCs w:val="24"/>
              </w:rPr>
            </w:pPr>
            <w:r w:rsidRPr="001A432A">
              <w:rPr>
                <w:rFonts w:hint="eastAsia"/>
                <w:sz w:val="24"/>
                <w:szCs w:val="24"/>
              </w:rPr>
              <w:t>成果整理与报告</w:t>
            </w:r>
            <w:r w:rsidRPr="001A432A">
              <w:rPr>
                <w:rFonts w:hint="eastAsia"/>
                <w:sz w:val="24"/>
                <w:szCs w:val="24"/>
              </w:rPr>
              <w:t>/</w:t>
            </w:r>
            <w:r w:rsidRPr="001A432A">
              <w:rPr>
                <w:rFonts w:hint="eastAsia"/>
                <w:sz w:val="24"/>
                <w:szCs w:val="24"/>
              </w:rPr>
              <w:t>论文写作</w:t>
            </w:r>
          </w:p>
        </w:tc>
      </w:tr>
      <w:tr w:rsidR="005B6178" w14:paraId="0A077C01" w14:textId="77777777">
        <w:trPr>
          <w:trHeight w:val="493"/>
        </w:trPr>
        <w:tc>
          <w:tcPr>
            <w:tcW w:w="1242" w:type="dxa"/>
            <w:vMerge/>
            <w:vAlign w:val="center"/>
          </w:tcPr>
          <w:p w14:paraId="339A81B8" w14:textId="77777777" w:rsidR="005B6178" w:rsidRDefault="005B6178">
            <w:pPr>
              <w:spacing w:line="252" w:lineRule="auto"/>
              <w:jc w:val="center"/>
              <w:rPr>
                <w:sz w:val="24"/>
                <w:szCs w:val="24"/>
              </w:rPr>
            </w:pPr>
          </w:p>
        </w:tc>
        <w:tc>
          <w:tcPr>
            <w:tcW w:w="2127" w:type="dxa"/>
            <w:vAlign w:val="center"/>
          </w:tcPr>
          <w:p w14:paraId="496F50BA" w14:textId="77777777" w:rsidR="005B6178" w:rsidRDefault="005B6178">
            <w:pPr>
              <w:spacing w:line="252" w:lineRule="auto"/>
              <w:rPr>
                <w:sz w:val="24"/>
                <w:szCs w:val="24"/>
              </w:rPr>
            </w:pPr>
          </w:p>
        </w:tc>
        <w:tc>
          <w:tcPr>
            <w:tcW w:w="5103" w:type="dxa"/>
            <w:gridSpan w:val="3"/>
            <w:vAlign w:val="center"/>
          </w:tcPr>
          <w:p w14:paraId="4E78C417" w14:textId="77777777" w:rsidR="005B6178" w:rsidRDefault="005B6178">
            <w:pPr>
              <w:spacing w:line="252" w:lineRule="auto"/>
              <w:rPr>
                <w:sz w:val="24"/>
                <w:szCs w:val="24"/>
              </w:rPr>
            </w:pPr>
          </w:p>
        </w:tc>
      </w:tr>
      <w:tr w:rsidR="005B6178" w14:paraId="3118F8DB" w14:textId="77777777">
        <w:trPr>
          <w:trHeight w:val="493"/>
        </w:trPr>
        <w:tc>
          <w:tcPr>
            <w:tcW w:w="1242" w:type="dxa"/>
            <w:vMerge/>
            <w:vAlign w:val="center"/>
          </w:tcPr>
          <w:p w14:paraId="5C2CD714" w14:textId="77777777" w:rsidR="005B6178" w:rsidRDefault="005B6178">
            <w:pPr>
              <w:spacing w:line="252" w:lineRule="auto"/>
              <w:jc w:val="center"/>
              <w:rPr>
                <w:sz w:val="24"/>
                <w:szCs w:val="24"/>
              </w:rPr>
            </w:pPr>
          </w:p>
        </w:tc>
        <w:tc>
          <w:tcPr>
            <w:tcW w:w="2127" w:type="dxa"/>
            <w:vAlign w:val="center"/>
          </w:tcPr>
          <w:p w14:paraId="3F43F441" w14:textId="77777777" w:rsidR="005B6178" w:rsidRDefault="005B6178">
            <w:pPr>
              <w:spacing w:line="252" w:lineRule="auto"/>
              <w:rPr>
                <w:sz w:val="24"/>
                <w:szCs w:val="24"/>
              </w:rPr>
            </w:pPr>
          </w:p>
        </w:tc>
        <w:tc>
          <w:tcPr>
            <w:tcW w:w="5103" w:type="dxa"/>
            <w:gridSpan w:val="3"/>
            <w:vAlign w:val="center"/>
          </w:tcPr>
          <w:p w14:paraId="2CFE4139" w14:textId="77777777" w:rsidR="005B6178" w:rsidRDefault="005B6178">
            <w:pPr>
              <w:spacing w:line="252" w:lineRule="auto"/>
              <w:rPr>
                <w:sz w:val="24"/>
                <w:szCs w:val="24"/>
              </w:rPr>
            </w:pPr>
          </w:p>
        </w:tc>
      </w:tr>
      <w:tr w:rsidR="001A432A" w14:paraId="2CAF4BD1" w14:textId="77777777">
        <w:trPr>
          <w:trHeight w:val="1969"/>
        </w:trPr>
        <w:tc>
          <w:tcPr>
            <w:tcW w:w="1242" w:type="dxa"/>
            <w:vAlign w:val="center"/>
          </w:tcPr>
          <w:p w14:paraId="260FB889" w14:textId="77777777" w:rsidR="001A432A" w:rsidRDefault="001A432A" w:rsidP="001A432A">
            <w:pPr>
              <w:spacing w:line="252" w:lineRule="auto"/>
              <w:jc w:val="center"/>
              <w:rPr>
                <w:sz w:val="24"/>
                <w:szCs w:val="24"/>
              </w:rPr>
            </w:pPr>
            <w:r>
              <w:rPr>
                <w:sz w:val="24"/>
                <w:szCs w:val="24"/>
              </w:rPr>
              <w:lastRenderedPageBreak/>
              <w:t>预计可获得的成果</w:t>
            </w:r>
          </w:p>
        </w:tc>
        <w:tc>
          <w:tcPr>
            <w:tcW w:w="7230" w:type="dxa"/>
            <w:gridSpan w:val="4"/>
            <w:vAlign w:val="center"/>
          </w:tcPr>
          <w:p w14:paraId="4427247B" w14:textId="5634AFA1" w:rsidR="001A432A" w:rsidRDefault="001A432A" w:rsidP="001A432A">
            <w:pPr>
              <w:spacing w:line="252" w:lineRule="auto"/>
              <w:jc w:val="left"/>
              <w:rPr>
                <w:sz w:val="24"/>
                <w:szCs w:val="24"/>
              </w:rPr>
            </w:pPr>
            <w:r w:rsidRPr="001A432A">
              <w:rPr>
                <w:rFonts w:hint="eastAsia"/>
                <w:sz w:val="24"/>
                <w:szCs w:val="24"/>
              </w:rPr>
              <w:t>本研究项目预期成果为提出能够提出刻画灾害情境下人群移动扰动模式的关键指标和统计规律，并提出计算方式。另外，本研究也将通过案例研究进一步的解释灾害对城市人群移动模式造成的扰动规律，并在不同城市间进行对比，验证所发现结论的普适性。</w:t>
            </w:r>
          </w:p>
        </w:tc>
      </w:tr>
    </w:tbl>
    <w:p w14:paraId="5BFC4F31" w14:textId="77777777" w:rsidR="005B6178" w:rsidRDefault="001A432A" w:rsidP="001A432A">
      <w:pPr>
        <w:spacing w:line="252" w:lineRule="auto"/>
        <w:jc w:val="center"/>
        <w:rPr>
          <w:sz w:val="24"/>
          <w:szCs w:val="24"/>
        </w:rPr>
      </w:pPr>
      <w:r>
        <w:rPr>
          <w:rFonts w:hint="eastAsia"/>
          <w:sz w:val="24"/>
          <w:szCs w:val="24"/>
        </w:rPr>
        <w:t>（所有内容均可附文档说明）</w:t>
      </w:r>
    </w:p>
    <w:p w14:paraId="02E4C429" w14:textId="0623FBDC" w:rsidR="005B6178" w:rsidRDefault="005B6178">
      <w:pPr>
        <w:spacing w:before="240" w:line="252" w:lineRule="auto"/>
        <w:rPr>
          <w:sz w:val="24"/>
          <w:szCs w:val="24"/>
        </w:rPr>
      </w:pPr>
    </w:p>
    <w:sectPr w:rsidR="005B61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1661"/>
    <w:multiLevelType w:val="multilevel"/>
    <w:tmpl w:val="0AAF1661"/>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905"/>
    <w:rsid w:val="000144B6"/>
    <w:rsid w:val="0003150A"/>
    <w:rsid w:val="000417F2"/>
    <w:rsid w:val="000E4B74"/>
    <w:rsid w:val="00103AE3"/>
    <w:rsid w:val="00132647"/>
    <w:rsid w:val="00133CC0"/>
    <w:rsid w:val="001616D6"/>
    <w:rsid w:val="00175DEE"/>
    <w:rsid w:val="001A432A"/>
    <w:rsid w:val="001E693A"/>
    <w:rsid w:val="00262E85"/>
    <w:rsid w:val="00302513"/>
    <w:rsid w:val="003174F5"/>
    <w:rsid w:val="003238FA"/>
    <w:rsid w:val="00344585"/>
    <w:rsid w:val="003510DA"/>
    <w:rsid w:val="0035121F"/>
    <w:rsid w:val="003952D6"/>
    <w:rsid w:val="003A3160"/>
    <w:rsid w:val="003B3511"/>
    <w:rsid w:val="003D1AFB"/>
    <w:rsid w:val="003D742F"/>
    <w:rsid w:val="00497A49"/>
    <w:rsid w:val="004A66F3"/>
    <w:rsid w:val="004F1ACB"/>
    <w:rsid w:val="00502495"/>
    <w:rsid w:val="00510ACB"/>
    <w:rsid w:val="005136D3"/>
    <w:rsid w:val="005177B4"/>
    <w:rsid w:val="005311C0"/>
    <w:rsid w:val="00536916"/>
    <w:rsid w:val="005548AA"/>
    <w:rsid w:val="00590F4D"/>
    <w:rsid w:val="005B6178"/>
    <w:rsid w:val="005E3A9C"/>
    <w:rsid w:val="005F55C3"/>
    <w:rsid w:val="006079D4"/>
    <w:rsid w:val="00613CA2"/>
    <w:rsid w:val="006176C5"/>
    <w:rsid w:val="00623553"/>
    <w:rsid w:val="00646AB1"/>
    <w:rsid w:val="006562DB"/>
    <w:rsid w:val="00666655"/>
    <w:rsid w:val="006E01A4"/>
    <w:rsid w:val="006F3254"/>
    <w:rsid w:val="006F740C"/>
    <w:rsid w:val="00730476"/>
    <w:rsid w:val="007A4905"/>
    <w:rsid w:val="007D6A8F"/>
    <w:rsid w:val="0080625A"/>
    <w:rsid w:val="00835ECF"/>
    <w:rsid w:val="008760EB"/>
    <w:rsid w:val="00880933"/>
    <w:rsid w:val="00882581"/>
    <w:rsid w:val="008A27A5"/>
    <w:rsid w:val="008A636F"/>
    <w:rsid w:val="008E226A"/>
    <w:rsid w:val="009120EF"/>
    <w:rsid w:val="00933EA2"/>
    <w:rsid w:val="00966ABF"/>
    <w:rsid w:val="00993968"/>
    <w:rsid w:val="009D3E48"/>
    <w:rsid w:val="00A05DF6"/>
    <w:rsid w:val="00A405EE"/>
    <w:rsid w:val="00A41F8C"/>
    <w:rsid w:val="00A6451B"/>
    <w:rsid w:val="00A64DA8"/>
    <w:rsid w:val="00A74055"/>
    <w:rsid w:val="00AE230E"/>
    <w:rsid w:val="00B4418A"/>
    <w:rsid w:val="00B4789F"/>
    <w:rsid w:val="00B506C2"/>
    <w:rsid w:val="00BA212F"/>
    <w:rsid w:val="00C050D6"/>
    <w:rsid w:val="00C13647"/>
    <w:rsid w:val="00C20F43"/>
    <w:rsid w:val="00C27A4D"/>
    <w:rsid w:val="00C45838"/>
    <w:rsid w:val="00C5494D"/>
    <w:rsid w:val="00C60C86"/>
    <w:rsid w:val="00C6506D"/>
    <w:rsid w:val="00C662BF"/>
    <w:rsid w:val="00CB34B8"/>
    <w:rsid w:val="00CC2E1E"/>
    <w:rsid w:val="00D04332"/>
    <w:rsid w:val="00D27EE0"/>
    <w:rsid w:val="00D5312D"/>
    <w:rsid w:val="00D67B90"/>
    <w:rsid w:val="00D71AF8"/>
    <w:rsid w:val="00D95182"/>
    <w:rsid w:val="00DE4114"/>
    <w:rsid w:val="00E27B36"/>
    <w:rsid w:val="00E35CFB"/>
    <w:rsid w:val="00E8079D"/>
    <w:rsid w:val="00E831DE"/>
    <w:rsid w:val="00EA123E"/>
    <w:rsid w:val="00EC046D"/>
    <w:rsid w:val="00F0778D"/>
    <w:rsid w:val="00F27C86"/>
    <w:rsid w:val="00F33B32"/>
    <w:rsid w:val="00F36F43"/>
    <w:rsid w:val="00F42E67"/>
    <w:rsid w:val="00F57EFF"/>
    <w:rsid w:val="00F6600E"/>
    <w:rsid w:val="00FB38EA"/>
    <w:rsid w:val="00FC56D6"/>
    <w:rsid w:val="00FE60CE"/>
    <w:rsid w:val="46842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480C2F"/>
  <w15:docId w15:val="{04BE9015-0149-4DB0-AAFC-351FEAAD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黑体"/>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pPr>
      <w:ind w:firstLineChars="200" w:firstLine="420"/>
    </w:pPr>
    <w:rPr>
      <w:rFonts w:asciiTheme="minorHAnsi" w:eastAsiaTheme="minorEastAsia" w:hAnsiTheme="minorHAnsi" w:cstheme="minorBidi"/>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a4">
    <w:name w:val="日期 字符"/>
    <w:basedOn w:val="a0"/>
    <w:link w:val="a3"/>
    <w:uiPriority w:val="99"/>
    <w:semiHidden/>
    <w:qFormat/>
    <w:rPr>
      <w:rFonts w:ascii="Calibri" w:eastAsia="宋体" w:hAnsi="Calibri" w:cs="黑体"/>
    </w:rPr>
  </w:style>
  <w:style w:type="character" w:customStyle="1" w:styleId="aa">
    <w:name w:val="页眉 字符"/>
    <w:basedOn w:val="a0"/>
    <w:link w:val="a9"/>
    <w:uiPriority w:val="99"/>
    <w:rPr>
      <w:rFonts w:ascii="Calibri" w:eastAsia="宋体" w:hAnsi="Calibri" w:cs="黑体"/>
      <w:sz w:val="18"/>
      <w:szCs w:val="18"/>
    </w:rPr>
  </w:style>
  <w:style w:type="character" w:customStyle="1" w:styleId="a8">
    <w:name w:val="页脚 字符"/>
    <w:basedOn w:val="a0"/>
    <w:link w:val="a7"/>
    <w:uiPriority w:val="99"/>
    <w:qFormat/>
    <w:rPr>
      <w:rFonts w:ascii="Calibri" w:eastAsia="宋体" w:hAnsi="Calibri" w:cs="黑体"/>
      <w:sz w:val="18"/>
      <w:szCs w:val="18"/>
    </w:rPr>
  </w:style>
  <w:style w:type="character" w:customStyle="1" w:styleId="a6">
    <w:name w:val="批注框文本 字符"/>
    <w:basedOn w:val="a0"/>
    <w:link w:val="a5"/>
    <w:uiPriority w:val="99"/>
    <w:semiHidden/>
    <w:rPr>
      <w:rFonts w:ascii="Calibri" w:eastAsia="宋体" w:hAnsi="Calibri" w:cs="黑体"/>
      <w:sz w:val="18"/>
      <w:szCs w:val="18"/>
    </w:r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Strong"/>
    <w:basedOn w:val="a0"/>
    <w:uiPriority w:val="22"/>
    <w:qFormat/>
    <w:rsid w:val="008A27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1F2757-8AE0-458B-92EA-71A8690D3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140</Words>
  <Characters>804</Characters>
  <Application>Microsoft Office Word</Application>
  <DocSecurity>0</DocSecurity>
  <Lines>6</Lines>
  <Paragraphs>1</Paragraphs>
  <ScaleCrop>false</ScaleCrop>
  <Company>Microsoft</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WangXuan</dc:creator>
  <cp:lastModifiedBy>LIU QIHAN</cp:lastModifiedBy>
  <cp:revision>2</cp:revision>
  <cp:lastPrinted>2018-12-10T03:47:00Z</cp:lastPrinted>
  <dcterms:created xsi:type="dcterms:W3CDTF">2022-10-31T16:42:00Z</dcterms:created>
  <dcterms:modified xsi:type="dcterms:W3CDTF">2022-10-31T16:42:00Z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