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22EF8E9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7F6BB7">
        <w:rPr>
          <w:i/>
          <w:iCs/>
        </w:rPr>
        <w:t>November</w:t>
      </w:r>
      <w:r w:rsidR="00C337CE">
        <w:rPr>
          <w:i/>
          <w:iCs/>
        </w:rPr>
        <w:t xml:space="preserve"> </w:t>
      </w:r>
      <w:r w:rsidR="007F6BB7">
        <w:rPr>
          <w:i/>
          <w:iCs/>
        </w:rPr>
        <w:t>1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4AED48F5" w:rsidR="003C7ABE" w:rsidRDefault="000E1813" w:rsidP="003C7ABE">
            <w:hyperlink r:id="rId13" w:history="1">
              <w:r w:rsidR="00B03876" w:rsidRPr="000E1813">
                <w:rPr>
                  <w:rStyle w:val="Hyperlink"/>
                </w:rPr>
                <w:t>927</w:t>
              </w:r>
            </w:hyperlink>
          </w:p>
        </w:tc>
        <w:tc>
          <w:tcPr>
            <w:tcW w:w="2859" w:type="dxa"/>
          </w:tcPr>
          <w:p w14:paraId="7CC003E0" w14:textId="5269C74A" w:rsidR="003C7ABE" w:rsidRPr="00DD1120" w:rsidRDefault="00B03876" w:rsidP="003C7ABE">
            <w:r>
              <w:t>Modify Staff FTE to go up to 2</w:t>
            </w:r>
          </w:p>
        </w:tc>
        <w:tc>
          <w:tcPr>
            <w:tcW w:w="7560" w:type="dxa"/>
          </w:tcPr>
          <w:p w14:paraId="6D61B0F8" w14:textId="54147C8E" w:rsidR="003C7ABE" w:rsidRDefault="00706D42" w:rsidP="003C7ABE">
            <w:hyperlink r:id="rId14" w:history="1">
              <w:r w:rsidRPr="00FC0AD5">
                <w:rPr>
                  <w:rStyle w:val="Hyperlink"/>
                </w:rPr>
                <w:t>https://github.com/user-attachments/files/17332640/Increase_FTE_up_to_2_.OSC.Issue_927.Proposed.Solution.1.1.docx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50E3C59A" w:rsidR="003C7ABE" w:rsidRDefault="00706D42" w:rsidP="003C7ABE">
            <w:r>
              <w:t>January 2, 202</w:t>
            </w:r>
            <w:r w:rsidR="000E1813">
              <w:t>5</w:t>
            </w:r>
          </w:p>
        </w:tc>
      </w:tr>
    </w:tbl>
    <w:p w14:paraId="52623143" w14:textId="77777777" w:rsidR="002F080B" w:rsidRDefault="002F080B"/>
    <w:p w14:paraId="1C475A97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BF17F7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352057" w:rsidRPr="00542E78" w14:paraId="73AEAB66" w14:textId="77777777" w:rsidTr="00C029C6">
        <w:tc>
          <w:tcPr>
            <w:tcW w:w="1075" w:type="dxa"/>
          </w:tcPr>
          <w:p w14:paraId="11D90F56" w14:textId="24019394" w:rsidR="00352057" w:rsidRDefault="00352057" w:rsidP="00352057"/>
        </w:tc>
        <w:tc>
          <w:tcPr>
            <w:tcW w:w="2880" w:type="dxa"/>
          </w:tcPr>
          <w:p w14:paraId="4F2E0F56" w14:textId="056F905B" w:rsidR="00352057" w:rsidRDefault="00352057" w:rsidP="00352057"/>
        </w:tc>
        <w:tc>
          <w:tcPr>
            <w:tcW w:w="7560" w:type="dxa"/>
          </w:tcPr>
          <w:p w14:paraId="350F3FD1" w14:textId="22933BF3" w:rsidR="00352057" w:rsidRDefault="00352057" w:rsidP="00352057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25100C25" w14:textId="41C0F567" w:rsidR="00352057" w:rsidRDefault="00352057" w:rsidP="00352057"/>
        </w:tc>
      </w:tr>
    </w:tbl>
    <w:p w14:paraId="08A97D1A" w14:textId="6472684F" w:rsidR="004238FD" w:rsidRDefault="004238FD" w:rsidP="004238FD"/>
    <w:p w14:paraId="5A66FAFF" w14:textId="1D06D7A3" w:rsidR="00675BF8" w:rsidRPr="00542E78" w:rsidRDefault="00675BF8" w:rsidP="004238FD">
      <w:r>
        <w:t>No use cases approved in November</w:t>
      </w:r>
      <w:r w:rsidR="007F6BB7">
        <w:t>.</w:t>
      </w:r>
    </w:p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6BCE"/>
    <w:rsid w:val="00247DB5"/>
    <w:rsid w:val="0025286F"/>
    <w:rsid w:val="0025669A"/>
    <w:rsid w:val="002601D0"/>
    <w:rsid w:val="00262A50"/>
    <w:rsid w:val="0026413E"/>
    <w:rsid w:val="002658D5"/>
    <w:rsid w:val="00276837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817"/>
    <w:rsid w:val="004F6A80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76DAC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3DD0"/>
    <w:rsid w:val="00DE4373"/>
    <w:rsid w:val="00DE7F8D"/>
    <w:rsid w:val="00DF3B0E"/>
    <w:rsid w:val="00E022CE"/>
    <w:rsid w:val="00E1229E"/>
    <w:rsid w:val="00E1502A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92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7332640/Increase_FTE_up_to_2_.OSC.Issue_927.Proposed.Solution.1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9</cp:revision>
  <dcterms:created xsi:type="dcterms:W3CDTF">2024-11-01T14:44:00Z</dcterms:created>
  <dcterms:modified xsi:type="dcterms:W3CDTF">2024-11-01T14:48:00Z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