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670DD2B1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8D62B7">
        <w:rPr>
          <w:i/>
          <w:iCs/>
        </w:rPr>
        <w:t>October</w:t>
      </w:r>
      <w:r w:rsidR="00C337CE">
        <w:rPr>
          <w:i/>
          <w:iCs/>
        </w:rPr>
        <w:t xml:space="preserve"> </w:t>
      </w:r>
      <w:r w:rsidR="008D62B7">
        <w:rPr>
          <w:i/>
          <w:iCs/>
        </w:rPr>
        <w:t>6</w:t>
      </w:r>
      <w:r w:rsidRPr="004B3C0E">
        <w:rPr>
          <w:i/>
          <w:iCs/>
        </w:rPr>
        <w:t>, 202</w:t>
      </w:r>
      <w:r w:rsidR="00D32D2B">
        <w:rPr>
          <w:i/>
          <w:iCs/>
        </w:rPr>
        <w:t>4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5C248412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286F89">
        <w:rPr>
          <w:i/>
          <w:iCs/>
        </w:rPr>
        <w:t>120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949"/>
        <w:gridCol w:w="7470"/>
        <w:gridCol w:w="1435"/>
      </w:tblGrid>
      <w:tr w:rsidR="00623942" w:rsidRPr="00542E78" w14:paraId="094F37AD" w14:textId="7FD29993" w:rsidTr="00C95BE5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94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47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3C7ABE" w:rsidRPr="00542E78" w14:paraId="3A3460C7" w14:textId="77777777" w:rsidTr="00C95BE5">
        <w:tc>
          <w:tcPr>
            <w:tcW w:w="1096" w:type="dxa"/>
          </w:tcPr>
          <w:p w14:paraId="716CFA02" w14:textId="6A1F05A5" w:rsidR="003C7ABE" w:rsidRDefault="00C95BE5" w:rsidP="003C7ABE">
            <w:hyperlink r:id="rId13" w:history="1">
              <w:r w:rsidR="008D62B7" w:rsidRPr="00C95BE5">
                <w:rPr>
                  <w:rStyle w:val="Hyperlink"/>
                </w:rPr>
                <w:t>918</w:t>
              </w:r>
            </w:hyperlink>
          </w:p>
        </w:tc>
        <w:tc>
          <w:tcPr>
            <w:tcW w:w="2949" w:type="dxa"/>
          </w:tcPr>
          <w:p w14:paraId="7CC003E0" w14:textId="0050F175" w:rsidR="003C7ABE" w:rsidRPr="00DD1120" w:rsidRDefault="00C95BE5" w:rsidP="003C7ABE">
            <w:r w:rsidRPr="00C95BE5">
              <w:t>NCEO Accommodation/Accessibility Feature Workgroup</w:t>
            </w:r>
          </w:p>
        </w:tc>
        <w:tc>
          <w:tcPr>
            <w:tcW w:w="7470" w:type="dxa"/>
          </w:tcPr>
          <w:p w14:paraId="6D61B0F8" w14:textId="603CE8C1" w:rsidR="003C7ABE" w:rsidRDefault="00631FF0" w:rsidP="003C7ABE">
            <w:hyperlink r:id="rId14" w:history="1">
              <w:r w:rsidRPr="00587717">
                <w:rPr>
                  <w:rStyle w:val="Hyperlink"/>
                </w:rPr>
                <w:t>https://github.com/user-attachments/files/17271632/NCEO.Accessibility.Feature.Type.Proposal.docx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7CEF907" w14:textId="2197115D" w:rsidR="003C7ABE" w:rsidRDefault="00631FF0" w:rsidP="003C7ABE">
            <w:r>
              <w:t>January 5, 2025</w:t>
            </w:r>
          </w:p>
        </w:tc>
      </w:tr>
    </w:tbl>
    <w:p w14:paraId="2D75F430" w14:textId="77777777" w:rsidR="003B0869" w:rsidRDefault="003B0869"/>
    <w:p w14:paraId="1C475A97" w14:textId="77777777" w:rsidR="002F080B" w:rsidRDefault="002F080B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02E561C7" w14:textId="5611270B" w:rsidR="00AF1743" w:rsidRPr="00F00299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286F89">
        <w:rPr>
          <w:i/>
          <w:iCs/>
        </w:rPr>
        <w:t>120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0BF17F7F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352057" w:rsidRPr="00542E78" w14:paraId="73AEAB66" w14:textId="77777777" w:rsidTr="00C029C6">
        <w:tc>
          <w:tcPr>
            <w:tcW w:w="1075" w:type="dxa"/>
          </w:tcPr>
          <w:p w14:paraId="11D90F56" w14:textId="4BEA0FE2" w:rsidR="00352057" w:rsidRDefault="00631FF0" w:rsidP="00352057">
            <w:r>
              <w:t>NA</w:t>
            </w:r>
          </w:p>
        </w:tc>
        <w:tc>
          <w:tcPr>
            <w:tcW w:w="2880" w:type="dxa"/>
          </w:tcPr>
          <w:p w14:paraId="4F2E0F56" w14:textId="367D7D25" w:rsidR="00352057" w:rsidRDefault="00352057" w:rsidP="00352057"/>
        </w:tc>
        <w:tc>
          <w:tcPr>
            <w:tcW w:w="7560" w:type="dxa"/>
          </w:tcPr>
          <w:p w14:paraId="350F3FD1" w14:textId="43809268" w:rsidR="00352057" w:rsidRDefault="00352057" w:rsidP="00352057">
            <w:pPr>
              <w:tabs>
                <w:tab w:val="left" w:pos="5688"/>
              </w:tabs>
            </w:pPr>
          </w:p>
        </w:tc>
        <w:tc>
          <w:tcPr>
            <w:tcW w:w="1435" w:type="dxa"/>
          </w:tcPr>
          <w:p w14:paraId="25100C25" w14:textId="4514A166" w:rsidR="00352057" w:rsidRDefault="00352057" w:rsidP="00352057"/>
        </w:tc>
      </w:tr>
    </w:tbl>
    <w:p w14:paraId="08A97D1A" w14:textId="1F19EFAA" w:rsidR="004238FD" w:rsidRDefault="00F83F10" w:rsidP="004238FD">
      <w:r>
        <w:t>There are no proposals ready for approval this month.</w:t>
      </w:r>
    </w:p>
    <w:p w14:paraId="1F6FB7BB" w14:textId="11770C27" w:rsidR="00631FF0" w:rsidRPr="00542E78" w:rsidRDefault="00631FF0" w:rsidP="004238FD"/>
    <w:p w14:paraId="0953D9A3" w14:textId="3E319340" w:rsidR="002F0D92" w:rsidRPr="00542E78" w:rsidRDefault="002F0D92" w:rsidP="00403910"/>
    <w:sectPr w:rsidR="002F0D92" w:rsidRPr="00542E78" w:rsidSect="00966E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47099" w14:textId="77777777" w:rsidR="00966E72" w:rsidRDefault="00966E72" w:rsidP="004D14B8">
      <w:pPr>
        <w:spacing w:after="0" w:line="240" w:lineRule="auto"/>
      </w:pPr>
      <w:r>
        <w:separator/>
      </w:r>
    </w:p>
  </w:endnote>
  <w:endnote w:type="continuationSeparator" w:id="0">
    <w:p w14:paraId="08A9BB95" w14:textId="77777777" w:rsidR="00966E72" w:rsidRDefault="00966E72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514E8" w14:textId="77777777" w:rsidR="00966E72" w:rsidRDefault="00966E72" w:rsidP="004D14B8">
      <w:pPr>
        <w:spacing w:after="0" w:line="240" w:lineRule="auto"/>
      </w:pPr>
      <w:r>
        <w:separator/>
      </w:r>
    </w:p>
  </w:footnote>
  <w:footnote w:type="continuationSeparator" w:id="0">
    <w:p w14:paraId="4A8B0509" w14:textId="77777777" w:rsidR="00966E72" w:rsidRDefault="00966E72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1"/>
  </w:num>
  <w:num w:numId="2" w16cid:durableId="31950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35FA"/>
    <w:rsid w:val="00015ED0"/>
    <w:rsid w:val="00016137"/>
    <w:rsid w:val="00020AFD"/>
    <w:rsid w:val="00022D2C"/>
    <w:rsid w:val="0003015D"/>
    <w:rsid w:val="000305B2"/>
    <w:rsid w:val="00042893"/>
    <w:rsid w:val="00043B20"/>
    <w:rsid w:val="000448EA"/>
    <w:rsid w:val="00044EE7"/>
    <w:rsid w:val="00054BEB"/>
    <w:rsid w:val="00061CD7"/>
    <w:rsid w:val="0006355E"/>
    <w:rsid w:val="00063F57"/>
    <w:rsid w:val="00065005"/>
    <w:rsid w:val="000700EF"/>
    <w:rsid w:val="00077389"/>
    <w:rsid w:val="000840FC"/>
    <w:rsid w:val="000849A3"/>
    <w:rsid w:val="00087658"/>
    <w:rsid w:val="00093F8E"/>
    <w:rsid w:val="00097267"/>
    <w:rsid w:val="00097F8D"/>
    <w:rsid w:val="000A119F"/>
    <w:rsid w:val="000B019A"/>
    <w:rsid w:val="000B05F0"/>
    <w:rsid w:val="000C0CE5"/>
    <w:rsid w:val="000C0E4A"/>
    <w:rsid w:val="000C1B7E"/>
    <w:rsid w:val="000D3A33"/>
    <w:rsid w:val="000D6995"/>
    <w:rsid w:val="000F3135"/>
    <w:rsid w:val="000F580C"/>
    <w:rsid w:val="00100A19"/>
    <w:rsid w:val="001037E9"/>
    <w:rsid w:val="001057B9"/>
    <w:rsid w:val="00106A9D"/>
    <w:rsid w:val="00110599"/>
    <w:rsid w:val="001126CF"/>
    <w:rsid w:val="001160EC"/>
    <w:rsid w:val="00121579"/>
    <w:rsid w:val="001232B7"/>
    <w:rsid w:val="00127097"/>
    <w:rsid w:val="00132D1B"/>
    <w:rsid w:val="001331CF"/>
    <w:rsid w:val="00137235"/>
    <w:rsid w:val="00137E69"/>
    <w:rsid w:val="001400FD"/>
    <w:rsid w:val="0014056E"/>
    <w:rsid w:val="001453F6"/>
    <w:rsid w:val="00146A6B"/>
    <w:rsid w:val="00153E72"/>
    <w:rsid w:val="001616DC"/>
    <w:rsid w:val="00163455"/>
    <w:rsid w:val="001729F2"/>
    <w:rsid w:val="001801D7"/>
    <w:rsid w:val="001862AE"/>
    <w:rsid w:val="001926B4"/>
    <w:rsid w:val="001957B7"/>
    <w:rsid w:val="00195F02"/>
    <w:rsid w:val="00197B10"/>
    <w:rsid w:val="001A2961"/>
    <w:rsid w:val="001B1B67"/>
    <w:rsid w:val="001B5A98"/>
    <w:rsid w:val="001C3925"/>
    <w:rsid w:val="001C4686"/>
    <w:rsid w:val="001C6150"/>
    <w:rsid w:val="001D0410"/>
    <w:rsid w:val="001D053E"/>
    <w:rsid w:val="001D10D4"/>
    <w:rsid w:val="001D3E30"/>
    <w:rsid w:val="001D4730"/>
    <w:rsid w:val="001E03F1"/>
    <w:rsid w:val="001F021A"/>
    <w:rsid w:val="001F481D"/>
    <w:rsid w:val="001F5246"/>
    <w:rsid w:val="001F77B7"/>
    <w:rsid w:val="002119F6"/>
    <w:rsid w:val="00214A35"/>
    <w:rsid w:val="002211E9"/>
    <w:rsid w:val="00237CA4"/>
    <w:rsid w:val="00243B54"/>
    <w:rsid w:val="00244344"/>
    <w:rsid w:val="00247DB5"/>
    <w:rsid w:val="0025286F"/>
    <w:rsid w:val="0025669A"/>
    <w:rsid w:val="002601D0"/>
    <w:rsid w:val="00262A50"/>
    <w:rsid w:val="0026413E"/>
    <w:rsid w:val="002658D5"/>
    <w:rsid w:val="00276837"/>
    <w:rsid w:val="00286E30"/>
    <w:rsid w:val="00286F89"/>
    <w:rsid w:val="002935ED"/>
    <w:rsid w:val="00294930"/>
    <w:rsid w:val="002A2A3B"/>
    <w:rsid w:val="002A4E48"/>
    <w:rsid w:val="002A5CB4"/>
    <w:rsid w:val="002A7BFD"/>
    <w:rsid w:val="002B4ABA"/>
    <w:rsid w:val="002C3236"/>
    <w:rsid w:val="002D3C51"/>
    <w:rsid w:val="002F080B"/>
    <w:rsid w:val="002F0D92"/>
    <w:rsid w:val="002F205F"/>
    <w:rsid w:val="002F34FD"/>
    <w:rsid w:val="002F73F3"/>
    <w:rsid w:val="00304BD0"/>
    <w:rsid w:val="003070EC"/>
    <w:rsid w:val="003215AD"/>
    <w:rsid w:val="00322472"/>
    <w:rsid w:val="0032355F"/>
    <w:rsid w:val="003237B6"/>
    <w:rsid w:val="0033212E"/>
    <w:rsid w:val="00332C89"/>
    <w:rsid w:val="00332E9C"/>
    <w:rsid w:val="00342961"/>
    <w:rsid w:val="00345D2A"/>
    <w:rsid w:val="003514B8"/>
    <w:rsid w:val="0035162F"/>
    <w:rsid w:val="00352057"/>
    <w:rsid w:val="00356375"/>
    <w:rsid w:val="00361576"/>
    <w:rsid w:val="00361889"/>
    <w:rsid w:val="00361A0A"/>
    <w:rsid w:val="00374B31"/>
    <w:rsid w:val="0037662B"/>
    <w:rsid w:val="0038000D"/>
    <w:rsid w:val="00381712"/>
    <w:rsid w:val="00386F7A"/>
    <w:rsid w:val="003A01C6"/>
    <w:rsid w:val="003A1760"/>
    <w:rsid w:val="003A58D2"/>
    <w:rsid w:val="003B0869"/>
    <w:rsid w:val="003B39CB"/>
    <w:rsid w:val="003B484C"/>
    <w:rsid w:val="003B51D3"/>
    <w:rsid w:val="003C7ABE"/>
    <w:rsid w:val="003D469C"/>
    <w:rsid w:val="003E1A13"/>
    <w:rsid w:val="003F0443"/>
    <w:rsid w:val="003F059E"/>
    <w:rsid w:val="003F3705"/>
    <w:rsid w:val="003F74AF"/>
    <w:rsid w:val="00400029"/>
    <w:rsid w:val="00402E36"/>
    <w:rsid w:val="00403910"/>
    <w:rsid w:val="004048A8"/>
    <w:rsid w:val="00407156"/>
    <w:rsid w:val="00410200"/>
    <w:rsid w:val="0041130D"/>
    <w:rsid w:val="00412396"/>
    <w:rsid w:val="00415BA8"/>
    <w:rsid w:val="00420074"/>
    <w:rsid w:val="0042057B"/>
    <w:rsid w:val="00420B27"/>
    <w:rsid w:val="004238FD"/>
    <w:rsid w:val="0042467A"/>
    <w:rsid w:val="004378C9"/>
    <w:rsid w:val="00441270"/>
    <w:rsid w:val="0044164D"/>
    <w:rsid w:val="00441B37"/>
    <w:rsid w:val="00444555"/>
    <w:rsid w:val="00444CEB"/>
    <w:rsid w:val="00445AF7"/>
    <w:rsid w:val="004477BD"/>
    <w:rsid w:val="00447FC6"/>
    <w:rsid w:val="0046281F"/>
    <w:rsid w:val="004702B6"/>
    <w:rsid w:val="00471847"/>
    <w:rsid w:val="0047333B"/>
    <w:rsid w:val="00473BFB"/>
    <w:rsid w:val="00473E9C"/>
    <w:rsid w:val="00475532"/>
    <w:rsid w:val="004813F9"/>
    <w:rsid w:val="00484570"/>
    <w:rsid w:val="004901B1"/>
    <w:rsid w:val="0049035D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D14B8"/>
    <w:rsid w:val="004D16F8"/>
    <w:rsid w:val="004D1D04"/>
    <w:rsid w:val="004E3351"/>
    <w:rsid w:val="004E7A0C"/>
    <w:rsid w:val="004F23D6"/>
    <w:rsid w:val="004F6A80"/>
    <w:rsid w:val="00502624"/>
    <w:rsid w:val="00503832"/>
    <w:rsid w:val="00503CB9"/>
    <w:rsid w:val="00504BA8"/>
    <w:rsid w:val="005063B3"/>
    <w:rsid w:val="0051194B"/>
    <w:rsid w:val="00511D71"/>
    <w:rsid w:val="00511E71"/>
    <w:rsid w:val="0051671C"/>
    <w:rsid w:val="005170DB"/>
    <w:rsid w:val="0051795D"/>
    <w:rsid w:val="005212CE"/>
    <w:rsid w:val="005265C6"/>
    <w:rsid w:val="00535D47"/>
    <w:rsid w:val="00540F78"/>
    <w:rsid w:val="00542E78"/>
    <w:rsid w:val="00542E8F"/>
    <w:rsid w:val="00543151"/>
    <w:rsid w:val="00556236"/>
    <w:rsid w:val="005569F3"/>
    <w:rsid w:val="0056304B"/>
    <w:rsid w:val="00573AC3"/>
    <w:rsid w:val="00582376"/>
    <w:rsid w:val="0058273C"/>
    <w:rsid w:val="005855C8"/>
    <w:rsid w:val="0059314A"/>
    <w:rsid w:val="00596196"/>
    <w:rsid w:val="0059775E"/>
    <w:rsid w:val="005A6730"/>
    <w:rsid w:val="005B01A0"/>
    <w:rsid w:val="005B466B"/>
    <w:rsid w:val="005C032F"/>
    <w:rsid w:val="005C1CCD"/>
    <w:rsid w:val="005C2BB6"/>
    <w:rsid w:val="005C7161"/>
    <w:rsid w:val="005D03A8"/>
    <w:rsid w:val="005D5680"/>
    <w:rsid w:val="005D6133"/>
    <w:rsid w:val="005D79D6"/>
    <w:rsid w:val="005E2CF8"/>
    <w:rsid w:val="00600ECA"/>
    <w:rsid w:val="00613586"/>
    <w:rsid w:val="00613C1C"/>
    <w:rsid w:val="00614CFE"/>
    <w:rsid w:val="00623942"/>
    <w:rsid w:val="00631FF0"/>
    <w:rsid w:val="00634CAA"/>
    <w:rsid w:val="006405D7"/>
    <w:rsid w:val="0064085D"/>
    <w:rsid w:val="006453A8"/>
    <w:rsid w:val="00645540"/>
    <w:rsid w:val="00646579"/>
    <w:rsid w:val="00662515"/>
    <w:rsid w:val="00665DC2"/>
    <w:rsid w:val="00671158"/>
    <w:rsid w:val="006726AD"/>
    <w:rsid w:val="0067656D"/>
    <w:rsid w:val="0067726B"/>
    <w:rsid w:val="00680CD7"/>
    <w:rsid w:val="006813B0"/>
    <w:rsid w:val="0068504D"/>
    <w:rsid w:val="006921FE"/>
    <w:rsid w:val="006973CE"/>
    <w:rsid w:val="006A3D28"/>
    <w:rsid w:val="006B38DD"/>
    <w:rsid w:val="006B5C1F"/>
    <w:rsid w:val="006C040F"/>
    <w:rsid w:val="006C2582"/>
    <w:rsid w:val="006C2BD7"/>
    <w:rsid w:val="006D39AF"/>
    <w:rsid w:val="006D680D"/>
    <w:rsid w:val="006D7D12"/>
    <w:rsid w:val="006E15CA"/>
    <w:rsid w:val="006E31A3"/>
    <w:rsid w:val="006E716C"/>
    <w:rsid w:val="006F0467"/>
    <w:rsid w:val="006F32BC"/>
    <w:rsid w:val="006F33F2"/>
    <w:rsid w:val="006F60E4"/>
    <w:rsid w:val="006F642F"/>
    <w:rsid w:val="00700DFB"/>
    <w:rsid w:val="007103A5"/>
    <w:rsid w:val="0071085E"/>
    <w:rsid w:val="00713F75"/>
    <w:rsid w:val="0072324F"/>
    <w:rsid w:val="0072353B"/>
    <w:rsid w:val="007261D9"/>
    <w:rsid w:val="00731B49"/>
    <w:rsid w:val="007340F3"/>
    <w:rsid w:val="0073618D"/>
    <w:rsid w:val="00755766"/>
    <w:rsid w:val="007653DA"/>
    <w:rsid w:val="00767857"/>
    <w:rsid w:val="00772B3B"/>
    <w:rsid w:val="00786DC6"/>
    <w:rsid w:val="00792A71"/>
    <w:rsid w:val="00795850"/>
    <w:rsid w:val="007A5D8F"/>
    <w:rsid w:val="007A6069"/>
    <w:rsid w:val="007B02B0"/>
    <w:rsid w:val="007B20DD"/>
    <w:rsid w:val="007B6508"/>
    <w:rsid w:val="007B72C4"/>
    <w:rsid w:val="007C3C76"/>
    <w:rsid w:val="007C429E"/>
    <w:rsid w:val="007C7260"/>
    <w:rsid w:val="007D1CA4"/>
    <w:rsid w:val="007D7045"/>
    <w:rsid w:val="007D7642"/>
    <w:rsid w:val="007E0259"/>
    <w:rsid w:val="007E3956"/>
    <w:rsid w:val="007E7474"/>
    <w:rsid w:val="007F624B"/>
    <w:rsid w:val="008024C4"/>
    <w:rsid w:val="00803496"/>
    <w:rsid w:val="00806D6C"/>
    <w:rsid w:val="00807CCE"/>
    <w:rsid w:val="00814B77"/>
    <w:rsid w:val="008224DC"/>
    <w:rsid w:val="00826171"/>
    <w:rsid w:val="00831389"/>
    <w:rsid w:val="008433FC"/>
    <w:rsid w:val="00844462"/>
    <w:rsid w:val="008554FD"/>
    <w:rsid w:val="00857FDF"/>
    <w:rsid w:val="00870222"/>
    <w:rsid w:val="008737B4"/>
    <w:rsid w:val="0087408C"/>
    <w:rsid w:val="008776EE"/>
    <w:rsid w:val="00877DB8"/>
    <w:rsid w:val="008844F0"/>
    <w:rsid w:val="00884FBA"/>
    <w:rsid w:val="008860F5"/>
    <w:rsid w:val="00890435"/>
    <w:rsid w:val="00890B9A"/>
    <w:rsid w:val="008917B9"/>
    <w:rsid w:val="008924B2"/>
    <w:rsid w:val="008A0341"/>
    <w:rsid w:val="008C4E4B"/>
    <w:rsid w:val="008C5ACD"/>
    <w:rsid w:val="008C653D"/>
    <w:rsid w:val="008D269A"/>
    <w:rsid w:val="008D3306"/>
    <w:rsid w:val="008D62B7"/>
    <w:rsid w:val="008E2B89"/>
    <w:rsid w:val="008E4511"/>
    <w:rsid w:val="008E7ADE"/>
    <w:rsid w:val="008F0D6D"/>
    <w:rsid w:val="009050D3"/>
    <w:rsid w:val="00910121"/>
    <w:rsid w:val="00912903"/>
    <w:rsid w:val="009154D9"/>
    <w:rsid w:val="009238D8"/>
    <w:rsid w:val="0092587B"/>
    <w:rsid w:val="0093121D"/>
    <w:rsid w:val="00934AB7"/>
    <w:rsid w:val="00934CFC"/>
    <w:rsid w:val="00944C3E"/>
    <w:rsid w:val="009459FF"/>
    <w:rsid w:val="00952CA2"/>
    <w:rsid w:val="00961FED"/>
    <w:rsid w:val="00962707"/>
    <w:rsid w:val="0096646A"/>
    <w:rsid w:val="00966E72"/>
    <w:rsid w:val="009703ED"/>
    <w:rsid w:val="00974594"/>
    <w:rsid w:val="00975114"/>
    <w:rsid w:val="0097520E"/>
    <w:rsid w:val="0097546C"/>
    <w:rsid w:val="00991575"/>
    <w:rsid w:val="00991DF8"/>
    <w:rsid w:val="00992EAB"/>
    <w:rsid w:val="009A113E"/>
    <w:rsid w:val="009A222E"/>
    <w:rsid w:val="009A3EF9"/>
    <w:rsid w:val="009A4F0C"/>
    <w:rsid w:val="009A620C"/>
    <w:rsid w:val="009A7E0B"/>
    <w:rsid w:val="009B7C6F"/>
    <w:rsid w:val="009C115C"/>
    <w:rsid w:val="009C2182"/>
    <w:rsid w:val="009D3F0A"/>
    <w:rsid w:val="009D779F"/>
    <w:rsid w:val="009E0E3C"/>
    <w:rsid w:val="009E33A3"/>
    <w:rsid w:val="009E6531"/>
    <w:rsid w:val="009E7381"/>
    <w:rsid w:val="009E7A0D"/>
    <w:rsid w:val="009F2BB2"/>
    <w:rsid w:val="009F413D"/>
    <w:rsid w:val="009F74AC"/>
    <w:rsid w:val="00A01149"/>
    <w:rsid w:val="00A06383"/>
    <w:rsid w:val="00A119A4"/>
    <w:rsid w:val="00A14E21"/>
    <w:rsid w:val="00A165AB"/>
    <w:rsid w:val="00A23C46"/>
    <w:rsid w:val="00A32716"/>
    <w:rsid w:val="00A32F96"/>
    <w:rsid w:val="00A34C60"/>
    <w:rsid w:val="00A367B1"/>
    <w:rsid w:val="00A4508D"/>
    <w:rsid w:val="00A548AE"/>
    <w:rsid w:val="00A56119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90502"/>
    <w:rsid w:val="00A9587B"/>
    <w:rsid w:val="00AA462B"/>
    <w:rsid w:val="00AA53F5"/>
    <w:rsid w:val="00AB065D"/>
    <w:rsid w:val="00AC5DBF"/>
    <w:rsid w:val="00AD0093"/>
    <w:rsid w:val="00AE1DBF"/>
    <w:rsid w:val="00AE3B3D"/>
    <w:rsid w:val="00AE5EFA"/>
    <w:rsid w:val="00AF0DA1"/>
    <w:rsid w:val="00AF1743"/>
    <w:rsid w:val="00AF2BA0"/>
    <w:rsid w:val="00AF34F1"/>
    <w:rsid w:val="00AF3654"/>
    <w:rsid w:val="00AF61B8"/>
    <w:rsid w:val="00AF6FD7"/>
    <w:rsid w:val="00B014BF"/>
    <w:rsid w:val="00B0395C"/>
    <w:rsid w:val="00B0487D"/>
    <w:rsid w:val="00B05379"/>
    <w:rsid w:val="00B14E6B"/>
    <w:rsid w:val="00B157C6"/>
    <w:rsid w:val="00B205EE"/>
    <w:rsid w:val="00B24F9B"/>
    <w:rsid w:val="00B279B1"/>
    <w:rsid w:val="00B330DC"/>
    <w:rsid w:val="00B439BF"/>
    <w:rsid w:val="00B44063"/>
    <w:rsid w:val="00B531A6"/>
    <w:rsid w:val="00B6281F"/>
    <w:rsid w:val="00B73157"/>
    <w:rsid w:val="00B73E16"/>
    <w:rsid w:val="00B75E80"/>
    <w:rsid w:val="00B83C21"/>
    <w:rsid w:val="00B83EDD"/>
    <w:rsid w:val="00B867DC"/>
    <w:rsid w:val="00B93F0C"/>
    <w:rsid w:val="00BA1A3A"/>
    <w:rsid w:val="00BA5763"/>
    <w:rsid w:val="00BA5B7C"/>
    <w:rsid w:val="00BB3470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C00CAB"/>
    <w:rsid w:val="00C029C6"/>
    <w:rsid w:val="00C07B5C"/>
    <w:rsid w:val="00C13167"/>
    <w:rsid w:val="00C16804"/>
    <w:rsid w:val="00C2093B"/>
    <w:rsid w:val="00C21552"/>
    <w:rsid w:val="00C23C18"/>
    <w:rsid w:val="00C25751"/>
    <w:rsid w:val="00C25893"/>
    <w:rsid w:val="00C30712"/>
    <w:rsid w:val="00C337CE"/>
    <w:rsid w:val="00C36852"/>
    <w:rsid w:val="00C36AB4"/>
    <w:rsid w:val="00C370CE"/>
    <w:rsid w:val="00C42DC8"/>
    <w:rsid w:val="00C44D54"/>
    <w:rsid w:val="00C5513F"/>
    <w:rsid w:val="00C63610"/>
    <w:rsid w:val="00C63A52"/>
    <w:rsid w:val="00C66543"/>
    <w:rsid w:val="00C668BE"/>
    <w:rsid w:val="00C668C0"/>
    <w:rsid w:val="00C66CDC"/>
    <w:rsid w:val="00C73CA8"/>
    <w:rsid w:val="00C80D4E"/>
    <w:rsid w:val="00C86066"/>
    <w:rsid w:val="00C94DFF"/>
    <w:rsid w:val="00C95285"/>
    <w:rsid w:val="00C95BE5"/>
    <w:rsid w:val="00C96559"/>
    <w:rsid w:val="00C96C14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4F32"/>
    <w:rsid w:val="00CE6FC9"/>
    <w:rsid w:val="00CE78FB"/>
    <w:rsid w:val="00CF6A8B"/>
    <w:rsid w:val="00D00193"/>
    <w:rsid w:val="00D016A7"/>
    <w:rsid w:val="00D041F5"/>
    <w:rsid w:val="00D05971"/>
    <w:rsid w:val="00D05DCE"/>
    <w:rsid w:val="00D068C3"/>
    <w:rsid w:val="00D0791B"/>
    <w:rsid w:val="00D1519C"/>
    <w:rsid w:val="00D16013"/>
    <w:rsid w:val="00D25DC8"/>
    <w:rsid w:val="00D32D2B"/>
    <w:rsid w:val="00D33DDC"/>
    <w:rsid w:val="00D36FD1"/>
    <w:rsid w:val="00D43A54"/>
    <w:rsid w:val="00D44839"/>
    <w:rsid w:val="00D52827"/>
    <w:rsid w:val="00D5308B"/>
    <w:rsid w:val="00D53B78"/>
    <w:rsid w:val="00D56451"/>
    <w:rsid w:val="00D605B0"/>
    <w:rsid w:val="00D62EDA"/>
    <w:rsid w:val="00D67935"/>
    <w:rsid w:val="00D67EDE"/>
    <w:rsid w:val="00D70F0D"/>
    <w:rsid w:val="00D74929"/>
    <w:rsid w:val="00D82FFE"/>
    <w:rsid w:val="00D84A3B"/>
    <w:rsid w:val="00D84F2C"/>
    <w:rsid w:val="00D86C4F"/>
    <w:rsid w:val="00D871B1"/>
    <w:rsid w:val="00D877D9"/>
    <w:rsid w:val="00D87D6B"/>
    <w:rsid w:val="00DA1CF1"/>
    <w:rsid w:val="00DA68F6"/>
    <w:rsid w:val="00DA738B"/>
    <w:rsid w:val="00DB143A"/>
    <w:rsid w:val="00DB71FE"/>
    <w:rsid w:val="00DC2514"/>
    <w:rsid w:val="00DC2C61"/>
    <w:rsid w:val="00DC3D51"/>
    <w:rsid w:val="00DC65B0"/>
    <w:rsid w:val="00DC6B4D"/>
    <w:rsid w:val="00DD0142"/>
    <w:rsid w:val="00DD1120"/>
    <w:rsid w:val="00DD3134"/>
    <w:rsid w:val="00DD5820"/>
    <w:rsid w:val="00DE0EA9"/>
    <w:rsid w:val="00DE3DD0"/>
    <w:rsid w:val="00DE4373"/>
    <w:rsid w:val="00DE7F8D"/>
    <w:rsid w:val="00DF3B0E"/>
    <w:rsid w:val="00E022CE"/>
    <w:rsid w:val="00E1229E"/>
    <w:rsid w:val="00E1502A"/>
    <w:rsid w:val="00E20316"/>
    <w:rsid w:val="00E207F3"/>
    <w:rsid w:val="00E26D0E"/>
    <w:rsid w:val="00E304B4"/>
    <w:rsid w:val="00E36863"/>
    <w:rsid w:val="00E433BD"/>
    <w:rsid w:val="00E4595B"/>
    <w:rsid w:val="00E47E5F"/>
    <w:rsid w:val="00E47FF6"/>
    <w:rsid w:val="00E51C47"/>
    <w:rsid w:val="00E55FD5"/>
    <w:rsid w:val="00E56ADE"/>
    <w:rsid w:val="00E60845"/>
    <w:rsid w:val="00E6194E"/>
    <w:rsid w:val="00E644F0"/>
    <w:rsid w:val="00E65470"/>
    <w:rsid w:val="00E71020"/>
    <w:rsid w:val="00E71228"/>
    <w:rsid w:val="00E7324A"/>
    <w:rsid w:val="00E73A3A"/>
    <w:rsid w:val="00E90FAD"/>
    <w:rsid w:val="00E93F20"/>
    <w:rsid w:val="00EA30B1"/>
    <w:rsid w:val="00EA528D"/>
    <w:rsid w:val="00EA702C"/>
    <w:rsid w:val="00EB014C"/>
    <w:rsid w:val="00EB5774"/>
    <w:rsid w:val="00EB5955"/>
    <w:rsid w:val="00EB60CB"/>
    <w:rsid w:val="00EC523F"/>
    <w:rsid w:val="00EC5283"/>
    <w:rsid w:val="00EC5A12"/>
    <w:rsid w:val="00EC61D6"/>
    <w:rsid w:val="00ED3137"/>
    <w:rsid w:val="00ED51FB"/>
    <w:rsid w:val="00EE44D5"/>
    <w:rsid w:val="00EE7CE3"/>
    <w:rsid w:val="00EF0BDD"/>
    <w:rsid w:val="00EF4206"/>
    <w:rsid w:val="00EF45E1"/>
    <w:rsid w:val="00EF52C6"/>
    <w:rsid w:val="00EF5F00"/>
    <w:rsid w:val="00EF65B2"/>
    <w:rsid w:val="00F00299"/>
    <w:rsid w:val="00F014AF"/>
    <w:rsid w:val="00F03894"/>
    <w:rsid w:val="00F47095"/>
    <w:rsid w:val="00F61A76"/>
    <w:rsid w:val="00F63385"/>
    <w:rsid w:val="00F64814"/>
    <w:rsid w:val="00F70693"/>
    <w:rsid w:val="00F7341F"/>
    <w:rsid w:val="00F738C4"/>
    <w:rsid w:val="00F73FCC"/>
    <w:rsid w:val="00F74B36"/>
    <w:rsid w:val="00F74B9B"/>
    <w:rsid w:val="00F83F10"/>
    <w:rsid w:val="00F90740"/>
    <w:rsid w:val="00FA62FC"/>
    <w:rsid w:val="00FB1549"/>
    <w:rsid w:val="00FC01F0"/>
    <w:rsid w:val="00FC2E63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issues/918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blob/master/doc/Use%20Case%20Process%20Rubrics_v1.0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user-attachments/files/17271632/NCEO.Accessibility.Feature.Type.Propos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6</cp:revision>
  <dcterms:created xsi:type="dcterms:W3CDTF">2024-10-07T01:34:00Z</dcterms:created>
  <dcterms:modified xsi:type="dcterms:W3CDTF">2024-10-07T01:37:00Z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