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1F4DDDE0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BC2122">
        <w:rPr>
          <w:i/>
          <w:iCs/>
        </w:rPr>
        <w:t>October 3</w:t>
      </w:r>
      <w:r w:rsidR="009F11AE">
        <w:rPr>
          <w:i/>
          <w:iCs/>
        </w:rPr>
        <w:t>0</w:t>
      </w:r>
      <w:r w:rsidR="00BC2122">
        <w:rPr>
          <w:i/>
          <w:iCs/>
        </w:rPr>
        <w:t>, 2025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8206380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4F6817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949"/>
        <w:gridCol w:w="7470"/>
        <w:gridCol w:w="1435"/>
      </w:tblGrid>
      <w:tr w:rsidR="00623942" w:rsidRPr="00542E78" w14:paraId="094F37AD" w14:textId="7FD29993" w:rsidTr="00A4639F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94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47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A4639F">
        <w:tc>
          <w:tcPr>
            <w:tcW w:w="1096" w:type="dxa"/>
          </w:tcPr>
          <w:p w14:paraId="716CFA02" w14:textId="11ACBC41" w:rsidR="003C7ABE" w:rsidRDefault="00AA2278" w:rsidP="003C7ABE">
            <w:hyperlink r:id="rId13" w:history="1">
              <w:r w:rsidR="002A7E13" w:rsidRPr="00AA2278">
                <w:rPr>
                  <w:rStyle w:val="Hyperlink"/>
                </w:rPr>
                <w:t>983</w:t>
              </w:r>
            </w:hyperlink>
          </w:p>
        </w:tc>
        <w:tc>
          <w:tcPr>
            <w:tcW w:w="2949" w:type="dxa"/>
          </w:tcPr>
          <w:p w14:paraId="7CC003E0" w14:textId="5C06FCBB" w:rsidR="003C7ABE" w:rsidRPr="00DD1120" w:rsidRDefault="0000318F" w:rsidP="003C7ABE">
            <w:r>
              <w:t>Update Accessibility Feature Type and associated elements related to braille</w:t>
            </w:r>
          </w:p>
        </w:tc>
        <w:tc>
          <w:tcPr>
            <w:tcW w:w="7470" w:type="dxa"/>
          </w:tcPr>
          <w:p w14:paraId="6D61B0F8" w14:textId="6AAF5F1B" w:rsidR="003C7ABE" w:rsidRDefault="001B2E0F" w:rsidP="003C7ABE">
            <w:hyperlink r:id="rId14" w:history="1">
              <w:r w:rsidRPr="007F20C5">
                <w:rPr>
                  <w:rStyle w:val="Hyperlink"/>
                </w:rPr>
                <w:t>https://github.com/user-attachments/files/23057405/NCEO.Accessibility.Feature.Type.Proposal_Update.to.Braille.Issue_983.docx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3115E33C" w:rsidR="003C7ABE" w:rsidRDefault="00C61B10" w:rsidP="003C7ABE">
            <w:r>
              <w:t>January 4, 2026</w:t>
            </w:r>
          </w:p>
        </w:tc>
      </w:tr>
      <w:tr w:rsidR="008F18A0" w:rsidRPr="00542E78" w14:paraId="328EB7E6" w14:textId="77777777" w:rsidTr="00A4639F">
        <w:tc>
          <w:tcPr>
            <w:tcW w:w="1096" w:type="dxa"/>
          </w:tcPr>
          <w:p w14:paraId="15F53B23" w14:textId="1F9AF0A6" w:rsidR="007537DD" w:rsidRDefault="001B2E0F" w:rsidP="003C7ABE">
            <w:hyperlink r:id="rId15" w:history="1">
              <w:r w:rsidR="007565F3" w:rsidRPr="001B2E0F">
                <w:rPr>
                  <w:rStyle w:val="Hyperlink"/>
                </w:rPr>
                <w:t>1027</w:t>
              </w:r>
            </w:hyperlink>
          </w:p>
        </w:tc>
        <w:tc>
          <w:tcPr>
            <w:tcW w:w="2949" w:type="dxa"/>
          </w:tcPr>
          <w:p w14:paraId="7BEA6695" w14:textId="5FD52DAB" w:rsidR="008F18A0" w:rsidRPr="00DD1120" w:rsidRDefault="0000318F" w:rsidP="00262051">
            <w:r>
              <w:t>Update CEDS Race Information to align with OMB Directive 15</w:t>
            </w:r>
          </w:p>
        </w:tc>
        <w:tc>
          <w:tcPr>
            <w:tcW w:w="7470" w:type="dxa"/>
          </w:tcPr>
          <w:p w14:paraId="08CD4E0A" w14:textId="7CD4A79C" w:rsidR="008F18A0" w:rsidRDefault="00724F6A" w:rsidP="003C7ABE">
            <w:hyperlink r:id="rId16" w:history="1">
              <w:r w:rsidRPr="007F20C5">
                <w:rPr>
                  <w:rStyle w:val="Hyperlink"/>
                </w:rPr>
                <w:t>https://github.com/user-attachments/files/23008538/Update.CEDS.Race.Information.to.align.with.OMB.Issue_1027.docx</w:t>
              </w:r>
            </w:hyperlink>
            <w:r>
              <w:t xml:space="preserve"> </w:t>
            </w:r>
          </w:p>
          <w:p w14:paraId="6A6E5D29" w14:textId="239C1CE3" w:rsidR="00724F6A" w:rsidRPr="00724F6A" w:rsidRDefault="00724F6A" w:rsidP="00724F6A">
            <w:pPr>
              <w:jc w:val="center"/>
            </w:pPr>
          </w:p>
        </w:tc>
        <w:tc>
          <w:tcPr>
            <w:tcW w:w="1435" w:type="dxa"/>
          </w:tcPr>
          <w:p w14:paraId="26F8D1A0" w14:textId="492CD5CA" w:rsidR="008F18A0" w:rsidRDefault="001B01E6" w:rsidP="003C7ABE">
            <w:r>
              <w:t>February 1, 2026</w:t>
            </w:r>
          </w:p>
        </w:tc>
      </w:tr>
      <w:tr w:rsidR="00F10065" w:rsidRPr="00542E78" w14:paraId="7143FBBB" w14:textId="77777777" w:rsidTr="00A4639F">
        <w:tc>
          <w:tcPr>
            <w:tcW w:w="1096" w:type="dxa"/>
          </w:tcPr>
          <w:p w14:paraId="6C6AF1AA" w14:textId="7A0A73A3" w:rsidR="00F10065" w:rsidRDefault="00724F6A" w:rsidP="003C7ABE">
            <w:hyperlink r:id="rId17" w:history="1">
              <w:r w:rsidR="007565F3" w:rsidRPr="00724F6A">
                <w:rPr>
                  <w:rStyle w:val="Hyperlink"/>
                </w:rPr>
                <w:t>1030</w:t>
              </w:r>
            </w:hyperlink>
          </w:p>
        </w:tc>
        <w:tc>
          <w:tcPr>
            <w:tcW w:w="2949" w:type="dxa"/>
          </w:tcPr>
          <w:p w14:paraId="5DC5FA25" w14:textId="2C60B11A" w:rsidR="00F10065" w:rsidRPr="00DD1120" w:rsidRDefault="007565F3" w:rsidP="00262051">
            <w:r>
              <w:t>New: Credential Award Identifier and Credential Award Identification System</w:t>
            </w:r>
          </w:p>
        </w:tc>
        <w:tc>
          <w:tcPr>
            <w:tcW w:w="7470" w:type="dxa"/>
          </w:tcPr>
          <w:p w14:paraId="0F1A5328" w14:textId="1C74A10C" w:rsidR="00F10065" w:rsidRDefault="00ED652D" w:rsidP="003C7ABE">
            <w:hyperlink r:id="rId18" w:history="1">
              <w:r w:rsidRPr="007F20C5">
                <w:rPr>
                  <w:rStyle w:val="Hyperlink"/>
                </w:rPr>
                <w:t>https://github.com/user-attachments/files/23028812/New.Credential.Award.Identifier.and.Credential.Award.Identification.System.Issue_1030.docx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5D921B4" w14:textId="4C0A0524" w:rsidR="00F10065" w:rsidRDefault="001B01E6" w:rsidP="003C7ABE">
            <w:r>
              <w:t>January 4, 2026</w:t>
            </w:r>
          </w:p>
          <w:p w14:paraId="7FF4E6B7" w14:textId="6A2976AB" w:rsidR="001B01E6" w:rsidRPr="001B01E6" w:rsidRDefault="001B01E6" w:rsidP="001B01E6">
            <w:pPr>
              <w:jc w:val="center"/>
            </w:pPr>
          </w:p>
        </w:tc>
      </w:tr>
    </w:tbl>
    <w:p w14:paraId="52623143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2544FADC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7601B6">
              <w:rPr>
                <w:b/>
                <w:bCs/>
              </w:rPr>
              <w:t>*</w:t>
            </w:r>
          </w:p>
        </w:tc>
      </w:tr>
      <w:tr w:rsidR="000F291D" w:rsidRPr="00542E78" w14:paraId="73AEAB66" w14:textId="77777777" w:rsidTr="00C029C6">
        <w:tc>
          <w:tcPr>
            <w:tcW w:w="1075" w:type="dxa"/>
          </w:tcPr>
          <w:p w14:paraId="11D90F56" w14:textId="783AD3E0" w:rsidR="000F291D" w:rsidRDefault="000F291D" w:rsidP="000F291D">
            <w:r>
              <w:t>638</w:t>
            </w:r>
          </w:p>
        </w:tc>
        <w:tc>
          <w:tcPr>
            <w:tcW w:w="2880" w:type="dxa"/>
          </w:tcPr>
          <w:p w14:paraId="4F2E0F56" w14:textId="03DF2134" w:rsidR="000F291D" w:rsidRDefault="000F291D" w:rsidP="000F291D">
            <w:r w:rsidRPr="0079691B">
              <w:t xml:space="preserve">OPE ID - Add to CEDS </w:t>
            </w:r>
            <w:r>
              <w:t>O</w:t>
            </w:r>
            <w:r w:rsidRPr="0079691B">
              <w:t>rganization Identifie</w:t>
            </w:r>
            <w:r>
              <w:t>r</w:t>
            </w:r>
          </w:p>
        </w:tc>
        <w:tc>
          <w:tcPr>
            <w:tcW w:w="7560" w:type="dxa"/>
          </w:tcPr>
          <w:p w14:paraId="350F3FD1" w14:textId="22097FDD" w:rsidR="000F291D" w:rsidRDefault="000F291D" w:rsidP="000F291D">
            <w:pPr>
              <w:tabs>
                <w:tab w:val="left" w:pos="5688"/>
              </w:tabs>
            </w:pPr>
            <w:hyperlink r:id="rId19" w:history="1">
              <w:r w:rsidRPr="002F6CE8">
                <w:rPr>
                  <w:rStyle w:val="Hyperlink"/>
                </w:rPr>
                <w:t>https://github.com/user-attachments/files/21671905/OPE.ID.-.Add.to.CEDS.Organization.Identifier.Issue_638.docx</w:t>
              </w:r>
            </w:hyperlink>
          </w:p>
        </w:tc>
        <w:tc>
          <w:tcPr>
            <w:tcW w:w="1435" w:type="dxa"/>
          </w:tcPr>
          <w:p w14:paraId="25100C25" w14:textId="20846D3C" w:rsidR="000F291D" w:rsidRDefault="000F291D" w:rsidP="000F291D">
            <w:r>
              <w:t xml:space="preserve">November </w:t>
            </w:r>
            <w:r w:rsidR="00BC2122">
              <w:t>3</w:t>
            </w:r>
            <w:r>
              <w:t>, 2025</w:t>
            </w:r>
          </w:p>
        </w:tc>
      </w:tr>
      <w:tr w:rsidR="000F291D" w:rsidRPr="00542E78" w14:paraId="00585ADA" w14:textId="77777777" w:rsidTr="00C029C6">
        <w:tc>
          <w:tcPr>
            <w:tcW w:w="1075" w:type="dxa"/>
          </w:tcPr>
          <w:p w14:paraId="73429633" w14:textId="48FDA11E" w:rsidR="000F291D" w:rsidRDefault="000F291D" w:rsidP="000F291D">
            <w:r>
              <w:lastRenderedPageBreak/>
              <w:t>647</w:t>
            </w:r>
          </w:p>
        </w:tc>
        <w:tc>
          <w:tcPr>
            <w:tcW w:w="2880" w:type="dxa"/>
          </w:tcPr>
          <w:p w14:paraId="5C89050E" w14:textId="451AE09A" w:rsidR="000F291D" w:rsidRDefault="000F291D" w:rsidP="000F291D">
            <w:r w:rsidRPr="0098578B">
              <w:t>Add New Element "Evaluation Outcome" MI PD1</w:t>
            </w:r>
          </w:p>
        </w:tc>
        <w:tc>
          <w:tcPr>
            <w:tcW w:w="7560" w:type="dxa"/>
          </w:tcPr>
          <w:p w14:paraId="0F93E4E6" w14:textId="33275295" w:rsidR="000F291D" w:rsidRDefault="000F291D" w:rsidP="000F291D">
            <w:pPr>
              <w:tabs>
                <w:tab w:val="left" w:pos="5688"/>
              </w:tabs>
            </w:pPr>
            <w:hyperlink r:id="rId20" w:history="1">
              <w:r w:rsidRPr="002F6CE8">
                <w:rPr>
                  <w:rStyle w:val="Hyperlink"/>
                </w:rPr>
                <w:t>https://github.com/user-attachments/files/17668544/CEDS.OSC.Issue_647.Modify.Staff.Eval.Scale.-.Proposed.Solution.v2.docx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7C0F3DE" w14:textId="4271EC6F" w:rsidR="000F291D" w:rsidRDefault="00BC2122" w:rsidP="000F291D">
            <w:r>
              <w:t>November 3, 2025</w:t>
            </w:r>
          </w:p>
        </w:tc>
      </w:tr>
      <w:tr w:rsidR="000F291D" w:rsidRPr="00542E78" w14:paraId="0E967F6A" w14:textId="77777777" w:rsidTr="00C029C6">
        <w:tc>
          <w:tcPr>
            <w:tcW w:w="1075" w:type="dxa"/>
          </w:tcPr>
          <w:p w14:paraId="2CD0E10B" w14:textId="0BAF7DB2" w:rsidR="000F291D" w:rsidRDefault="000F291D" w:rsidP="000F291D">
            <w:r>
              <w:t>824</w:t>
            </w:r>
          </w:p>
        </w:tc>
        <w:tc>
          <w:tcPr>
            <w:tcW w:w="2880" w:type="dxa"/>
          </w:tcPr>
          <w:p w14:paraId="64563843" w14:textId="6675D580" w:rsidR="000F291D" w:rsidRPr="00200E80" w:rsidRDefault="000F291D" w:rsidP="000F291D">
            <w:r w:rsidRPr="00652FE9">
              <w:t>Add EDFacts Cohort Graduation Status element to support EDFacts File Specification 151</w:t>
            </w:r>
          </w:p>
        </w:tc>
        <w:tc>
          <w:tcPr>
            <w:tcW w:w="7560" w:type="dxa"/>
          </w:tcPr>
          <w:p w14:paraId="5AB9574D" w14:textId="518C8669" w:rsidR="000F291D" w:rsidRDefault="000F291D" w:rsidP="000F291D">
            <w:pPr>
              <w:tabs>
                <w:tab w:val="left" w:pos="5688"/>
              </w:tabs>
            </w:pPr>
            <w:hyperlink r:id="rId21" w:history="1">
              <w:r w:rsidRPr="002F6CE8">
                <w:rPr>
                  <w:rStyle w:val="Hyperlink"/>
                </w:rPr>
                <w:t>https://github.com/user-attachments/files/21665215/Add.EDFacts.Cohort.Graduation.Status.element.to.support.FS151.Issue_824.docx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571392" w14:textId="2F4CDB87" w:rsidR="000F291D" w:rsidRDefault="00BC2122" w:rsidP="000F291D">
            <w:r>
              <w:t>November 3, 2025</w:t>
            </w:r>
          </w:p>
        </w:tc>
      </w:tr>
      <w:tr w:rsidR="000F291D" w:rsidRPr="00542E78" w14:paraId="56C36500" w14:textId="77777777" w:rsidTr="00C029C6">
        <w:tc>
          <w:tcPr>
            <w:tcW w:w="1075" w:type="dxa"/>
          </w:tcPr>
          <w:p w14:paraId="4DEF8E24" w14:textId="7479FAC2" w:rsidR="000F291D" w:rsidRDefault="000F291D" w:rsidP="000F291D">
            <w:r>
              <w:t>926</w:t>
            </w:r>
          </w:p>
        </w:tc>
        <w:tc>
          <w:tcPr>
            <w:tcW w:w="2880" w:type="dxa"/>
          </w:tcPr>
          <w:p w14:paraId="7A2CDE21" w14:textId="0695D0FA" w:rsidR="000F291D" w:rsidRDefault="000F291D" w:rsidP="000F291D">
            <w:r w:rsidRPr="00652FE9">
              <w:t>Add element to store SEA/Local Usage Notes</w:t>
            </w:r>
          </w:p>
        </w:tc>
        <w:tc>
          <w:tcPr>
            <w:tcW w:w="7560" w:type="dxa"/>
          </w:tcPr>
          <w:p w14:paraId="26529D23" w14:textId="3C7EBAE5" w:rsidR="000F291D" w:rsidRDefault="000F291D" w:rsidP="000F291D">
            <w:pPr>
              <w:tabs>
                <w:tab w:val="left" w:pos="5688"/>
              </w:tabs>
            </w:pPr>
            <w:hyperlink r:id="rId22" w:history="1">
              <w:r w:rsidRPr="002F6CE8">
                <w:rPr>
                  <w:rStyle w:val="Hyperlink"/>
                </w:rPr>
                <w:t>https://github.com/user-attachments/files/18029060/CEDS.OSC.Issue_926.LocalUsageNotes.-.Proposed.Solution.-.V2.docx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A631903" w14:textId="22212A15" w:rsidR="000F291D" w:rsidRDefault="00BC2122" w:rsidP="000F291D">
            <w:r>
              <w:t>November 3, 2025</w:t>
            </w:r>
          </w:p>
        </w:tc>
      </w:tr>
    </w:tbl>
    <w:p w14:paraId="2E666204" w14:textId="6E9606D2" w:rsidR="004D502D" w:rsidRPr="00542E78" w:rsidRDefault="004D502D" w:rsidP="004D502D">
      <w:r>
        <w:t xml:space="preserve">*Assumes no comments will be added that affect the approval of these proposals between this document date of </w:t>
      </w:r>
      <w:r w:rsidR="00BC2122">
        <w:t>October</w:t>
      </w:r>
      <w:r>
        <w:t xml:space="preserve"> </w:t>
      </w:r>
      <w:r w:rsidR="00BC2122">
        <w:t>31</w:t>
      </w:r>
      <w:r>
        <w:t xml:space="preserve">, 2025, and the release date of </w:t>
      </w:r>
      <w:r w:rsidR="00BC2122">
        <w:t>November</w:t>
      </w:r>
      <w:r>
        <w:t xml:space="preserve"> </w:t>
      </w:r>
      <w:r w:rsidR="00BC2122">
        <w:t>3</w:t>
      </w:r>
      <w:r>
        <w:t>, 2025.</w:t>
      </w:r>
    </w:p>
    <w:p w14:paraId="5A66FAFF" w14:textId="751EC17C" w:rsidR="00675BF8" w:rsidRPr="00542E78" w:rsidRDefault="00675BF8" w:rsidP="004238FD"/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3FF7" w14:textId="77777777" w:rsidR="00C77055" w:rsidRDefault="00C77055" w:rsidP="004D14B8">
      <w:pPr>
        <w:spacing w:after="0" w:line="240" w:lineRule="auto"/>
      </w:pPr>
      <w:r>
        <w:separator/>
      </w:r>
    </w:p>
  </w:endnote>
  <w:endnote w:type="continuationSeparator" w:id="0">
    <w:p w14:paraId="33E09E39" w14:textId="77777777" w:rsidR="00C77055" w:rsidRDefault="00C77055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5156E" w14:textId="77777777" w:rsidR="00C77055" w:rsidRDefault="00C77055" w:rsidP="004D14B8">
      <w:pPr>
        <w:spacing w:after="0" w:line="240" w:lineRule="auto"/>
      </w:pPr>
      <w:r>
        <w:separator/>
      </w:r>
    </w:p>
  </w:footnote>
  <w:footnote w:type="continuationSeparator" w:id="0">
    <w:p w14:paraId="7555616B" w14:textId="77777777" w:rsidR="00C77055" w:rsidRDefault="00C77055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7A1C"/>
    <w:multiLevelType w:val="hybridMultilevel"/>
    <w:tmpl w:val="574A40FC"/>
    <w:lvl w:ilvl="0" w:tplc="74D2F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  <w:num w:numId="3" w16cid:durableId="181194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318F"/>
    <w:rsid w:val="000133C5"/>
    <w:rsid w:val="000135FA"/>
    <w:rsid w:val="00015ED0"/>
    <w:rsid w:val="00016137"/>
    <w:rsid w:val="00020AFD"/>
    <w:rsid w:val="00022D2C"/>
    <w:rsid w:val="0003015D"/>
    <w:rsid w:val="000305B2"/>
    <w:rsid w:val="00037A3D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5453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0CA0"/>
    <w:rsid w:val="000D3A33"/>
    <w:rsid w:val="000D6995"/>
    <w:rsid w:val="000E1813"/>
    <w:rsid w:val="000F291D"/>
    <w:rsid w:val="000F3135"/>
    <w:rsid w:val="000F580C"/>
    <w:rsid w:val="00100A19"/>
    <w:rsid w:val="001037E9"/>
    <w:rsid w:val="001057B9"/>
    <w:rsid w:val="00106A9D"/>
    <w:rsid w:val="00110599"/>
    <w:rsid w:val="00111CB1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6B0"/>
    <w:rsid w:val="00153E72"/>
    <w:rsid w:val="001616DC"/>
    <w:rsid w:val="00163455"/>
    <w:rsid w:val="001729F2"/>
    <w:rsid w:val="00177178"/>
    <w:rsid w:val="001801D7"/>
    <w:rsid w:val="001862AE"/>
    <w:rsid w:val="001926B4"/>
    <w:rsid w:val="001957B7"/>
    <w:rsid w:val="00195F02"/>
    <w:rsid w:val="00197B10"/>
    <w:rsid w:val="001A2961"/>
    <w:rsid w:val="001B01E6"/>
    <w:rsid w:val="001B1B67"/>
    <w:rsid w:val="001B2E0F"/>
    <w:rsid w:val="001B5A98"/>
    <w:rsid w:val="001C3925"/>
    <w:rsid w:val="001C4686"/>
    <w:rsid w:val="001C6150"/>
    <w:rsid w:val="001D0410"/>
    <w:rsid w:val="001D053E"/>
    <w:rsid w:val="001D10D4"/>
    <w:rsid w:val="001D3793"/>
    <w:rsid w:val="001D3E30"/>
    <w:rsid w:val="001D4730"/>
    <w:rsid w:val="001D6C3E"/>
    <w:rsid w:val="001E027C"/>
    <w:rsid w:val="001E03F1"/>
    <w:rsid w:val="001F021A"/>
    <w:rsid w:val="001F3FF6"/>
    <w:rsid w:val="001F481D"/>
    <w:rsid w:val="001F5246"/>
    <w:rsid w:val="001F77B7"/>
    <w:rsid w:val="00200E80"/>
    <w:rsid w:val="00206868"/>
    <w:rsid w:val="002119F6"/>
    <w:rsid w:val="00214A35"/>
    <w:rsid w:val="002211E9"/>
    <w:rsid w:val="00237CA4"/>
    <w:rsid w:val="00243B54"/>
    <w:rsid w:val="00244344"/>
    <w:rsid w:val="00246BCE"/>
    <w:rsid w:val="00247DB5"/>
    <w:rsid w:val="00251BAD"/>
    <w:rsid w:val="0025286F"/>
    <w:rsid w:val="0025669A"/>
    <w:rsid w:val="002601D0"/>
    <w:rsid w:val="00262051"/>
    <w:rsid w:val="00262A50"/>
    <w:rsid w:val="0026413E"/>
    <w:rsid w:val="002658D5"/>
    <w:rsid w:val="00276837"/>
    <w:rsid w:val="002863C9"/>
    <w:rsid w:val="00286E30"/>
    <w:rsid w:val="00286F89"/>
    <w:rsid w:val="002935ED"/>
    <w:rsid w:val="00294930"/>
    <w:rsid w:val="002A2A3B"/>
    <w:rsid w:val="002A4E48"/>
    <w:rsid w:val="002A5CB4"/>
    <w:rsid w:val="002A7BFD"/>
    <w:rsid w:val="002A7E13"/>
    <w:rsid w:val="002B4ABA"/>
    <w:rsid w:val="002C3236"/>
    <w:rsid w:val="002D3C51"/>
    <w:rsid w:val="002D6160"/>
    <w:rsid w:val="002D7A15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06EA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5A90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D502D"/>
    <w:rsid w:val="004E3351"/>
    <w:rsid w:val="004E7A0C"/>
    <w:rsid w:val="004F23D6"/>
    <w:rsid w:val="004F6817"/>
    <w:rsid w:val="004F6A80"/>
    <w:rsid w:val="00500CEB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117A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11BC"/>
    <w:rsid w:val="005E2CF8"/>
    <w:rsid w:val="00600ECA"/>
    <w:rsid w:val="00607ED5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52FE9"/>
    <w:rsid w:val="00662515"/>
    <w:rsid w:val="00665DC2"/>
    <w:rsid w:val="00671158"/>
    <w:rsid w:val="006726AD"/>
    <w:rsid w:val="00675BF8"/>
    <w:rsid w:val="0067656D"/>
    <w:rsid w:val="0067726B"/>
    <w:rsid w:val="00680CD7"/>
    <w:rsid w:val="006813B0"/>
    <w:rsid w:val="00682E3E"/>
    <w:rsid w:val="006849A9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62F1"/>
    <w:rsid w:val="006E716C"/>
    <w:rsid w:val="006F0467"/>
    <w:rsid w:val="006F32BC"/>
    <w:rsid w:val="006F33F2"/>
    <w:rsid w:val="006F60E4"/>
    <w:rsid w:val="006F642F"/>
    <w:rsid w:val="00700DFB"/>
    <w:rsid w:val="00706D42"/>
    <w:rsid w:val="007103A5"/>
    <w:rsid w:val="0071085E"/>
    <w:rsid w:val="00713F75"/>
    <w:rsid w:val="0072324F"/>
    <w:rsid w:val="0072353B"/>
    <w:rsid w:val="00724F6A"/>
    <w:rsid w:val="007261D9"/>
    <w:rsid w:val="00731B49"/>
    <w:rsid w:val="007340F3"/>
    <w:rsid w:val="0073618D"/>
    <w:rsid w:val="007537DD"/>
    <w:rsid w:val="00755766"/>
    <w:rsid w:val="007565F3"/>
    <w:rsid w:val="007601B6"/>
    <w:rsid w:val="007653DA"/>
    <w:rsid w:val="00767857"/>
    <w:rsid w:val="00772B3B"/>
    <w:rsid w:val="00776DAC"/>
    <w:rsid w:val="00786DC6"/>
    <w:rsid w:val="00792A71"/>
    <w:rsid w:val="00795850"/>
    <w:rsid w:val="0079691B"/>
    <w:rsid w:val="007A5D8F"/>
    <w:rsid w:val="007A6069"/>
    <w:rsid w:val="007B02B0"/>
    <w:rsid w:val="007B20DD"/>
    <w:rsid w:val="007B6508"/>
    <w:rsid w:val="007B72C4"/>
    <w:rsid w:val="007C1DBA"/>
    <w:rsid w:val="007C258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7F6BB7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6C8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621C"/>
    <w:rsid w:val="008E7ADE"/>
    <w:rsid w:val="008F0D6D"/>
    <w:rsid w:val="008F18A0"/>
    <w:rsid w:val="008F3258"/>
    <w:rsid w:val="009050D3"/>
    <w:rsid w:val="00910121"/>
    <w:rsid w:val="00912903"/>
    <w:rsid w:val="009154D9"/>
    <w:rsid w:val="00916D7A"/>
    <w:rsid w:val="009238D8"/>
    <w:rsid w:val="0092587B"/>
    <w:rsid w:val="0093121D"/>
    <w:rsid w:val="00932420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8578B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11AE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00AF"/>
    <w:rsid w:val="00A32716"/>
    <w:rsid w:val="00A32F96"/>
    <w:rsid w:val="00A34C60"/>
    <w:rsid w:val="00A367B1"/>
    <w:rsid w:val="00A4508D"/>
    <w:rsid w:val="00A4639F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2278"/>
    <w:rsid w:val="00AA462B"/>
    <w:rsid w:val="00AA53F5"/>
    <w:rsid w:val="00AB065D"/>
    <w:rsid w:val="00AC38E1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876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122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BF5C4B"/>
    <w:rsid w:val="00C00CAB"/>
    <w:rsid w:val="00C024D2"/>
    <w:rsid w:val="00C029C6"/>
    <w:rsid w:val="00C03BEC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1B10"/>
    <w:rsid w:val="00C63610"/>
    <w:rsid w:val="00C63A52"/>
    <w:rsid w:val="00C66543"/>
    <w:rsid w:val="00C668BE"/>
    <w:rsid w:val="00C668C0"/>
    <w:rsid w:val="00C66CDC"/>
    <w:rsid w:val="00C73CA8"/>
    <w:rsid w:val="00C77055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1CD6"/>
    <w:rsid w:val="00DE3DD0"/>
    <w:rsid w:val="00DE4373"/>
    <w:rsid w:val="00DE7F8D"/>
    <w:rsid w:val="00DF29C3"/>
    <w:rsid w:val="00DF3B0E"/>
    <w:rsid w:val="00E022CE"/>
    <w:rsid w:val="00E1229E"/>
    <w:rsid w:val="00E1502A"/>
    <w:rsid w:val="00E1749C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B7AA7"/>
    <w:rsid w:val="00EC523F"/>
    <w:rsid w:val="00EC5283"/>
    <w:rsid w:val="00EC5A12"/>
    <w:rsid w:val="00EC61D6"/>
    <w:rsid w:val="00ED3137"/>
    <w:rsid w:val="00ED51FB"/>
    <w:rsid w:val="00ED652D"/>
    <w:rsid w:val="00EE44D5"/>
    <w:rsid w:val="00EE7CE3"/>
    <w:rsid w:val="00EF0BDD"/>
    <w:rsid w:val="00EF4206"/>
    <w:rsid w:val="00EF45E1"/>
    <w:rsid w:val="00EF4C63"/>
    <w:rsid w:val="00EF5217"/>
    <w:rsid w:val="00EF52C6"/>
    <w:rsid w:val="00EF5F00"/>
    <w:rsid w:val="00EF65B2"/>
    <w:rsid w:val="00F00299"/>
    <w:rsid w:val="00F014AF"/>
    <w:rsid w:val="00F03894"/>
    <w:rsid w:val="00F10065"/>
    <w:rsid w:val="00F45280"/>
    <w:rsid w:val="00F47095"/>
    <w:rsid w:val="00F61A76"/>
    <w:rsid w:val="00F63385"/>
    <w:rsid w:val="00F64814"/>
    <w:rsid w:val="00F70693"/>
    <w:rsid w:val="00F72A95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issues/983" TargetMode="External"/><Relationship Id="rId18" Type="http://schemas.openxmlformats.org/officeDocument/2006/relationships/hyperlink" Target="https://github.com/user-attachments/files/23028812/New.Credential.Award.Identifier.and.Credential.Award.Identification.System.Issue_1030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user-attachments/files/21665215/Add.EDFacts.Cohort.Graduation.Status.element.to.support.FS151.Issue_824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10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-attachments/files/23008538/Update.CEDS.Race.Information.to.align.with.OMB.Issue_1027.docx" TargetMode="External"/><Relationship Id="rId20" Type="http://schemas.openxmlformats.org/officeDocument/2006/relationships/hyperlink" Target="https://github.com/user-attachments/files/17668544/CEDS.OSC.Issue_647.Modify.Staff.Eval.Scale.-.Proposed.Solution.v2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1027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user-attachments/files/21671905/OPE.ID.-.Add.to.CEDS.Organization.Identifier.Issue_638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23057405/NCEO.Accessibility.Feature.Type.Proposal_Update.to.Braille.Issue_983.docx" TargetMode="External"/><Relationship Id="rId22" Type="http://schemas.openxmlformats.org/officeDocument/2006/relationships/hyperlink" Target="https://github.com/user-attachments/files/18029060/CEDS.OSC.Issue_926.LocalUsageNotes.-.Proposed.Solution.-.V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15</cp:revision>
  <dcterms:created xsi:type="dcterms:W3CDTF">2025-10-30T21:32:00Z</dcterms:created>
  <dcterms:modified xsi:type="dcterms:W3CDTF">2025-10-30T21:57:00Z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