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B1D11" w14:textId="77777777" w:rsidR="008E1B72" w:rsidRPr="0074405A" w:rsidRDefault="00000000" w:rsidP="00F81A93">
      <w:pPr>
        <w:pStyle w:val="Author"/>
        <w:rPr>
          <w:sz w:val="20"/>
          <w:szCs w:val="20"/>
        </w:rPr>
      </w:pPr>
      <w:r w:rsidRPr="0074405A">
        <w:rPr>
          <w:sz w:val="20"/>
          <w:szCs w:val="20"/>
        </w:rPr>
        <w:t>Índice socioeconómico por manzana</w:t>
      </w:r>
    </w:p>
    <w:p w14:paraId="64470498" w14:textId="77777777" w:rsidR="00844F32" w:rsidRPr="0074405A" w:rsidRDefault="00844F32" w:rsidP="00F81A93">
      <w:pPr>
        <w:pStyle w:val="FirstParagraph"/>
        <w:jc w:val="both"/>
        <w:rPr>
          <w:sz w:val="20"/>
          <w:szCs w:val="20"/>
        </w:rPr>
      </w:pPr>
      <w:bookmarkStart w:id="0" w:name="propósito"/>
    </w:p>
    <w:p w14:paraId="138818F5" w14:textId="77777777" w:rsidR="001E11F4" w:rsidRPr="0074405A" w:rsidRDefault="00000000" w:rsidP="001E11F4">
      <w:pPr>
        <w:pStyle w:val="FirstParagraph"/>
        <w:jc w:val="both"/>
        <w:rPr>
          <w:sz w:val="20"/>
          <w:szCs w:val="20"/>
        </w:rPr>
      </w:pPr>
      <w:r w:rsidRPr="0074405A">
        <w:rPr>
          <w:sz w:val="20"/>
          <w:szCs w:val="20"/>
        </w:rPr>
        <w:t xml:space="preserve">El índice socioeconómico por manzana </w:t>
      </w:r>
      <w:r w:rsidR="00844F32" w:rsidRPr="0074405A">
        <w:rPr>
          <w:sz w:val="20"/>
          <w:szCs w:val="20"/>
        </w:rPr>
        <w:t>busca resumir</w:t>
      </w:r>
      <w:r w:rsidRPr="0074405A">
        <w:rPr>
          <w:sz w:val="20"/>
          <w:szCs w:val="20"/>
        </w:rPr>
        <w:t xml:space="preserve"> la situación educacional, ocupacional y material de cada manzana urbana y entidad rural de las comunas de la Región de Los Lagos. </w:t>
      </w:r>
      <w:r w:rsidR="001E11F4" w:rsidRPr="0074405A">
        <w:rPr>
          <w:sz w:val="20"/>
          <w:szCs w:val="20"/>
        </w:rPr>
        <w:t>El índice sigue la lógica del Índice Socio Material Territorial (ISMT) del Observatorio de Ciudades UC, construido con el Censo 2017 por manzana, que combina escolaridad del jefe de hogar, materialidad de la vivienda, hacinamiento y allegamiento. No es una réplica exacta:</w:t>
      </w:r>
    </w:p>
    <w:p w14:paraId="67322B65" w14:textId="77777777" w:rsidR="001E11F4" w:rsidRPr="0074405A" w:rsidRDefault="001E11F4" w:rsidP="001E11F4">
      <w:pPr>
        <w:pStyle w:val="Compact"/>
        <w:numPr>
          <w:ilvl w:val="0"/>
          <w:numId w:val="5"/>
        </w:numPr>
        <w:rPr>
          <w:sz w:val="20"/>
          <w:szCs w:val="20"/>
        </w:rPr>
      </w:pPr>
      <w:r w:rsidRPr="0074405A">
        <w:rPr>
          <w:sz w:val="20"/>
          <w:szCs w:val="20"/>
        </w:rPr>
        <w:t>La base 2024 por manzana no trae la escolaridad del jefe de hogar. Se reemplaza por la escolaridad promedio de todas las personas de 18 años o más y por el porcentaje con educación superior.</w:t>
      </w:r>
    </w:p>
    <w:p w14:paraId="0AB7AAF8" w14:textId="77777777" w:rsidR="001E11F4" w:rsidRPr="0074405A" w:rsidRDefault="001E11F4" w:rsidP="001E11F4">
      <w:pPr>
        <w:pStyle w:val="Compact"/>
        <w:numPr>
          <w:ilvl w:val="0"/>
          <w:numId w:val="5"/>
        </w:numPr>
        <w:rPr>
          <w:sz w:val="20"/>
          <w:szCs w:val="20"/>
        </w:rPr>
      </w:pPr>
      <w:r w:rsidRPr="0074405A">
        <w:rPr>
          <w:sz w:val="20"/>
          <w:szCs w:val="20"/>
        </w:rPr>
        <w:t>Se agregan dos componentes que el ISMT no usa y que discriminan mejor en la parte alta de la distribución: directivos y profesionales, y hogares con computador.</w:t>
      </w:r>
    </w:p>
    <w:p w14:paraId="4326A770" w14:textId="77777777" w:rsidR="001E11F4" w:rsidRPr="001E11F4" w:rsidRDefault="001E11F4" w:rsidP="001E11F4">
      <w:pPr>
        <w:pStyle w:val="Compact"/>
        <w:numPr>
          <w:ilvl w:val="0"/>
          <w:numId w:val="5"/>
        </w:numPr>
        <w:rPr>
          <w:sz w:val="20"/>
          <w:szCs w:val="20"/>
        </w:rPr>
      </w:pPr>
      <w:r w:rsidRPr="0074405A">
        <w:rPr>
          <w:sz w:val="20"/>
          <w:szCs w:val="20"/>
        </w:rPr>
        <w:t>El ISMT asigna categorías tipo ABC1, C2, C3, D y E. Este índice no lo hace, porque sin datos de ingreso esas etiquetas sugerirían una equivalencia con el GSE de la AIM que no existe. Si se requieren, podrían asignarse calibrando los cortes con la distribución de GSE publicada para la región, siempre presentándolas como aproximación.</w:t>
      </w:r>
    </w:p>
    <w:p w14:paraId="3CF24822" w14:textId="77777777" w:rsidR="008E1B72" w:rsidRPr="0074405A" w:rsidRDefault="00000000" w:rsidP="00844F32">
      <w:pPr>
        <w:pStyle w:val="FirstParagraph"/>
        <w:jc w:val="both"/>
        <w:rPr>
          <w:sz w:val="20"/>
          <w:szCs w:val="20"/>
        </w:rPr>
      </w:pPr>
      <w:r w:rsidRPr="0074405A">
        <w:rPr>
          <w:sz w:val="20"/>
          <w:szCs w:val="20"/>
        </w:rPr>
        <w:t>Se construye con la base manzana-entidad del Censo 2024</w:t>
      </w:r>
      <w:r w:rsidR="00844F32" w:rsidRPr="0074405A">
        <w:rPr>
          <w:sz w:val="20"/>
          <w:szCs w:val="20"/>
        </w:rPr>
        <w:t>.</w:t>
      </w:r>
      <w:bookmarkStart w:id="1" w:name="componentes"/>
      <w:bookmarkEnd w:id="0"/>
      <w:r w:rsidR="0074405A" w:rsidRPr="0074405A">
        <w:rPr>
          <w:sz w:val="20"/>
          <w:szCs w:val="20"/>
        </w:rPr>
        <w:t xml:space="preserve"> </w:t>
      </w:r>
      <w:r w:rsidRPr="0074405A">
        <w:rPr>
          <w:sz w:val="20"/>
          <w:szCs w:val="20"/>
        </w:rPr>
        <w:t xml:space="preserve">El índice combina siete componentes: cuatro que indican mejor situación (positivo) y tres que indican carencia (negativo). Para la manzana </w:t>
      </w:r>
      <m:oMath>
        <m:r>
          <w:rPr>
            <w:rFonts w:ascii="Cambria Math" w:hAnsi="Cambria Math"/>
            <w:sz w:val="20"/>
            <w:szCs w:val="20"/>
          </w:rPr>
          <m:t>j</m:t>
        </m:r>
      </m:oMath>
      <w:r w:rsidRPr="0074405A">
        <w:rPr>
          <w:sz w:val="20"/>
          <w:szCs w:val="20"/>
        </w:rPr>
        <w:t>:</w:t>
      </w:r>
    </w:p>
    <w:tbl>
      <w:tblPr>
        <w:tblStyle w:val="Tablanormal2"/>
        <w:tblW w:w="5000" w:type="pct"/>
        <w:tblLayout w:type="fixed"/>
        <w:tblLook w:val="0020" w:firstRow="1" w:lastRow="0" w:firstColumn="0" w:lastColumn="0" w:noHBand="0" w:noVBand="0"/>
      </w:tblPr>
      <w:tblGrid>
        <w:gridCol w:w="3018"/>
        <w:gridCol w:w="3018"/>
        <w:gridCol w:w="3018"/>
      </w:tblGrid>
      <w:tr w:rsidR="008E1B72" w:rsidRPr="0074405A" w14:paraId="1E7A5859" w14:textId="77777777" w:rsidTr="0074405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8" w:type="dxa"/>
          </w:tcPr>
          <w:p w14:paraId="35C60F07" w14:textId="77777777" w:rsidR="008E1B72" w:rsidRPr="0074405A" w:rsidRDefault="00000000" w:rsidP="0074405A">
            <w:pPr>
              <w:pStyle w:val="Compact"/>
              <w:jc w:val="center"/>
              <w:rPr>
                <w:sz w:val="20"/>
                <w:szCs w:val="20"/>
              </w:rPr>
            </w:pPr>
            <w:r w:rsidRPr="0074405A">
              <w:rPr>
                <w:sz w:val="20"/>
                <w:szCs w:val="20"/>
              </w:rPr>
              <w:t>Componente</w:t>
            </w:r>
          </w:p>
        </w:tc>
        <w:tc>
          <w:tcPr>
            <w:cnfStyle w:val="000001000000" w:firstRow="0" w:lastRow="0" w:firstColumn="0" w:lastColumn="0" w:oddVBand="0" w:evenVBand="1" w:oddHBand="0" w:evenHBand="0" w:firstRowFirstColumn="0" w:firstRowLastColumn="0" w:lastRowFirstColumn="0" w:lastRowLastColumn="0"/>
            <w:tcW w:w="3018" w:type="dxa"/>
          </w:tcPr>
          <w:p w14:paraId="0A3B4EBF" w14:textId="77777777" w:rsidR="008E1B72" w:rsidRPr="0074405A" w:rsidRDefault="00000000" w:rsidP="0074405A">
            <w:pPr>
              <w:pStyle w:val="Compact"/>
              <w:jc w:val="center"/>
              <w:rPr>
                <w:sz w:val="20"/>
                <w:szCs w:val="20"/>
              </w:rPr>
            </w:pPr>
            <w:r w:rsidRPr="0074405A">
              <w:rPr>
                <w:sz w:val="20"/>
                <w:szCs w:val="20"/>
              </w:rPr>
              <w:t xml:space="preserve">Variable </w:t>
            </w:r>
            <m:oMath>
              <m:sSub>
                <m:sSubPr>
                  <m:ctrlPr>
                    <w:rPr>
                      <w:rFonts w:ascii="Cambria Math" w:hAnsi="Cambria Math"/>
                      <w:sz w:val="20"/>
                      <w:szCs w:val="20"/>
                    </w:rPr>
                  </m:ctrlPr>
                </m:sSubPr>
                <m:e>
                  <m:r>
                    <m:rPr>
                      <m:sty m:val="bi"/>
                    </m:rPr>
                    <w:rPr>
                      <w:rFonts w:ascii="Cambria Math" w:hAnsi="Cambria Math"/>
                      <w:sz w:val="20"/>
                      <w:szCs w:val="20"/>
                    </w:rPr>
                    <m:t>x</m:t>
                  </m:r>
                </m:e>
                <m:sub>
                  <m:r>
                    <m:rPr>
                      <m:sty m:val="bi"/>
                    </m:rPr>
                    <w:rPr>
                      <w:rFonts w:ascii="Cambria Math" w:hAnsi="Cambria Math"/>
                      <w:sz w:val="20"/>
                      <w:szCs w:val="20"/>
                    </w:rPr>
                    <m:t>jk</m:t>
                  </m:r>
                </m:sub>
              </m:sSub>
            </m:oMath>
          </w:p>
        </w:tc>
        <w:tc>
          <w:tcPr>
            <w:cnfStyle w:val="000010000000" w:firstRow="0" w:lastRow="0" w:firstColumn="0" w:lastColumn="0" w:oddVBand="1" w:evenVBand="0" w:oddHBand="0" w:evenHBand="0" w:firstRowFirstColumn="0" w:firstRowLastColumn="0" w:lastRowFirstColumn="0" w:lastRowLastColumn="0"/>
            <w:tcW w:w="3018" w:type="dxa"/>
          </w:tcPr>
          <w:p w14:paraId="2048A8A4" w14:textId="77777777" w:rsidR="008E1B72" w:rsidRPr="0074405A" w:rsidRDefault="0074405A" w:rsidP="0074405A">
            <w:pPr>
              <w:pStyle w:val="Compact"/>
              <w:jc w:val="center"/>
              <w:rPr>
                <w:sz w:val="20"/>
                <w:szCs w:val="20"/>
              </w:rPr>
            </w:pPr>
            <w:r w:rsidRPr="0074405A">
              <w:rPr>
                <w:sz w:val="20"/>
                <w:szCs w:val="20"/>
              </w:rPr>
              <w:t xml:space="preserve">Valor </w:t>
            </w:r>
            <m:oMath>
              <m:sSub>
                <m:sSubPr>
                  <m:ctrlPr>
                    <w:rPr>
                      <w:rFonts w:ascii="Cambria Math" w:hAnsi="Cambria Math"/>
                      <w:sz w:val="20"/>
                      <w:szCs w:val="20"/>
                    </w:rPr>
                  </m:ctrlPr>
                </m:sSubPr>
                <m:e>
                  <m:r>
                    <m:rPr>
                      <m:sty m:val="bi"/>
                    </m:rPr>
                    <w:rPr>
                      <w:rFonts w:ascii="Cambria Math" w:hAnsi="Cambria Math"/>
                      <w:sz w:val="20"/>
                      <w:szCs w:val="20"/>
                    </w:rPr>
                    <m:t>s</m:t>
                  </m:r>
                </m:e>
                <m:sub>
                  <m:r>
                    <m:rPr>
                      <m:sty m:val="bi"/>
                    </m:rPr>
                    <w:rPr>
                      <w:rFonts w:ascii="Cambria Math" w:hAnsi="Cambria Math"/>
                      <w:sz w:val="20"/>
                      <w:szCs w:val="20"/>
                    </w:rPr>
                    <m:t>k</m:t>
                  </m:r>
                </m:sub>
              </m:sSub>
            </m:oMath>
          </w:p>
        </w:tc>
      </w:tr>
      <w:tr w:rsidR="0074405A" w:rsidRPr="0074405A" w14:paraId="26A5CCE3" w14:textId="77777777" w:rsidTr="007440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8" w:type="dxa"/>
            <w:vAlign w:val="center"/>
          </w:tcPr>
          <w:p w14:paraId="569C0DB8" w14:textId="77777777" w:rsidR="0074405A" w:rsidRPr="0074405A" w:rsidRDefault="0074405A" w:rsidP="0074405A">
            <w:pPr>
              <w:pStyle w:val="Compact"/>
              <w:rPr>
                <w:sz w:val="20"/>
                <w:szCs w:val="20"/>
              </w:rPr>
            </w:pPr>
            <w:r w:rsidRPr="0074405A">
              <w:rPr>
                <w:sz w:val="20"/>
                <w:szCs w:val="20"/>
              </w:rPr>
              <w:t>Escolaridad</w:t>
            </w:r>
          </w:p>
        </w:tc>
        <w:tc>
          <w:tcPr>
            <w:cnfStyle w:val="000001000000" w:firstRow="0" w:lastRow="0" w:firstColumn="0" w:lastColumn="0" w:oddVBand="0" w:evenVBand="1" w:oddHBand="0" w:evenHBand="0" w:firstRowFirstColumn="0" w:firstRowLastColumn="0" w:lastRowFirstColumn="0" w:lastRowLastColumn="0"/>
            <w:tcW w:w="3018" w:type="dxa"/>
          </w:tcPr>
          <w:p w14:paraId="3BC73F4F" w14:textId="77777777" w:rsidR="0074405A" w:rsidRPr="0074405A" w:rsidRDefault="0074405A" w:rsidP="0074405A">
            <w:pPr>
              <w:pStyle w:val="Compact"/>
              <w:rPr>
                <w:sz w:val="20"/>
                <w:szCs w:val="20"/>
              </w:rPr>
            </w:pPr>
            <w:r w:rsidRPr="0074405A">
              <w:rPr>
                <w:sz w:val="20"/>
                <w:szCs w:val="20"/>
              </w:rPr>
              <w:t>Años de escolaridad promedio de las personas de 18 años o más</w:t>
            </w:r>
          </w:p>
        </w:tc>
        <w:tc>
          <w:tcPr>
            <w:cnfStyle w:val="000010000000" w:firstRow="0" w:lastRow="0" w:firstColumn="0" w:lastColumn="0" w:oddVBand="1" w:evenVBand="0" w:oddHBand="0" w:evenHBand="0" w:firstRowFirstColumn="0" w:firstRowLastColumn="0" w:lastRowFirstColumn="0" w:lastRowLastColumn="0"/>
            <w:tcW w:w="3018" w:type="dxa"/>
            <w:vAlign w:val="center"/>
          </w:tcPr>
          <w:p w14:paraId="65D49004" w14:textId="77777777" w:rsidR="0074405A" w:rsidRPr="0074405A" w:rsidRDefault="0074405A" w:rsidP="0074405A">
            <w:pPr>
              <w:pStyle w:val="Compact"/>
              <w:jc w:val="center"/>
              <w:rPr>
                <w:sz w:val="20"/>
                <w:szCs w:val="20"/>
              </w:rPr>
            </w:pPr>
            <w:r w:rsidRPr="0074405A">
              <w:rPr>
                <w:rFonts w:eastAsiaTheme="minorEastAsia"/>
                <w:sz w:val="20"/>
                <w:szCs w:val="20"/>
              </w:rPr>
              <w:t>+1</w:t>
            </w:r>
          </w:p>
        </w:tc>
      </w:tr>
      <w:tr w:rsidR="0074405A" w:rsidRPr="0074405A" w14:paraId="46879B29" w14:textId="77777777" w:rsidTr="0074405A">
        <w:tc>
          <w:tcPr>
            <w:cnfStyle w:val="000010000000" w:firstRow="0" w:lastRow="0" w:firstColumn="0" w:lastColumn="0" w:oddVBand="1" w:evenVBand="0" w:oddHBand="0" w:evenHBand="0" w:firstRowFirstColumn="0" w:firstRowLastColumn="0" w:lastRowFirstColumn="0" w:lastRowLastColumn="0"/>
            <w:tcW w:w="3018" w:type="dxa"/>
            <w:vAlign w:val="center"/>
          </w:tcPr>
          <w:p w14:paraId="41B1D55D" w14:textId="77777777" w:rsidR="0074405A" w:rsidRPr="0074405A" w:rsidRDefault="0074405A" w:rsidP="0074405A">
            <w:pPr>
              <w:pStyle w:val="Compact"/>
              <w:rPr>
                <w:sz w:val="20"/>
                <w:szCs w:val="20"/>
              </w:rPr>
            </w:pPr>
            <w:r w:rsidRPr="0074405A">
              <w:rPr>
                <w:sz w:val="20"/>
                <w:szCs w:val="20"/>
              </w:rPr>
              <w:t>Educación superior</w:t>
            </w:r>
          </w:p>
        </w:tc>
        <w:tc>
          <w:tcPr>
            <w:cnfStyle w:val="000001000000" w:firstRow="0" w:lastRow="0" w:firstColumn="0" w:lastColumn="0" w:oddVBand="0" w:evenVBand="1" w:oddHBand="0" w:evenHBand="0" w:firstRowFirstColumn="0" w:firstRowLastColumn="0" w:lastRowFirstColumn="0" w:lastRowLastColumn="0"/>
            <w:tcW w:w="3018" w:type="dxa"/>
          </w:tcPr>
          <w:p w14:paraId="5E5333C4" w14:textId="77777777" w:rsidR="0074405A" w:rsidRPr="0074405A" w:rsidRDefault="0074405A" w:rsidP="0074405A">
            <w:pPr>
              <w:pStyle w:val="Compact"/>
              <w:rPr>
                <w:sz w:val="20"/>
                <w:szCs w:val="20"/>
              </w:rPr>
            </w:pPr>
            <w:r w:rsidRPr="0074405A">
              <w:rPr>
                <w:sz w:val="20"/>
                <w:szCs w:val="20"/>
              </w:rPr>
              <w:t>% de personas de 18 años o más con educación terciaria, maestría o doctorado</w:t>
            </w:r>
          </w:p>
        </w:tc>
        <w:tc>
          <w:tcPr>
            <w:cnfStyle w:val="000010000000" w:firstRow="0" w:lastRow="0" w:firstColumn="0" w:lastColumn="0" w:oddVBand="1" w:evenVBand="0" w:oddHBand="0" w:evenHBand="0" w:firstRowFirstColumn="0" w:firstRowLastColumn="0" w:lastRowFirstColumn="0" w:lastRowLastColumn="0"/>
            <w:tcW w:w="3018" w:type="dxa"/>
            <w:vAlign w:val="center"/>
          </w:tcPr>
          <w:p w14:paraId="38F5BE05" w14:textId="77777777" w:rsidR="0074405A" w:rsidRPr="0074405A" w:rsidRDefault="0074405A" w:rsidP="0074405A">
            <w:pPr>
              <w:pStyle w:val="Compact"/>
              <w:jc w:val="center"/>
              <w:rPr>
                <w:sz w:val="20"/>
                <w:szCs w:val="20"/>
              </w:rPr>
            </w:pPr>
            <w:r w:rsidRPr="0074405A">
              <w:rPr>
                <w:rFonts w:eastAsiaTheme="minorEastAsia"/>
                <w:sz w:val="20"/>
                <w:szCs w:val="20"/>
              </w:rPr>
              <w:t>+1</w:t>
            </w:r>
          </w:p>
        </w:tc>
      </w:tr>
      <w:tr w:rsidR="0074405A" w:rsidRPr="0074405A" w14:paraId="4197C4B7" w14:textId="77777777" w:rsidTr="007440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8" w:type="dxa"/>
            <w:vAlign w:val="center"/>
          </w:tcPr>
          <w:p w14:paraId="5B584976" w14:textId="77777777" w:rsidR="0074405A" w:rsidRPr="0074405A" w:rsidRDefault="0074405A" w:rsidP="0074405A">
            <w:pPr>
              <w:pStyle w:val="Compact"/>
              <w:rPr>
                <w:sz w:val="20"/>
                <w:szCs w:val="20"/>
              </w:rPr>
            </w:pPr>
            <w:r w:rsidRPr="0074405A">
              <w:rPr>
                <w:sz w:val="20"/>
                <w:szCs w:val="20"/>
              </w:rPr>
              <w:t>Directivos y profesionales</w:t>
            </w:r>
          </w:p>
        </w:tc>
        <w:tc>
          <w:tcPr>
            <w:cnfStyle w:val="000001000000" w:firstRow="0" w:lastRow="0" w:firstColumn="0" w:lastColumn="0" w:oddVBand="0" w:evenVBand="1" w:oddHBand="0" w:evenHBand="0" w:firstRowFirstColumn="0" w:firstRowLastColumn="0" w:lastRowFirstColumn="0" w:lastRowLastColumn="0"/>
            <w:tcW w:w="3018" w:type="dxa"/>
          </w:tcPr>
          <w:p w14:paraId="65071E57" w14:textId="77777777" w:rsidR="0074405A" w:rsidRPr="0074405A" w:rsidRDefault="0074405A" w:rsidP="0074405A">
            <w:pPr>
              <w:pStyle w:val="Compact"/>
              <w:rPr>
                <w:sz w:val="20"/>
                <w:szCs w:val="20"/>
              </w:rPr>
            </w:pPr>
            <w:r w:rsidRPr="0074405A">
              <w:rPr>
                <w:sz w:val="20"/>
                <w:szCs w:val="20"/>
              </w:rPr>
              <w:t>% de ocupados en los grandes grupos 1 y 2 de la CIUO-08</w:t>
            </w:r>
          </w:p>
        </w:tc>
        <w:tc>
          <w:tcPr>
            <w:cnfStyle w:val="000010000000" w:firstRow="0" w:lastRow="0" w:firstColumn="0" w:lastColumn="0" w:oddVBand="1" w:evenVBand="0" w:oddHBand="0" w:evenHBand="0" w:firstRowFirstColumn="0" w:firstRowLastColumn="0" w:lastRowFirstColumn="0" w:lastRowLastColumn="0"/>
            <w:tcW w:w="3018" w:type="dxa"/>
            <w:vAlign w:val="center"/>
          </w:tcPr>
          <w:p w14:paraId="5D23CDB7" w14:textId="77777777" w:rsidR="0074405A" w:rsidRPr="0074405A" w:rsidRDefault="0074405A" w:rsidP="0074405A">
            <w:pPr>
              <w:pStyle w:val="Compact"/>
              <w:jc w:val="center"/>
              <w:rPr>
                <w:sz w:val="20"/>
                <w:szCs w:val="20"/>
              </w:rPr>
            </w:pPr>
            <w:r w:rsidRPr="0074405A">
              <w:rPr>
                <w:rFonts w:eastAsiaTheme="minorEastAsia"/>
                <w:sz w:val="20"/>
                <w:szCs w:val="20"/>
              </w:rPr>
              <w:t>+1</w:t>
            </w:r>
          </w:p>
        </w:tc>
      </w:tr>
      <w:tr w:rsidR="0074405A" w:rsidRPr="0074405A" w14:paraId="5BB0F115" w14:textId="77777777" w:rsidTr="0074405A">
        <w:tc>
          <w:tcPr>
            <w:cnfStyle w:val="000010000000" w:firstRow="0" w:lastRow="0" w:firstColumn="0" w:lastColumn="0" w:oddVBand="1" w:evenVBand="0" w:oddHBand="0" w:evenHBand="0" w:firstRowFirstColumn="0" w:firstRowLastColumn="0" w:lastRowFirstColumn="0" w:lastRowLastColumn="0"/>
            <w:tcW w:w="3018" w:type="dxa"/>
            <w:vAlign w:val="center"/>
          </w:tcPr>
          <w:p w14:paraId="76627525" w14:textId="77777777" w:rsidR="0074405A" w:rsidRPr="0074405A" w:rsidRDefault="0074405A" w:rsidP="0074405A">
            <w:pPr>
              <w:pStyle w:val="Compact"/>
              <w:rPr>
                <w:sz w:val="20"/>
                <w:szCs w:val="20"/>
              </w:rPr>
            </w:pPr>
            <w:r w:rsidRPr="0074405A">
              <w:rPr>
                <w:sz w:val="20"/>
                <w:szCs w:val="20"/>
              </w:rPr>
              <w:t>Computador</w:t>
            </w:r>
          </w:p>
        </w:tc>
        <w:tc>
          <w:tcPr>
            <w:cnfStyle w:val="000001000000" w:firstRow="0" w:lastRow="0" w:firstColumn="0" w:lastColumn="0" w:oddVBand="0" w:evenVBand="1" w:oddHBand="0" w:evenHBand="0" w:firstRowFirstColumn="0" w:firstRowLastColumn="0" w:lastRowFirstColumn="0" w:lastRowLastColumn="0"/>
            <w:tcW w:w="3018" w:type="dxa"/>
          </w:tcPr>
          <w:p w14:paraId="3A351663" w14:textId="77777777" w:rsidR="0074405A" w:rsidRPr="0074405A" w:rsidRDefault="0074405A" w:rsidP="0074405A">
            <w:pPr>
              <w:pStyle w:val="Compact"/>
              <w:rPr>
                <w:sz w:val="20"/>
                <w:szCs w:val="20"/>
              </w:rPr>
            </w:pPr>
            <w:r w:rsidRPr="0074405A">
              <w:rPr>
                <w:sz w:val="20"/>
                <w:szCs w:val="20"/>
              </w:rPr>
              <w:t>% de hogares con computador</w:t>
            </w:r>
          </w:p>
        </w:tc>
        <w:tc>
          <w:tcPr>
            <w:cnfStyle w:val="000010000000" w:firstRow="0" w:lastRow="0" w:firstColumn="0" w:lastColumn="0" w:oddVBand="1" w:evenVBand="0" w:oddHBand="0" w:evenHBand="0" w:firstRowFirstColumn="0" w:firstRowLastColumn="0" w:lastRowFirstColumn="0" w:lastRowLastColumn="0"/>
            <w:tcW w:w="3018" w:type="dxa"/>
            <w:vAlign w:val="center"/>
          </w:tcPr>
          <w:p w14:paraId="21A896E1" w14:textId="77777777" w:rsidR="0074405A" w:rsidRPr="0074405A" w:rsidRDefault="0074405A" w:rsidP="0074405A">
            <w:pPr>
              <w:pStyle w:val="Compact"/>
              <w:jc w:val="center"/>
              <w:rPr>
                <w:sz w:val="20"/>
                <w:szCs w:val="20"/>
              </w:rPr>
            </w:pPr>
            <w:r w:rsidRPr="0074405A">
              <w:rPr>
                <w:rFonts w:eastAsiaTheme="minorEastAsia"/>
                <w:sz w:val="20"/>
                <w:szCs w:val="20"/>
              </w:rPr>
              <w:t>+1</w:t>
            </w:r>
          </w:p>
        </w:tc>
      </w:tr>
      <w:tr w:rsidR="008E1B72" w:rsidRPr="0074405A" w14:paraId="4BF02B58" w14:textId="77777777" w:rsidTr="007440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8" w:type="dxa"/>
            <w:vAlign w:val="center"/>
          </w:tcPr>
          <w:p w14:paraId="2E1D8713" w14:textId="77777777" w:rsidR="008E1B72" w:rsidRPr="0074405A" w:rsidRDefault="00000000" w:rsidP="0074405A">
            <w:pPr>
              <w:pStyle w:val="Compact"/>
              <w:rPr>
                <w:sz w:val="20"/>
                <w:szCs w:val="20"/>
              </w:rPr>
            </w:pPr>
            <w:r w:rsidRPr="0074405A">
              <w:rPr>
                <w:sz w:val="20"/>
                <w:szCs w:val="20"/>
              </w:rPr>
              <w:t>Hacinamiento</w:t>
            </w:r>
          </w:p>
        </w:tc>
        <w:tc>
          <w:tcPr>
            <w:cnfStyle w:val="000001000000" w:firstRow="0" w:lastRow="0" w:firstColumn="0" w:lastColumn="0" w:oddVBand="0" w:evenVBand="1" w:oddHBand="0" w:evenHBand="0" w:firstRowFirstColumn="0" w:firstRowLastColumn="0" w:lastRowFirstColumn="0" w:lastRowLastColumn="0"/>
            <w:tcW w:w="3018" w:type="dxa"/>
          </w:tcPr>
          <w:p w14:paraId="3DD3B294" w14:textId="77777777" w:rsidR="008E1B72" w:rsidRPr="0074405A" w:rsidRDefault="00000000">
            <w:pPr>
              <w:pStyle w:val="Compact"/>
              <w:rPr>
                <w:sz w:val="20"/>
                <w:szCs w:val="20"/>
              </w:rPr>
            </w:pPr>
            <w:r w:rsidRPr="0074405A">
              <w:rPr>
                <w:sz w:val="20"/>
                <w:szCs w:val="20"/>
              </w:rPr>
              <w:t>% de viviendas ocupadas hacinadas</w:t>
            </w:r>
          </w:p>
        </w:tc>
        <w:tc>
          <w:tcPr>
            <w:cnfStyle w:val="000010000000" w:firstRow="0" w:lastRow="0" w:firstColumn="0" w:lastColumn="0" w:oddVBand="1" w:evenVBand="0" w:oddHBand="0" w:evenHBand="0" w:firstRowFirstColumn="0" w:firstRowLastColumn="0" w:lastRowFirstColumn="0" w:lastRowLastColumn="0"/>
            <w:tcW w:w="3018" w:type="dxa"/>
            <w:vAlign w:val="center"/>
          </w:tcPr>
          <w:p w14:paraId="7D76A6F6" w14:textId="77777777" w:rsidR="008E1B72" w:rsidRPr="0074405A" w:rsidRDefault="0074405A" w:rsidP="0074405A">
            <w:pPr>
              <w:pStyle w:val="Compact"/>
              <w:jc w:val="center"/>
              <w:rPr>
                <w:sz w:val="20"/>
                <w:szCs w:val="20"/>
              </w:rPr>
            </w:pPr>
            <w:r w:rsidRPr="0074405A">
              <w:rPr>
                <w:sz w:val="20"/>
                <w:szCs w:val="20"/>
              </w:rPr>
              <w:t>-1</w:t>
            </w:r>
          </w:p>
        </w:tc>
      </w:tr>
      <w:tr w:rsidR="0074405A" w:rsidRPr="0074405A" w14:paraId="184D18CA" w14:textId="77777777" w:rsidTr="0074405A">
        <w:tc>
          <w:tcPr>
            <w:cnfStyle w:val="000010000000" w:firstRow="0" w:lastRow="0" w:firstColumn="0" w:lastColumn="0" w:oddVBand="1" w:evenVBand="0" w:oddHBand="0" w:evenHBand="0" w:firstRowFirstColumn="0" w:firstRowLastColumn="0" w:lastRowFirstColumn="0" w:lastRowLastColumn="0"/>
            <w:tcW w:w="3018" w:type="dxa"/>
            <w:vAlign w:val="center"/>
          </w:tcPr>
          <w:p w14:paraId="57BBB219" w14:textId="77777777" w:rsidR="0074405A" w:rsidRPr="0074405A" w:rsidRDefault="0074405A" w:rsidP="0074405A">
            <w:pPr>
              <w:pStyle w:val="Compact"/>
              <w:rPr>
                <w:sz w:val="20"/>
                <w:szCs w:val="20"/>
              </w:rPr>
            </w:pPr>
            <w:r w:rsidRPr="0074405A">
              <w:rPr>
                <w:sz w:val="20"/>
                <w:szCs w:val="20"/>
              </w:rPr>
              <w:t>Paredes precarias</w:t>
            </w:r>
          </w:p>
        </w:tc>
        <w:tc>
          <w:tcPr>
            <w:cnfStyle w:val="000001000000" w:firstRow="0" w:lastRow="0" w:firstColumn="0" w:lastColumn="0" w:oddVBand="0" w:evenVBand="1" w:oddHBand="0" w:evenHBand="0" w:firstRowFirstColumn="0" w:firstRowLastColumn="0" w:lastRowFirstColumn="0" w:lastRowLastColumn="0"/>
            <w:tcW w:w="3018" w:type="dxa"/>
          </w:tcPr>
          <w:p w14:paraId="56AC4ED5" w14:textId="77777777" w:rsidR="0074405A" w:rsidRPr="0074405A" w:rsidRDefault="0074405A" w:rsidP="0074405A">
            <w:pPr>
              <w:pStyle w:val="Compact"/>
              <w:rPr>
                <w:sz w:val="20"/>
                <w:szCs w:val="20"/>
              </w:rPr>
            </w:pPr>
            <w:r w:rsidRPr="0074405A">
              <w:rPr>
                <w:sz w:val="20"/>
                <w:szCs w:val="20"/>
              </w:rPr>
              <w:t>% de viviendas ocupadas con paredes de material precario</w:t>
            </w:r>
          </w:p>
        </w:tc>
        <w:tc>
          <w:tcPr>
            <w:cnfStyle w:val="000010000000" w:firstRow="0" w:lastRow="0" w:firstColumn="0" w:lastColumn="0" w:oddVBand="1" w:evenVBand="0" w:oddHBand="0" w:evenHBand="0" w:firstRowFirstColumn="0" w:firstRowLastColumn="0" w:lastRowFirstColumn="0" w:lastRowLastColumn="0"/>
            <w:tcW w:w="3018" w:type="dxa"/>
            <w:vAlign w:val="center"/>
          </w:tcPr>
          <w:p w14:paraId="2B5934D8" w14:textId="77777777" w:rsidR="0074405A" w:rsidRPr="0074405A" w:rsidRDefault="0074405A" w:rsidP="0074405A">
            <w:pPr>
              <w:pStyle w:val="Compact"/>
              <w:jc w:val="center"/>
              <w:rPr>
                <w:sz w:val="20"/>
                <w:szCs w:val="20"/>
              </w:rPr>
            </w:pPr>
            <w:r w:rsidRPr="0074405A">
              <w:rPr>
                <w:sz w:val="20"/>
                <w:szCs w:val="20"/>
              </w:rPr>
              <w:t>-1</w:t>
            </w:r>
          </w:p>
        </w:tc>
      </w:tr>
      <w:tr w:rsidR="0074405A" w:rsidRPr="0074405A" w14:paraId="5F84A9D9" w14:textId="77777777" w:rsidTr="007440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18" w:type="dxa"/>
            <w:vAlign w:val="center"/>
          </w:tcPr>
          <w:p w14:paraId="60BCBA73" w14:textId="77777777" w:rsidR="0074405A" w:rsidRPr="0074405A" w:rsidRDefault="0074405A" w:rsidP="0074405A">
            <w:pPr>
              <w:pStyle w:val="Compact"/>
              <w:rPr>
                <w:sz w:val="20"/>
                <w:szCs w:val="20"/>
              </w:rPr>
            </w:pPr>
            <w:r w:rsidRPr="0074405A">
              <w:rPr>
                <w:sz w:val="20"/>
                <w:szCs w:val="20"/>
              </w:rPr>
              <w:t>Allegamiento</w:t>
            </w:r>
          </w:p>
        </w:tc>
        <w:tc>
          <w:tcPr>
            <w:cnfStyle w:val="000001000000" w:firstRow="0" w:lastRow="0" w:firstColumn="0" w:lastColumn="0" w:oddVBand="0" w:evenVBand="1" w:oddHBand="0" w:evenHBand="0" w:firstRowFirstColumn="0" w:firstRowLastColumn="0" w:lastRowFirstColumn="0" w:lastRowLastColumn="0"/>
            <w:tcW w:w="3018" w:type="dxa"/>
          </w:tcPr>
          <w:p w14:paraId="4349A90A" w14:textId="77777777" w:rsidR="0074405A" w:rsidRPr="0074405A" w:rsidRDefault="0074405A" w:rsidP="0074405A">
            <w:pPr>
              <w:pStyle w:val="Compact"/>
              <w:rPr>
                <w:sz w:val="20"/>
                <w:szCs w:val="20"/>
              </w:rPr>
            </w:pPr>
            <w:r w:rsidRPr="0074405A">
              <w:rPr>
                <w:sz w:val="20"/>
                <w:szCs w:val="20"/>
              </w:rPr>
              <w:t>Hogares allegados por cada 100 viviendas ocupadas</w:t>
            </w:r>
          </w:p>
        </w:tc>
        <w:tc>
          <w:tcPr>
            <w:cnfStyle w:val="000010000000" w:firstRow="0" w:lastRow="0" w:firstColumn="0" w:lastColumn="0" w:oddVBand="1" w:evenVBand="0" w:oddHBand="0" w:evenHBand="0" w:firstRowFirstColumn="0" w:firstRowLastColumn="0" w:lastRowFirstColumn="0" w:lastRowLastColumn="0"/>
            <w:tcW w:w="3018" w:type="dxa"/>
            <w:vAlign w:val="center"/>
          </w:tcPr>
          <w:p w14:paraId="7BE6C79C" w14:textId="77777777" w:rsidR="0074405A" w:rsidRPr="0074405A" w:rsidRDefault="0074405A" w:rsidP="0074405A">
            <w:pPr>
              <w:pStyle w:val="Compact"/>
              <w:jc w:val="center"/>
              <w:rPr>
                <w:sz w:val="20"/>
                <w:szCs w:val="20"/>
              </w:rPr>
            </w:pPr>
            <w:r w:rsidRPr="0074405A">
              <w:rPr>
                <w:sz w:val="20"/>
                <w:szCs w:val="20"/>
              </w:rPr>
              <w:t>-1</w:t>
            </w:r>
          </w:p>
        </w:tc>
      </w:tr>
    </w:tbl>
    <w:p w14:paraId="7F74E589" w14:textId="77777777" w:rsidR="008E1B72" w:rsidRPr="0074405A" w:rsidRDefault="00000000">
      <w:pPr>
        <w:pStyle w:val="Textoindependiente"/>
        <w:rPr>
          <w:sz w:val="20"/>
          <w:szCs w:val="20"/>
        </w:rPr>
      </w:pPr>
      <w:r w:rsidRPr="0074405A">
        <w:rPr>
          <w:sz w:val="20"/>
          <w:szCs w:val="20"/>
        </w:rPr>
        <w:t>Las fórmulas usan los nombres de las variables de la base manzana-entidad del INE.</w:t>
      </w:r>
    </w:p>
    <w:p w14:paraId="4296B4B3" w14:textId="77777777" w:rsidR="008E1B72" w:rsidRPr="0074405A" w:rsidRDefault="00000000">
      <w:pPr>
        <w:pStyle w:val="Textoindependiente"/>
        <w:rPr>
          <w:sz w:val="20"/>
          <w:szCs w:val="20"/>
        </w:rPr>
      </w:pPr>
      <w:r w:rsidRPr="0074405A">
        <w:rPr>
          <w:b/>
          <w:bCs/>
          <w:sz w:val="20"/>
          <w:szCs w:val="20"/>
        </w:rPr>
        <w:t>Escolaridad.</w:t>
      </w:r>
      <w:r w:rsidRPr="0074405A">
        <w:rPr>
          <w:sz w:val="20"/>
          <w:szCs w:val="20"/>
        </w:rPr>
        <w:t xml:space="preserve"> Se usa directamente el promedio que publica el INE:</w:t>
      </w:r>
    </w:p>
    <w:p w14:paraId="2A9F21A7" w14:textId="77777777" w:rsidR="008E1B72" w:rsidRPr="0074405A" w:rsidRDefault="00000000">
      <w:pPr>
        <w:pStyle w:val="Textoindependiente"/>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r>
                <m:rPr>
                  <m:sty m:val="p"/>
                </m:rPr>
                <w:rPr>
                  <w:rFonts w:ascii="Cambria Math" w:hAnsi="Cambria Math"/>
                  <w:sz w:val="20"/>
                  <w:szCs w:val="20"/>
                </w:rPr>
                <m:t>,</m:t>
              </m:r>
              <m:r>
                <m:rPr>
                  <m:nor/>
                </m:rPr>
                <w:rPr>
                  <w:sz w:val="20"/>
                  <w:szCs w:val="20"/>
                </w:rPr>
                <m:t>esc</m:t>
              </m:r>
            </m:sub>
          </m:sSub>
          <m:r>
            <m:rPr>
              <m:sty m:val="p"/>
            </m:rPr>
            <w:rPr>
              <w:rFonts w:ascii="Cambria Math" w:hAnsi="Cambria Math"/>
              <w:sz w:val="20"/>
              <w:szCs w:val="20"/>
            </w:rPr>
            <m:t>=</m:t>
          </m:r>
          <m:sSub>
            <m:sSubPr>
              <m:ctrlPr>
                <w:rPr>
                  <w:rFonts w:ascii="Cambria Math" w:hAnsi="Cambria Math"/>
                  <w:sz w:val="20"/>
                  <w:szCs w:val="20"/>
                </w:rPr>
              </m:ctrlPr>
            </m:sSubPr>
            <m:e>
              <m:r>
                <m:rPr>
                  <m:nor/>
                </m:rPr>
                <w:rPr>
                  <w:rFonts w:ascii="Cambria Math" w:hAnsi="Cambria Math"/>
                  <w:sz w:val="20"/>
                  <w:szCs w:val="20"/>
                </w:rPr>
                <m:t>prom_escolaridad18</m:t>
              </m:r>
            </m:e>
            <m:sub>
              <m:r>
                <w:rPr>
                  <w:rFonts w:ascii="Cambria Math" w:hAnsi="Cambria Math"/>
                  <w:sz w:val="20"/>
                  <w:szCs w:val="20"/>
                </w:rPr>
                <m:t>j</m:t>
              </m:r>
            </m:sub>
          </m:sSub>
        </m:oMath>
      </m:oMathPara>
    </w:p>
    <w:p w14:paraId="35DAC95A" w14:textId="77777777" w:rsidR="008E1B72" w:rsidRPr="0074405A" w:rsidRDefault="00000000">
      <w:pPr>
        <w:pStyle w:val="FirstParagraph"/>
        <w:rPr>
          <w:sz w:val="20"/>
          <w:szCs w:val="20"/>
        </w:rPr>
      </w:pPr>
      <w:r w:rsidRPr="0074405A">
        <w:rPr>
          <w:b/>
          <w:bCs/>
          <w:sz w:val="20"/>
          <w:szCs w:val="20"/>
        </w:rPr>
        <w:t>Educación superior.</w:t>
      </w:r>
      <w:r w:rsidRPr="0074405A">
        <w:rPr>
          <w:sz w:val="20"/>
          <w:szCs w:val="20"/>
        </w:rPr>
        <w:t xml:space="preserve"> El denominador son las personas de 18 años o más, que se obtienen restando a la población total los tramos de 0 a 17 años:</w:t>
      </w:r>
    </w:p>
    <w:p w14:paraId="256B58B0" w14:textId="77777777" w:rsidR="008E1B72" w:rsidRPr="0074405A" w:rsidRDefault="00000000">
      <w:pPr>
        <w:pStyle w:val="Textoindependiente"/>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r>
                <m:rPr>
                  <m:sty m:val="p"/>
                </m:rPr>
                <w:rPr>
                  <w:rFonts w:ascii="Cambria Math" w:hAnsi="Cambria Math"/>
                  <w:sz w:val="20"/>
                  <w:szCs w:val="20"/>
                </w:rPr>
                <m:t>,</m:t>
              </m:r>
              <m:r>
                <m:rPr>
                  <m:nor/>
                </m:rPr>
                <w:rPr>
                  <w:sz w:val="20"/>
                  <w:szCs w:val="20"/>
                </w:rPr>
                <m:t>sup</m:t>
              </m:r>
            </m:sub>
          </m:sSub>
          <m:r>
            <m:rPr>
              <m:sty m:val="p"/>
            </m:rPr>
            <w:rPr>
              <w:rFonts w:ascii="Cambria Math" w:hAnsi="Cambria Math"/>
              <w:sz w:val="20"/>
              <w:szCs w:val="20"/>
            </w:rPr>
            <m:t>=</m:t>
          </m:r>
          <m:r>
            <w:rPr>
              <w:rFonts w:ascii="Cambria Math" w:hAnsi="Cambria Math"/>
              <w:sz w:val="20"/>
              <w:szCs w:val="20"/>
            </w:rPr>
            <m:t>100</m:t>
          </m:r>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nor/>
                    </m:rPr>
                    <w:rPr>
                      <w:rFonts w:ascii="Cambria Math" w:hAnsi="Cambria Math"/>
                      <w:sz w:val="20"/>
                      <w:szCs w:val="20"/>
                    </w:rPr>
                    <m:t>n_cine_terciaria_maestria_doctorado</m:t>
                  </m:r>
                </m:e>
                <m:sub>
                  <m:r>
                    <w:rPr>
                      <w:rFonts w:ascii="Cambria Math" w:hAnsi="Cambria Math"/>
                      <w:sz w:val="20"/>
                      <w:szCs w:val="20"/>
                    </w:rPr>
                    <m:t>j</m:t>
                  </m:r>
                </m:sub>
              </m:sSub>
            </m:num>
            <m:den>
              <m:sSub>
                <m:sSubPr>
                  <m:ctrlPr>
                    <w:rPr>
                      <w:rFonts w:ascii="Cambria Math" w:hAnsi="Cambria Math"/>
                      <w:sz w:val="20"/>
                      <w:szCs w:val="20"/>
                    </w:rPr>
                  </m:ctrlPr>
                </m:sSubPr>
                <m:e>
                  <m:r>
                    <m:rPr>
                      <m:nor/>
                    </m:rPr>
                    <w:rPr>
                      <w:rFonts w:ascii="Cambria Math" w:hAnsi="Cambria Math"/>
                      <w:sz w:val="20"/>
                      <w:szCs w:val="20"/>
                    </w:rPr>
                    <m:t>n_per</m:t>
                  </m:r>
                </m:e>
                <m:sub>
                  <m:r>
                    <w:rPr>
                      <w:rFonts w:ascii="Cambria Math" w:hAnsi="Cambria Math"/>
                      <w:sz w:val="20"/>
                      <w:szCs w:val="20"/>
                    </w:rPr>
                    <m:t>j</m:t>
                  </m:r>
                </m:sub>
              </m:sSub>
              <m:r>
                <m:rPr>
                  <m:sty m:val="p"/>
                </m:rP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m:rPr>
                          <m:nor/>
                        </m:rPr>
                        <w:rPr>
                          <w:rFonts w:ascii="Cambria Math" w:hAnsi="Cambria Math"/>
                          <w:sz w:val="20"/>
                          <w:szCs w:val="20"/>
                        </w:rPr>
                        <m:t>n_edad_0_5</m:t>
                      </m:r>
                    </m:e>
                    <m:sub>
                      <m:r>
                        <w:rPr>
                          <w:rFonts w:ascii="Cambria Math" w:hAnsi="Cambria Math"/>
                          <w:sz w:val="20"/>
                          <w:szCs w:val="20"/>
                        </w:rPr>
                        <m:t>j</m:t>
                      </m:r>
                    </m:sub>
                  </m:sSub>
                  <m:r>
                    <m:rPr>
                      <m:sty m:val="p"/>
                    </m:rPr>
                    <w:rPr>
                      <w:rFonts w:ascii="Cambria Math" w:hAnsi="Cambria Math"/>
                      <w:sz w:val="20"/>
                      <w:szCs w:val="20"/>
                    </w:rPr>
                    <m:t>+</m:t>
                  </m:r>
                  <m:sSub>
                    <m:sSubPr>
                      <m:ctrlPr>
                        <w:rPr>
                          <w:rFonts w:ascii="Cambria Math" w:hAnsi="Cambria Math"/>
                          <w:sz w:val="20"/>
                          <w:szCs w:val="20"/>
                        </w:rPr>
                      </m:ctrlPr>
                    </m:sSubPr>
                    <m:e>
                      <m:r>
                        <m:rPr>
                          <m:nor/>
                        </m:rPr>
                        <w:rPr>
                          <w:rFonts w:ascii="Cambria Math" w:hAnsi="Cambria Math"/>
                          <w:sz w:val="20"/>
                          <w:szCs w:val="20"/>
                        </w:rPr>
                        <m:t>n_edad_6_13</m:t>
                      </m:r>
                    </m:e>
                    <m:sub>
                      <m:r>
                        <w:rPr>
                          <w:rFonts w:ascii="Cambria Math" w:hAnsi="Cambria Math"/>
                          <w:sz w:val="20"/>
                          <w:szCs w:val="20"/>
                        </w:rPr>
                        <m:t>j</m:t>
                      </m:r>
                    </m:sub>
                  </m:sSub>
                  <m:r>
                    <m:rPr>
                      <m:sty m:val="p"/>
                    </m:rPr>
                    <w:rPr>
                      <w:rFonts w:ascii="Cambria Math" w:hAnsi="Cambria Math"/>
                      <w:sz w:val="20"/>
                      <w:szCs w:val="20"/>
                    </w:rPr>
                    <m:t>+</m:t>
                  </m:r>
                  <m:sSub>
                    <m:sSubPr>
                      <m:ctrlPr>
                        <w:rPr>
                          <w:rFonts w:ascii="Cambria Math" w:hAnsi="Cambria Math"/>
                          <w:sz w:val="20"/>
                          <w:szCs w:val="20"/>
                        </w:rPr>
                      </m:ctrlPr>
                    </m:sSubPr>
                    <m:e>
                      <m:r>
                        <m:rPr>
                          <m:nor/>
                        </m:rPr>
                        <w:rPr>
                          <w:rFonts w:ascii="Cambria Math" w:hAnsi="Cambria Math"/>
                          <w:sz w:val="20"/>
                          <w:szCs w:val="20"/>
                        </w:rPr>
                        <m:t>n_edad_14_17</m:t>
                      </m:r>
                    </m:e>
                    <m:sub>
                      <m:r>
                        <w:rPr>
                          <w:rFonts w:ascii="Cambria Math" w:hAnsi="Cambria Math"/>
                          <w:sz w:val="20"/>
                          <w:szCs w:val="20"/>
                        </w:rPr>
                        <m:t>j</m:t>
                      </m:r>
                    </m:sub>
                  </m:sSub>
                </m:e>
              </m:d>
            </m:den>
          </m:f>
        </m:oMath>
      </m:oMathPara>
    </w:p>
    <w:p w14:paraId="22362D5C" w14:textId="77777777" w:rsidR="008E1B72" w:rsidRPr="0074405A" w:rsidRDefault="00000000">
      <w:pPr>
        <w:pStyle w:val="FirstParagraph"/>
        <w:rPr>
          <w:sz w:val="20"/>
          <w:szCs w:val="20"/>
        </w:rPr>
      </w:pPr>
      <w:r w:rsidRPr="0074405A">
        <w:rPr>
          <w:b/>
          <w:bCs/>
          <w:sz w:val="20"/>
          <w:szCs w:val="20"/>
        </w:rPr>
        <w:lastRenderedPageBreak/>
        <w:t>Directivos y profesionales.</w:t>
      </w:r>
      <w:r w:rsidRPr="0074405A">
        <w:rPr>
          <w:sz w:val="20"/>
          <w:szCs w:val="20"/>
        </w:rPr>
        <w:t xml:space="preserve"> CIUO 1 corresponde a directores, gerentes y administradores; CIUO 2, a profesionales, científicos e intelectuales:</w:t>
      </w:r>
    </w:p>
    <w:p w14:paraId="1376D899" w14:textId="77777777" w:rsidR="008E1B72" w:rsidRPr="0074405A" w:rsidRDefault="00000000">
      <w:pPr>
        <w:pStyle w:val="Textoindependiente"/>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r>
                <m:rPr>
                  <m:sty m:val="p"/>
                </m:rPr>
                <w:rPr>
                  <w:rFonts w:ascii="Cambria Math" w:hAnsi="Cambria Math"/>
                  <w:sz w:val="20"/>
                  <w:szCs w:val="20"/>
                </w:rPr>
                <m:t>,</m:t>
              </m:r>
              <m:r>
                <m:rPr>
                  <m:nor/>
                </m:rPr>
                <w:rPr>
                  <w:sz w:val="20"/>
                  <w:szCs w:val="20"/>
                </w:rPr>
                <m:t>prof</m:t>
              </m:r>
            </m:sub>
          </m:sSub>
          <m:r>
            <m:rPr>
              <m:sty m:val="p"/>
            </m:rPr>
            <w:rPr>
              <w:rFonts w:ascii="Cambria Math" w:hAnsi="Cambria Math"/>
              <w:sz w:val="20"/>
              <w:szCs w:val="20"/>
            </w:rPr>
            <m:t>=100⋅</m:t>
          </m:r>
          <m:f>
            <m:fPr>
              <m:ctrlPr>
                <w:rPr>
                  <w:rFonts w:ascii="Cambria Math" w:hAnsi="Cambria Math"/>
                  <w:sz w:val="20"/>
                  <w:szCs w:val="20"/>
                </w:rPr>
              </m:ctrlPr>
            </m:fPr>
            <m:num>
              <m:sSub>
                <m:sSubPr>
                  <m:ctrlPr>
                    <w:rPr>
                      <w:rFonts w:ascii="Cambria Math" w:hAnsi="Cambria Math"/>
                      <w:sz w:val="20"/>
                      <w:szCs w:val="20"/>
                    </w:rPr>
                  </m:ctrlPr>
                </m:sSubPr>
                <m:e>
                  <m:r>
                    <m:rPr>
                      <m:nor/>
                    </m:rPr>
                    <w:rPr>
                      <w:rFonts w:ascii="Cambria Math" w:hAnsi="Cambria Math"/>
                      <w:sz w:val="20"/>
                      <w:szCs w:val="20"/>
                    </w:rPr>
                    <m:t>n_ciuo_1</m:t>
                  </m:r>
                </m:e>
                <m:sub>
                  <m:r>
                    <w:rPr>
                      <w:rFonts w:ascii="Cambria Math" w:hAnsi="Cambria Math"/>
                      <w:sz w:val="20"/>
                      <w:szCs w:val="20"/>
                    </w:rPr>
                    <m:t>j</m:t>
                  </m:r>
                </m:sub>
              </m:sSub>
              <m:r>
                <m:rPr>
                  <m:sty m:val="p"/>
                </m:rPr>
                <w:rPr>
                  <w:rFonts w:ascii="Cambria Math" w:hAnsi="Cambria Math"/>
                  <w:sz w:val="20"/>
                  <w:szCs w:val="20"/>
                </w:rPr>
                <m:t>+</m:t>
              </m:r>
              <m:sSub>
                <m:sSubPr>
                  <m:ctrlPr>
                    <w:rPr>
                      <w:rFonts w:ascii="Cambria Math" w:hAnsi="Cambria Math"/>
                      <w:sz w:val="20"/>
                      <w:szCs w:val="20"/>
                    </w:rPr>
                  </m:ctrlPr>
                </m:sSubPr>
                <m:e>
                  <m:r>
                    <m:rPr>
                      <m:nor/>
                    </m:rPr>
                    <w:rPr>
                      <w:rFonts w:ascii="Cambria Math" w:hAnsi="Cambria Math"/>
                      <w:sz w:val="20"/>
                      <w:szCs w:val="20"/>
                    </w:rPr>
                    <m:t>n_ciuo_2</m:t>
                  </m:r>
                </m:e>
                <m:sub>
                  <m:r>
                    <w:rPr>
                      <w:rFonts w:ascii="Cambria Math" w:hAnsi="Cambria Math"/>
                      <w:sz w:val="20"/>
                      <w:szCs w:val="20"/>
                    </w:rPr>
                    <m:t>j</m:t>
                  </m:r>
                </m:sub>
              </m:sSub>
            </m:num>
            <m:den>
              <m:sSub>
                <m:sSubPr>
                  <m:ctrlPr>
                    <w:rPr>
                      <w:rFonts w:ascii="Cambria Math" w:hAnsi="Cambria Math"/>
                      <w:sz w:val="20"/>
                      <w:szCs w:val="20"/>
                    </w:rPr>
                  </m:ctrlPr>
                </m:sSubPr>
                <m:e>
                  <m:r>
                    <m:rPr>
                      <m:nor/>
                    </m:rPr>
                    <w:rPr>
                      <w:rFonts w:ascii="Cambria Math" w:hAnsi="Cambria Math"/>
                      <w:sz w:val="20"/>
                      <w:szCs w:val="20"/>
                    </w:rPr>
                    <m:t>n_ocupado</m:t>
                  </m:r>
                </m:e>
                <m:sub>
                  <m:r>
                    <w:rPr>
                      <w:rFonts w:ascii="Cambria Math" w:hAnsi="Cambria Math"/>
                      <w:sz w:val="20"/>
                      <w:szCs w:val="20"/>
                    </w:rPr>
                    <m:t>j</m:t>
                  </m:r>
                </m:sub>
              </m:sSub>
            </m:den>
          </m:f>
        </m:oMath>
      </m:oMathPara>
    </w:p>
    <w:p w14:paraId="51602592" w14:textId="77777777" w:rsidR="008E1B72" w:rsidRPr="0074405A" w:rsidRDefault="00000000">
      <w:pPr>
        <w:pStyle w:val="FirstParagraph"/>
        <w:rPr>
          <w:sz w:val="20"/>
          <w:szCs w:val="20"/>
        </w:rPr>
      </w:pPr>
      <w:r w:rsidRPr="0074405A">
        <w:rPr>
          <w:b/>
          <w:bCs/>
          <w:sz w:val="20"/>
          <w:szCs w:val="20"/>
        </w:rPr>
        <w:t>Computador:</w:t>
      </w:r>
    </w:p>
    <w:p w14:paraId="708E3085" w14:textId="77777777" w:rsidR="008E1B72" w:rsidRPr="001E11F4" w:rsidRDefault="00000000">
      <w:pPr>
        <w:pStyle w:val="Textoindependiente"/>
        <w:rPr>
          <w:rFonts w:ascii="Cambria Math" w:hAnsi="Cambria Math"/>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r>
                <m:rPr>
                  <m:sty m:val="p"/>
                </m:rPr>
                <w:rPr>
                  <w:rFonts w:ascii="Cambria Math" w:hAnsi="Cambria Math"/>
                  <w:sz w:val="20"/>
                  <w:szCs w:val="20"/>
                </w:rPr>
                <m:t>,</m:t>
              </m:r>
              <m:r>
                <m:rPr>
                  <m:nor/>
                </m:rPr>
                <w:rPr>
                  <w:sz w:val="20"/>
                  <w:szCs w:val="20"/>
                </w:rPr>
                <m:t>comp</m:t>
              </m:r>
            </m:sub>
          </m:sSub>
          <m:r>
            <m:rPr>
              <m:sty m:val="p"/>
            </m:rPr>
            <w:rPr>
              <w:rFonts w:ascii="Cambria Math" w:hAnsi="Cambria Math"/>
              <w:sz w:val="20"/>
              <w:szCs w:val="20"/>
            </w:rPr>
            <m:t>=100⋅</m:t>
          </m:r>
          <m:f>
            <m:fPr>
              <m:ctrlPr>
                <w:rPr>
                  <w:rFonts w:ascii="Cambria Math" w:hAnsi="Cambria Math"/>
                  <w:sz w:val="20"/>
                  <w:szCs w:val="20"/>
                </w:rPr>
              </m:ctrlPr>
            </m:fPr>
            <m:num>
              <m:sSub>
                <m:sSubPr>
                  <m:ctrlPr>
                    <w:rPr>
                      <w:rFonts w:ascii="Cambria Math" w:hAnsi="Cambria Math"/>
                      <w:sz w:val="20"/>
                      <w:szCs w:val="20"/>
                    </w:rPr>
                  </m:ctrlPr>
                </m:sSubPr>
                <m:e>
                  <m:r>
                    <m:rPr>
                      <m:nor/>
                    </m:rPr>
                    <w:rPr>
                      <w:rFonts w:ascii="Cambria Math" w:hAnsi="Cambria Math"/>
                      <w:sz w:val="20"/>
                      <w:szCs w:val="20"/>
                    </w:rPr>
                    <m:t>n_serv_compu</m:t>
                  </m:r>
                </m:e>
                <m:sub>
                  <m:r>
                    <w:rPr>
                      <w:rFonts w:ascii="Cambria Math" w:hAnsi="Cambria Math"/>
                      <w:sz w:val="20"/>
                      <w:szCs w:val="20"/>
                    </w:rPr>
                    <m:t>j</m:t>
                  </m:r>
                </m:sub>
              </m:sSub>
            </m:num>
            <m:den>
              <m:sSub>
                <m:sSubPr>
                  <m:ctrlPr>
                    <w:rPr>
                      <w:rFonts w:ascii="Cambria Math" w:hAnsi="Cambria Math"/>
                      <w:sz w:val="20"/>
                      <w:szCs w:val="20"/>
                    </w:rPr>
                  </m:ctrlPr>
                </m:sSubPr>
                <m:e>
                  <m:r>
                    <m:rPr>
                      <m:nor/>
                    </m:rPr>
                    <w:rPr>
                      <w:rFonts w:ascii="Cambria Math" w:hAnsi="Cambria Math"/>
                      <w:sz w:val="20"/>
                      <w:szCs w:val="20"/>
                    </w:rPr>
                    <m:t>n_hog</m:t>
                  </m:r>
                </m:e>
                <m:sub>
                  <m:r>
                    <w:rPr>
                      <w:rFonts w:ascii="Cambria Math" w:hAnsi="Cambria Math"/>
                      <w:sz w:val="20"/>
                      <w:szCs w:val="20"/>
                    </w:rPr>
                    <m:t>j</m:t>
                  </m:r>
                </m:sub>
              </m:sSub>
            </m:den>
          </m:f>
        </m:oMath>
      </m:oMathPara>
    </w:p>
    <w:p w14:paraId="19E86065" w14:textId="77777777" w:rsidR="008E1B72" w:rsidRPr="0074405A" w:rsidRDefault="00000000" w:rsidP="001E11F4">
      <w:pPr>
        <w:pStyle w:val="FirstParagraph"/>
        <w:jc w:val="both"/>
        <w:rPr>
          <w:sz w:val="20"/>
          <w:szCs w:val="20"/>
        </w:rPr>
      </w:pPr>
      <w:r w:rsidRPr="0074405A">
        <w:rPr>
          <w:b/>
          <w:bCs/>
          <w:sz w:val="20"/>
          <w:szCs w:val="20"/>
        </w:rPr>
        <w:t>Hacinamiento y allegamiento.</w:t>
      </w:r>
      <w:r w:rsidRPr="0074405A">
        <w:rPr>
          <w:sz w:val="20"/>
          <w:szCs w:val="20"/>
        </w:rPr>
        <w:t xml:space="preserve"> El universo del INE para estas variables son las viviendas particulares ocupadas con moradores presentes. Ese total no viene como columna propia, por lo que se reconstruye sumando los tipos de vivienda:</w:t>
      </w:r>
    </w:p>
    <w:p w14:paraId="02C6C2C2" w14:textId="77777777" w:rsidR="008E1B72" w:rsidRPr="001E11F4" w:rsidRDefault="00000000">
      <w:pPr>
        <w:pStyle w:val="Textoindependiente"/>
        <w:rPr>
          <w:rFonts w:ascii="Cambria Math" w:hAnsi="Cambria Math"/>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j</m:t>
              </m:r>
            </m:sub>
          </m:sSub>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T</m:t>
              </m:r>
            </m:sub>
            <m:sup>
              <m:r>
                <m:rPr>
                  <m:sty m:val="p"/>
                </m:rPr>
                <w:rPr>
                  <w:rFonts w:ascii="Cambria Math" w:hAnsi="Cambria Math"/>
                  <w:sz w:val="20"/>
                  <w:szCs w:val="20"/>
                </w:rPr>
                <m:t>​</m:t>
              </m:r>
            </m:sup>
            <m:e>
              <m:r>
                <m:rPr>
                  <m:nor/>
                </m:rPr>
                <w:rPr>
                  <w:rFonts w:ascii="Cambria Math" w:hAnsi="Cambria Math"/>
                  <w:sz w:val="20"/>
                  <w:szCs w:val="20"/>
                </w:rPr>
                <m:t>n_tipo_viv_</m:t>
              </m:r>
            </m:e>
          </m:nary>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j</m:t>
              </m:r>
            </m:sub>
          </m:sSub>
          <m:r>
            <m:rPr>
              <m:sty m:val="p"/>
            </m:rPr>
            <w:rPr>
              <w:rFonts w:ascii="Cambria Math" w:hAnsi="Cambria Math"/>
              <w:sz w:val="20"/>
              <w:szCs w:val="20"/>
            </w:rPr>
            <m:t>,  </m:t>
          </m:r>
          <m:r>
            <w:rPr>
              <w:rFonts w:ascii="Cambria Math" w:hAnsi="Cambria Math"/>
              <w:sz w:val="20"/>
              <w:szCs w:val="20"/>
            </w:rPr>
            <m:t>T</m:t>
          </m:r>
          <m:r>
            <m:rPr>
              <m:sty m:val="p"/>
            </m:rPr>
            <w:rPr>
              <w:rFonts w:ascii="Cambria Math" w:hAnsi="Cambria Math"/>
              <w:sz w:val="20"/>
              <w:szCs w:val="20"/>
            </w:rPr>
            <m:t>={</m:t>
          </m:r>
          <m:r>
            <m:rPr>
              <m:nor/>
            </m:rPr>
            <w:rPr>
              <w:rFonts w:ascii="Cambria Math" w:hAnsi="Cambria Math"/>
              <w:sz w:val="20"/>
              <w:szCs w:val="20"/>
            </w:rPr>
            <m:t>casa, depto, indígena, pieza, mediagua, móvil, otro</m:t>
          </m:r>
          <m:r>
            <m:rPr>
              <m:sty m:val="p"/>
            </m:rPr>
            <w:rPr>
              <w:rFonts w:ascii="Cambria Math" w:hAnsi="Cambria Math"/>
              <w:sz w:val="20"/>
              <w:szCs w:val="20"/>
            </w:rPr>
            <m:t>}</m:t>
          </m:r>
        </m:oMath>
      </m:oMathPara>
    </w:p>
    <w:p w14:paraId="1E2A4B92" w14:textId="77777777" w:rsidR="008E1B72" w:rsidRPr="001E11F4" w:rsidRDefault="00000000">
      <w:pPr>
        <w:pStyle w:val="FirstParagraph"/>
        <w:rPr>
          <w:rFonts w:ascii="Cambria Math" w:hAnsi="Cambria Math"/>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r>
                <m:rPr>
                  <m:sty m:val="p"/>
                </m:rPr>
                <w:rPr>
                  <w:rFonts w:ascii="Cambria Math" w:hAnsi="Cambria Math"/>
                  <w:sz w:val="20"/>
                  <w:szCs w:val="20"/>
                </w:rPr>
                <m:t>,</m:t>
              </m:r>
              <m:r>
                <m:rPr>
                  <m:nor/>
                </m:rPr>
                <w:rPr>
                  <w:rFonts w:ascii="Cambria Math" w:hAnsi="Cambria Math"/>
                  <w:sz w:val="20"/>
                  <w:szCs w:val="20"/>
                </w:rPr>
                <m:t>hac</m:t>
              </m:r>
            </m:sub>
          </m:sSub>
          <m:r>
            <m:rPr>
              <m:sty m:val="p"/>
            </m:rPr>
            <w:rPr>
              <w:rFonts w:ascii="Cambria Math" w:hAnsi="Cambria Math"/>
              <w:sz w:val="20"/>
              <w:szCs w:val="20"/>
            </w:rPr>
            <m:t>=100⋅</m:t>
          </m:r>
          <m:f>
            <m:fPr>
              <m:ctrlPr>
                <w:rPr>
                  <w:rFonts w:ascii="Cambria Math" w:hAnsi="Cambria Math"/>
                  <w:sz w:val="20"/>
                  <w:szCs w:val="20"/>
                </w:rPr>
              </m:ctrlPr>
            </m:fPr>
            <m:num>
              <m:sSub>
                <m:sSubPr>
                  <m:ctrlPr>
                    <w:rPr>
                      <w:rFonts w:ascii="Cambria Math" w:hAnsi="Cambria Math"/>
                      <w:sz w:val="20"/>
                      <w:szCs w:val="20"/>
                    </w:rPr>
                  </m:ctrlPr>
                </m:sSubPr>
                <m:e>
                  <m:r>
                    <m:rPr>
                      <m:nor/>
                    </m:rPr>
                    <w:rPr>
                      <w:rFonts w:ascii="Cambria Math" w:hAnsi="Cambria Math"/>
                      <w:sz w:val="20"/>
                      <w:szCs w:val="20"/>
                    </w:rPr>
                    <m:t>n_viv_hacinadas</m:t>
                  </m:r>
                </m:e>
                <m:sub>
                  <m:r>
                    <w:rPr>
                      <w:rFonts w:ascii="Cambria Math" w:hAnsi="Cambria Math"/>
                      <w:sz w:val="20"/>
                      <w:szCs w:val="20"/>
                    </w:rPr>
                    <m:t>j</m:t>
                  </m:r>
                </m:sub>
              </m:sSub>
            </m:num>
            <m:den>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j</m:t>
                  </m:r>
                </m:sub>
              </m:sSub>
            </m:den>
          </m:f>
          <m:r>
            <m:rPr>
              <m:sty m:val="p"/>
            </m:rP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r>
                <m:rPr>
                  <m:sty m:val="p"/>
                </m:rPr>
                <w:rPr>
                  <w:rFonts w:ascii="Cambria Math" w:hAnsi="Cambria Math"/>
                  <w:sz w:val="20"/>
                  <w:szCs w:val="20"/>
                </w:rPr>
                <m:t>,</m:t>
              </m:r>
              <m:r>
                <m:rPr>
                  <m:nor/>
                </m:rPr>
                <w:rPr>
                  <w:rFonts w:ascii="Cambria Math" w:hAnsi="Cambria Math"/>
                  <w:sz w:val="20"/>
                  <w:szCs w:val="20"/>
                </w:rPr>
                <m:t>all</m:t>
              </m:r>
            </m:sub>
          </m:sSub>
          <m:r>
            <m:rPr>
              <m:sty m:val="p"/>
            </m:rPr>
            <w:rPr>
              <w:rFonts w:ascii="Cambria Math" w:hAnsi="Cambria Math"/>
              <w:sz w:val="20"/>
              <w:szCs w:val="20"/>
            </w:rPr>
            <m:t>=100⋅</m:t>
          </m:r>
          <m:f>
            <m:fPr>
              <m:ctrlPr>
                <w:rPr>
                  <w:rFonts w:ascii="Cambria Math" w:hAnsi="Cambria Math"/>
                  <w:sz w:val="20"/>
                  <w:szCs w:val="20"/>
                </w:rPr>
              </m:ctrlPr>
            </m:fPr>
            <m:num>
              <m:sSub>
                <m:sSubPr>
                  <m:ctrlPr>
                    <w:rPr>
                      <w:rFonts w:ascii="Cambria Math" w:hAnsi="Cambria Math"/>
                      <w:sz w:val="20"/>
                      <w:szCs w:val="20"/>
                    </w:rPr>
                  </m:ctrlPr>
                </m:sSubPr>
                <m:e>
                  <m:r>
                    <m:rPr>
                      <m:nor/>
                    </m:rPr>
                    <w:rPr>
                      <w:rFonts w:ascii="Cambria Math" w:hAnsi="Cambria Math"/>
                      <w:sz w:val="20"/>
                      <w:szCs w:val="20"/>
                    </w:rPr>
                    <m:t>n_hog_allegados</m:t>
                  </m:r>
                </m:e>
                <m:sub>
                  <m:r>
                    <w:rPr>
                      <w:rFonts w:ascii="Cambria Math" w:hAnsi="Cambria Math"/>
                      <w:sz w:val="20"/>
                      <w:szCs w:val="20"/>
                    </w:rPr>
                    <m:t>j</m:t>
                  </m:r>
                </m:sub>
              </m:sSub>
            </m:num>
            <m:den>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j</m:t>
                  </m:r>
                </m:sub>
              </m:sSub>
            </m:den>
          </m:f>
        </m:oMath>
      </m:oMathPara>
    </w:p>
    <w:p w14:paraId="57A1D145" w14:textId="77777777" w:rsidR="008E1B72" w:rsidRPr="0074405A" w:rsidRDefault="00000000">
      <w:pPr>
        <w:pStyle w:val="FirstParagraph"/>
        <w:rPr>
          <w:sz w:val="20"/>
          <w:szCs w:val="20"/>
        </w:rPr>
      </w:pPr>
      <w:r w:rsidRPr="0074405A">
        <w:rPr>
          <w:sz w:val="20"/>
          <w:szCs w:val="20"/>
        </w:rPr>
        <w:t xml:space="preserve">El hacinamiento y el allegamiento siguen las definiciones del INE. Como una vivienda puede tener más de un hogar allegado,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r>
              <m:rPr>
                <m:sty m:val="p"/>
              </m:rPr>
              <w:rPr>
                <w:rFonts w:ascii="Cambria Math" w:hAnsi="Cambria Math"/>
                <w:sz w:val="20"/>
                <w:szCs w:val="20"/>
              </w:rPr>
              <m:t>,</m:t>
            </m:r>
            <m:r>
              <m:rPr>
                <m:nor/>
              </m:rPr>
              <w:rPr>
                <w:sz w:val="20"/>
                <w:szCs w:val="20"/>
              </w:rPr>
              <m:t>all</m:t>
            </m:r>
          </m:sub>
        </m:sSub>
      </m:oMath>
      <w:r w:rsidRPr="0074405A">
        <w:rPr>
          <w:sz w:val="20"/>
          <w:szCs w:val="20"/>
        </w:rPr>
        <w:t xml:space="preserve"> es una tasa por cada 100 viviendas y no un porcentaje acotado en 100.</w:t>
      </w:r>
    </w:p>
    <w:p w14:paraId="75E61B81" w14:textId="77777777" w:rsidR="008E1B72" w:rsidRPr="0074405A" w:rsidRDefault="00000000">
      <w:pPr>
        <w:pStyle w:val="Textoindependiente"/>
        <w:rPr>
          <w:sz w:val="20"/>
          <w:szCs w:val="20"/>
        </w:rPr>
      </w:pPr>
      <w:r w:rsidRPr="0074405A">
        <w:rPr>
          <w:b/>
          <w:bCs/>
          <w:sz w:val="20"/>
          <w:szCs w:val="20"/>
        </w:rPr>
        <w:t>Paredes precarias.</w:t>
      </w:r>
      <w:r w:rsidRPr="0074405A">
        <w:rPr>
          <w:sz w:val="20"/>
          <w:szCs w:val="20"/>
        </w:rPr>
        <w:t xml:space="preserve"> Se consideran precarias las paredes de tabique sin forro interior, las de adobe, barro, pirca, quincha u otros materiales artesanales, y las de materiales precarios o de desecho. El denominador es la suma de todas las categorías de materialidad de paredes:</w:t>
      </w:r>
    </w:p>
    <w:p w14:paraId="17BA2318" w14:textId="77777777" w:rsidR="008E1B72" w:rsidRPr="0074405A" w:rsidRDefault="00000000">
      <w:pPr>
        <w:pStyle w:val="Textoindependiente"/>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r>
                <m:rPr>
                  <m:sty m:val="p"/>
                </m:rPr>
                <w:rPr>
                  <w:rFonts w:ascii="Cambria Math" w:hAnsi="Cambria Math"/>
                  <w:sz w:val="20"/>
                  <w:szCs w:val="20"/>
                </w:rPr>
                <m:t>,</m:t>
              </m:r>
              <m:r>
                <m:rPr>
                  <m:nor/>
                </m:rPr>
                <w:rPr>
                  <w:sz w:val="20"/>
                  <w:szCs w:val="20"/>
                </w:rPr>
                <m:t>prec</m:t>
              </m:r>
            </m:sub>
          </m:sSub>
          <m:r>
            <m:rPr>
              <m:sty m:val="p"/>
            </m:rPr>
            <w:rPr>
              <w:rFonts w:ascii="Cambria Math" w:hAnsi="Cambria Math"/>
              <w:sz w:val="20"/>
              <w:szCs w:val="20"/>
            </w:rPr>
            <m:t>=100⋅</m:t>
          </m:r>
          <m:f>
            <m:fPr>
              <m:ctrlPr>
                <w:rPr>
                  <w:rFonts w:ascii="Cambria Math" w:hAnsi="Cambria Math"/>
                  <w:sz w:val="20"/>
                  <w:szCs w:val="20"/>
                </w:rPr>
              </m:ctrlPr>
            </m:fPr>
            <m:num>
              <m:sSub>
                <m:sSubPr>
                  <m:ctrlPr>
                    <w:rPr>
                      <w:rFonts w:ascii="Cambria Math" w:hAnsi="Cambria Math"/>
                      <w:sz w:val="20"/>
                      <w:szCs w:val="20"/>
                    </w:rPr>
                  </m:ctrlPr>
                </m:sSubPr>
                <m:e>
                  <m:r>
                    <m:rPr>
                      <m:nor/>
                    </m:rPr>
                    <w:rPr>
                      <w:rFonts w:ascii="Cambria Math" w:hAnsi="Cambria Math"/>
                      <w:sz w:val="20"/>
                      <w:szCs w:val="20"/>
                    </w:rPr>
                    <m:t>tabique_sin_forro</m:t>
                  </m:r>
                </m:e>
                <m:sub>
                  <m:r>
                    <w:rPr>
                      <w:rFonts w:ascii="Cambria Math" w:hAnsi="Cambria Math"/>
                      <w:sz w:val="20"/>
                      <w:szCs w:val="20"/>
                    </w:rPr>
                    <m:t>j</m:t>
                  </m:r>
                </m:sub>
              </m:sSub>
              <m:r>
                <m:rPr>
                  <m:sty m:val="p"/>
                </m:rPr>
                <w:rPr>
                  <w:rFonts w:ascii="Cambria Math" w:hAnsi="Cambria Math"/>
                  <w:sz w:val="20"/>
                  <w:szCs w:val="20"/>
                </w:rPr>
                <m:t>+</m:t>
              </m:r>
              <m:sSub>
                <m:sSubPr>
                  <m:ctrlPr>
                    <w:rPr>
                      <w:rFonts w:ascii="Cambria Math" w:hAnsi="Cambria Math"/>
                      <w:sz w:val="20"/>
                      <w:szCs w:val="20"/>
                    </w:rPr>
                  </m:ctrlPr>
                </m:sSubPr>
                <m:e>
                  <m:r>
                    <m:rPr>
                      <m:nor/>
                    </m:rPr>
                    <w:rPr>
                      <w:rFonts w:ascii="Cambria Math" w:hAnsi="Cambria Math"/>
                      <w:sz w:val="20"/>
                      <w:szCs w:val="20"/>
                    </w:rPr>
                    <m:t>artesanal</m:t>
                  </m:r>
                </m:e>
                <m:sub>
                  <m:r>
                    <w:rPr>
                      <w:rFonts w:ascii="Cambria Math" w:hAnsi="Cambria Math"/>
                      <w:sz w:val="20"/>
                      <w:szCs w:val="20"/>
                    </w:rPr>
                    <m:t>j</m:t>
                  </m:r>
                </m:sub>
              </m:sSub>
              <m:r>
                <m:rPr>
                  <m:sty m:val="p"/>
                </m:rPr>
                <w:rPr>
                  <w:rFonts w:ascii="Cambria Math" w:hAnsi="Cambria Math"/>
                  <w:sz w:val="20"/>
                  <w:szCs w:val="20"/>
                </w:rPr>
                <m:t>+</m:t>
              </m:r>
              <m:sSub>
                <m:sSubPr>
                  <m:ctrlPr>
                    <w:rPr>
                      <w:rFonts w:ascii="Cambria Math" w:hAnsi="Cambria Math"/>
                      <w:sz w:val="20"/>
                      <w:szCs w:val="20"/>
                    </w:rPr>
                  </m:ctrlPr>
                </m:sSubPr>
                <m:e>
                  <m:r>
                    <m:rPr>
                      <m:nor/>
                    </m:rPr>
                    <w:rPr>
                      <w:rFonts w:ascii="Cambria Math" w:hAnsi="Cambria Math"/>
                      <w:sz w:val="20"/>
                      <w:szCs w:val="20"/>
                    </w:rPr>
                    <m:t>precarios</m:t>
                  </m:r>
                </m:e>
                <m:sub>
                  <m:r>
                    <w:rPr>
                      <w:rFonts w:ascii="Cambria Math" w:hAnsi="Cambria Math"/>
                      <w:sz w:val="20"/>
                      <w:szCs w:val="20"/>
                    </w:rPr>
                    <m:t>j</m:t>
                  </m:r>
                </m:sub>
              </m:sSub>
            </m:num>
            <m:den>
              <m:nary>
                <m:naryPr>
                  <m:chr m:val="∑"/>
                  <m:limLoc m:val="undOvr"/>
                  <m:supHide m:val="1"/>
                  <m:ctrlPr>
                    <w:rPr>
                      <w:rFonts w:ascii="Cambria Math" w:hAnsi="Cambria Math"/>
                      <w:sz w:val="20"/>
                      <w:szCs w:val="20"/>
                    </w:rPr>
                  </m:ctrlPr>
                </m:naryPr>
                <m:sub>
                  <m:r>
                    <w:rPr>
                      <w:rFonts w:ascii="Cambria Math" w:hAnsi="Cambria Math"/>
                      <w:sz w:val="20"/>
                      <w:szCs w:val="20"/>
                    </w:rPr>
                    <m:t>m</m:t>
                  </m:r>
                  <m:r>
                    <m:rPr>
                      <m:sty m:val="p"/>
                    </m:rPr>
                    <w:rPr>
                      <w:rFonts w:ascii="Cambria Math" w:hAnsi="Cambria Math"/>
                      <w:sz w:val="20"/>
                      <w:szCs w:val="20"/>
                    </w:rPr>
                    <m:t>∈</m:t>
                  </m:r>
                  <m:r>
                    <w:rPr>
                      <w:rFonts w:ascii="Cambria Math" w:hAnsi="Cambria Math"/>
                      <w:sz w:val="20"/>
                      <w:szCs w:val="20"/>
                    </w:rPr>
                    <m:t>M</m:t>
                  </m:r>
                </m:sub>
                <m:sup>
                  <m:r>
                    <m:rPr>
                      <m:sty m:val="p"/>
                    </m:rPr>
                    <w:rPr>
                      <w:rFonts w:ascii="Cambria Math" w:hAnsi="Cambria Math"/>
                      <w:sz w:val="20"/>
                      <w:szCs w:val="20"/>
                    </w:rPr>
                    <m:t>​</m:t>
                  </m:r>
                </m:sup>
                <m:e>
                  <m:r>
                    <m:rPr>
                      <m:nor/>
                    </m:rPr>
                    <w:rPr>
                      <w:rFonts w:ascii="Cambria Math" w:hAnsi="Cambria Math"/>
                      <w:sz w:val="20"/>
                      <w:szCs w:val="20"/>
                    </w:rPr>
                    <m:t>n_mat_paredes_</m:t>
                  </m:r>
                </m:e>
              </m:nary>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j</m:t>
                  </m:r>
                </m:sub>
              </m:sSub>
            </m:den>
          </m:f>
        </m:oMath>
      </m:oMathPara>
    </w:p>
    <w:p w14:paraId="5AE113AD" w14:textId="77777777" w:rsidR="008E1B72" w:rsidRPr="0074405A" w:rsidRDefault="00000000">
      <w:pPr>
        <w:pStyle w:val="FirstParagraph"/>
        <w:rPr>
          <w:sz w:val="20"/>
          <w:szCs w:val="20"/>
        </w:rPr>
      </w:pPr>
      <w:r w:rsidRPr="0074405A">
        <w:rPr>
          <w:sz w:val="20"/>
          <w:szCs w:val="20"/>
        </w:rPr>
        <w:t xml:space="preserve">donde </w:t>
      </w:r>
      <m:oMath>
        <m:r>
          <w:rPr>
            <w:rFonts w:ascii="Cambria Math" w:hAnsi="Cambria Math"/>
            <w:sz w:val="20"/>
            <w:szCs w:val="20"/>
          </w:rPr>
          <m:t>M</m:t>
        </m:r>
      </m:oMath>
      <w:r w:rsidRPr="0074405A">
        <w:rPr>
          <w:sz w:val="20"/>
          <w:szCs w:val="20"/>
        </w:rPr>
        <w:t xml:space="preserve"> = {hormigón, albañilería, tabique forrado, tabique sin forro, artesanal, precarios}.</w:t>
      </w:r>
    </w:p>
    <w:p w14:paraId="07BCCA63" w14:textId="77777777" w:rsidR="008E1B72" w:rsidRPr="0074405A" w:rsidRDefault="001E11F4">
      <w:pPr>
        <w:pStyle w:val="Textoindependiente"/>
        <w:rPr>
          <w:sz w:val="20"/>
          <w:szCs w:val="20"/>
        </w:rPr>
      </w:pPr>
      <w:r>
        <w:rPr>
          <w:b/>
          <w:bCs/>
          <w:sz w:val="20"/>
          <w:szCs w:val="20"/>
        </w:rPr>
        <w:t>Sobre</w:t>
      </w:r>
      <w:r w:rsidRPr="0074405A">
        <w:rPr>
          <w:b/>
          <w:bCs/>
          <w:sz w:val="20"/>
          <w:szCs w:val="20"/>
        </w:rPr>
        <w:t xml:space="preserve"> datos faltantes:</w:t>
      </w:r>
    </w:p>
    <w:p w14:paraId="70ACF913" w14:textId="77777777" w:rsidR="008E1B72" w:rsidRPr="0074405A" w:rsidRDefault="00000000">
      <w:pPr>
        <w:pStyle w:val="Compact"/>
        <w:numPr>
          <w:ilvl w:val="0"/>
          <w:numId w:val="3"/>
        </w:numPr>
        <w:rPr>
          <w:sz w:val="20"/>
          <w:szCs w:val="20"/>
        </w:rPr>
      </w:pPr>
      <w:r w:rsidRPr="0074405A">
        <w:rPr>
          <w:sz w:val="20"/>
          <w:szCs w:val="20"/>
        </w:rPr>
        <w:t>Si el numerador fue suprimido por el INE, el componente queda sin dato. No se reemplaza por cero.</w:t>
      </w:r>
    </w:p>
    <w:p w14:paraId="36DC4830" w14:textId="77777777" w:rsidR="008E1B72" w:rsidRPr="0074405A" w:rsidRDefault="00000000">
      <w:pPr>
        <w:pStyle w:val="Compact"/>
        <w:numPr>
          <w:ilvl w:val="0"/>
          <w:numId w:val="3"/>
        </w:numPr>
        <w:rPr>
          <w:sz w:val="20"/>
          <w:szCs w:val="20"/>
        </w:rPr>
      </w:pPr>
      <w:r w:rsidRPr="0074405A">
        <w:rPr>
          <w:sz w:val="20"/>
          <w:szCs w:val="20"/>
        </w:rPr>
        <w:t>En los numeradores compuestos (directivos y profesionales, paredes precarias), el componente queda sin dato solo si todas sus partes vienen suprimidas.</w:t>
      </w:r>
    </w:p>
    <w:p w14:paraId="3BCA1DB3" w14:textId="77777777" w:rsidR="008E1B72" w:rsidRPr="0074405A" w:rsidRDefault="00000000">
      <w:pPr>
        <w:pStyle w:val="Compact"/>
        <w:numPr>
          <w:ilvl w:val="0"/>
          <w:numId w:val="3"/>
        </w:numPr>
        <w:rPr>
          <w:sz w:val="20"/>
          <w:szCs w:val="20"/>
        </w:rPr>
      </w:pPr>
      <w:r w:rsidRPr="0074405A">
        <w:rPr>
          <w:sz w:val="20"/>
          <w:szCs w:val="20"/>
        </w:rPr>
        <w:t>En los denominadores que se arman sumando categorías, una categoría suprimida cuenta como cero.</w:t>
      </w:r>
    </w:p>
    <w:p w14:paraId="53E221B6" w14:textId="77777777" w:rsidR="008E1B72" w:rsidRPr="0074405A" w:rsidRDefault="00000000">
      <w:pPr>
        <w:pStyle w:val="Compact"/>
        <w:numPr>
          <w:ilvl w:val="0"/>
          <w:numId w:val="3"/>
        </w:numPr>
        <w:rPr>
          <w:sz w:val="20"/>
          <w:szCs w:val="20"/>
        </w:rPr>
      </w:pPr>
      <w:r w:rsidRPr="0074405A">
        <w:rPr>
          <w:sz w:val="20"/>
          <w:szCs w:val="20"/>
        </w:rPr>
        <w:t>Si el denominador es cero, el componente queda sin dato.</w:t>
      </w:r>
    </w:p>
    <w:p w14:paraId="25341A1C" w14:textId="77777777" w:rsidR="001E11F4" w:rsidRPr="001E11F4" w:rsidRDefault="00000000" w:rsidP="001E11F4">
      <w:pPr>
        <w:pStyle w:val="Compact"/>
        <w:numPr>
          <w:ilvl w:val="0"/>
          <w:numId w:val="3"/>
        </w:numPr>
        <w:rPr>
          <w:sz w:val="20"/>
          <w:szCs w:val="20"/>
        </w:rPr>
      </w:pPr>
      <w:r w:rsidRPr="0074405A">
        <w:rPr>
          <w:sz w:val="20"/>
          <w:szCs w:val="20"/>
        </w:rPr>
        <w:t>Todos los componentes se redondean a un decimal antes de estandarizarlos.</w:t>
      </w:r>
      <w:bookmarkStart w:id="2" w:name="estandarización"/>
      <w:bookmarkEnd w:id="1"/>
    </w:p>
    <w:p w14:paraId="5ADA7997" w14:textId="77777777" w:rsidR="008E1B72" w:rsidRPr="001E11F4" w:rsidRDefault="00000000" w:rsidP="001E11F4">
      <w:pPr>
        <w:spacing w:before="240"/>
        <w:rPr>
          <w:b/>
          <w:bCs/>
          <w:i/>
          <w:iCs/>
        </w:rPr>
      </w:pPr>
      <w:r w:rsidRPr="001E11F4">
        <w:rPr>
          <w:b/>
          <w:bCs/>
          <w:i/>
          <w:iCs/>
        </w:rPr>
        <w:t>Estandarización</w:t>
      </w:r>
    </w:p>
    <w:p w14:paraId="0A777265" w14:textId="77777777" w:rsidR="008E1B72" w:rsidRPr="001E11F4" w:rsidRDefault="00000000" w:rsidP="001E11F4">
      <w:pPr>
        <w:pStyle w:val="FirstParagraph"/>
        <w:jc w:val="both"/>
        <w:rPr>
          <w:sz w:val="20"/>
          <w:szCs w:val="20"/>
        </w:rPr>
      </w:pPr>
      <w:r>
        <w:rPr>
          <w:sz w:val="20"/>
          <w:szCs w:val="20"/>
        </w:rPr>
        <w:t xml:space="preserve">Cada componente se lleva a puntaje </w:t>
      </w:r>
      <m:oMath>
        <m:r>
          <w:rPr>
            <w:rFonts w:ascii="Cambria Math" w:hAnsi="Cambria Math"/>
            <w:sz w:val="20"/>
            <w:szCs w:val="20"/>
          </w:rPr>
          <m:t>z</m:t>
        </m:r>
      </m:oMath>
      <w:r>
        <w:rPr>
          <w:sz w:val="20"/>
          <w:szCs w:val="20"/>
        </w:rPr>
        <w:t xml:space="preserve"> con la media y la desviación estándar de su comuna, calculadas con los polígonos de esa comuna que tienen dato en ese componente y ponderadas por su población de 18 años o más</w:t>
      </w:r>
      <w:r>
        <w:rPr>
          <w:sz w:val="20"/>
          <w:szCs w:val="20"/>
          <w:vertAlign w:val="superscript"/>
        </w:rPr>
        <w:footnoteReference w:id="1"/>
      </w:r>
      <w:r>
        <w:rPr>
          <w:sz w:val="20"/>
          <w:szCs w:val="20"/>
        </w:rPr>
        <w:t>, y se multiplica por su signo. Así, en los siete puntajes un valor más alto siempre significa mejor situación:</w:t>
      </w:r>
    </w:p>
    <w:p w14:paraId="236C4CAF" w14:textId="77777777" w:rsidR="008E1B72" w:rsidRPr="0074405A" w:rsidRDefault="00000000">
      <w:pPr>
        <w:pStyle w:val="Textoindependiente"/>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jk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k</m:t>
              </m:r>
            </m:sub>
          </m:sSub>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ck</m:t>
                  </m:r>
                </m:sub>
              </m:sSub>
            </m:num>
            <m:den>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ck</m:t>
                  </m:r>
                </m:sub>
              </m:sSub>
            </m:den>
          </m:f>
        </m:oMath>
      </m:oMathPara>
    </w:p>
    <w:p w14:paraId="0CC68DB3" w14:textId="77777777" w:rsidR="008E1B72" w:rsidRPr="0074405A" w:rsidRDefault="00000000">
      <w:pPr>
        <w:pStyle w:val="FirstParagraph"/>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ck</m:t>
              </m:r>
            </m:sub>
          </m:sSub>
          <m:r>
            <m:rPr>
              <m:sty m:val="p"/>
            </m:rPr>
            <w:rPr>
              <w:rFonts w:ascii="Cambria Math" w:hAnsi="Cambria Math"/>
              <w:sz w:val="20"/>
              <w:szCs w:val="20"/>
            </w:rPr>
            <m:t>=</m:t>
          </m:r>
          <m:f>
            <m:fPr>
              <m:ctrlPr>
                <w:rPr>
                  <w:rFonts w:ascii="Cambria Math" w:hAnsi="Cambria Math"/>
                  <w:sz w:val="20"/>
                  <w:szCs w:val="20"/>
                </w:rPr>
              </m:ctrlPr>
            </m:fPr>
            <m:num>
              <m:nary>
                <m:naryPr>
                  <m:chr m:val="∑"/>
                  <m:limLoc m:val="undOvr"/>
                  <m:supHide m:val="1"/>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J</m:t>
                      </m:r>
                    </m:e>
                    <m:sub>
                      <m:r>
                        <w:rPr>
                          <w:rFonts w:ascii="Cambria Math" w:hAnsi="Cambria Math"/>
                          <w:sz w:val="20"/>
                          <w:szCs w:val="20"/>
                        </w:rPr>
                        <m:t>ck</m:t>
                      </m:r>
                    </m:sub>
                  </m:sSub>
                </m:sub>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j</m:t>
                      </m:r>
                    </m:sub>
                  </m:s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jk</m:t>
                      </m:r>
                    </m:sub>
                  </m:sSub>
                </m:e>
              </m:nary>
            </m:num>
            <m:den>
              <m:nary>
                <m:naryPr>
                  <m:chr m:val="∑"/>
                  <m:limLoc m:val="undOvr"/>
                  <m:supHide m:val="1"/>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J</m:t>
                      </m:r>
                    </m:e>
                    <m:sub>
                      <m:r>
                        <w:rPr>
                          <w:rFonts w:ascii="Cambria Math" w:hAnsi="Cambria Math"/>
                          <w:sz w:val="20"/>
                          <w:szCs w:val="20"/>
                        </w:rPr>
                        <m:t>ck</m:t>
                      </m:r>
                    </m:sub>
                  </m:sSub>
                </m:sub>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j</m:t>
                      </m:r>
                    </m:sub>
                  </m:sSub>
                </m:e>
              </m:nary>
            </m:den>
          </m:f>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ck</m:t>
              </m:r>
            </m:sub>
          </m:sSub>
          <m:r>
            <m:rPr>
              <m:sty m:val="p"/>
            </m:rPr>
            <w:rPr>
              <w:rFonts w:ascii="Cambria Math" w:hAnsi="Cambria Math"/>
              <w:sz w:val="20"/>
              <w:szCs w:val="20"/>
            </w:rPr>
            <m:t>=</m:t>
          </m:r>
          <m:rad>
            <m:radPr>
              <m:degHide m:val="1"/>
              <m:ctrlPr>
                <w:rPr>
                  <w:rFonts w:ascii="Cambria Math" w:hAnsi="Cambria Math"/>
                  <w:sz w:val="20"/>
                  <w:szCs w:val="20"/>
                </w:rPr>
              </m:ctrlPr>
            </m:radPr>
            <m:deg/>
            <m:e>
              <m:f>
                <m:fPr>
                  <m:ctrlPr>
                    <w:rPr>
                      <w:rFonts w:ascii="Cambria Math" w:hAnsi="Cambria Math"/>
                      <w:sz w:val="20"/>
                      <w:szCs w:val="20"/>
                    </w:rPr>
                  </m:ctrlPr>
                </m:fPr>
                <m:num>
                  <m:nary>
                    <m:naryPr>
                      <m:chr m:val="∑"/>
                      <m:limLoc m:val="undOvr"/>
                      <m:supHide m:val="1"/>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J</m:t>
                          </m:r>
                        </m:e>
                        <m:sub>
                          <m:r>
                            <w:rPr>
                              <w:rFonts w:ascii="Cambria Math" w:hAnsi="Cambria Math"/>
                              <w:sz w:val="20"/>
                              <w:szCs w:val="20"/>
                            </w:rPr>
                            <m:t>ck</m:t>
                          </m:r>
                        </m:sub>
                      </m:sSub>
                    </m:sub>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j</m:t>
                          </m:r>
                        </m:sub>
                      </m:sSub>
                      <m:sSup>
                        <m:sSupPr>
                          <m:ctrlPr>
                            <w:rPr>
                              <w:rFonts w:ascii="Cambria Math" w:hAnsi="Cambria Math"/>
                              <w:sz w:val="20"/>
                              <w:szCs w:val="20"/>
                            </w:rPr>
                          </m:ctrlPr>
                        </m:sSupPr>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ck</m:t>
                                  </m:r>
                                </m:sub>
                              </m:sSub>
                            </m:e>
                          </m:d>
                        </m:e>
                        <m:sup>
                          <m:r>
                            <w:rPr>
                              <w:rFonts w:ascii="Cambria Math" w:hAnsi="Cambria Math"/>
                              <w:sz w:val="20"/>
                              <w:szCs w:val="20"/>
                            </w:rPr>
                            <m:t>2</m:t>
                          </m:r>
                        </m:sup>
                      </m:sSup>
                    </m:e>
                  </m:nary>
                </m:num>
                <m:den>
                  <m:nary>
                    <m:naryPr>
                      <m:chr m:val="∑"/>
                      <m:limLoc m:val="undOvr"/>
                      <m:supHide m:val="1"/>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J</m:t>
                          </m:r>
                        </m:e>
                        <m:sub>
                          <m:r>
                            <w:rPr>
                              <w:rFonts w:ascii="Cambria Math" w:hAnsi="Cambria Math"/>
                              <w:sz w:val="20"/>
                              <w:szCs w:val="20"/>
                            </w:rPr>
                            <m:t>ck</m:t>
                          </m:r>
                        </m:sub>
                      </m:sSub>
                    </m:sub>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j</m:t>
                          </m:r>
                        </m:sub>
                      </m:sSub>
                    </m:e>
                  </m:nary>
                  <m:r>
                    <m:rPr>
                      <m:sty m:val="p"/>
                    </m:rPr>
                    <w:rPr>
                      <w:rFonts w:ascii="Cambria Math" w:hAnsi="Cambria Math"/>
                      <w:sz w:val="20"/>
                      <w:szCs w:val="20"/>
                    </w:rPr>
                    <m:t>-</m:t>
                  </m:r>
                  <m:r>
                    <w:rPr>
                      <w:rFonts w:ascii="Cambria Math" w:hAnsi="Cambria Math"/>
                      <w:sz w:val="20"/>
                      <w:szCs w:val="20"/>
                    </w:rPr>
                    <m:t>1</m:t>
                  </m:r>
                </m:den>
              </m:f>
            </m:e>
          </m:rad>
        </m:oMath>
      </m:oMathPara>
    </w:p>
    <w:p w14:paraId="3836C161" w14:textId="77777777" w:rsidR="008E1B72" w:rsidRPr="0074405A" w:rsidRDefault="00000000">
      <w:pPr>
        <w:pStyle w:val="FirstParagraph"/>
        <w:rPr>
          <w:sz w:val="20"/>
          <w:szCs w:val="20"/>
        </w:rPr>
      </w:pPr>
      <w:r>
        <w:rPr>
          <w:sz w:val="20"/>
          <w:szCs w:val="20"/>
        </w:rPr>
        <w:t xml:space="preserve">donde </w:t>
      </w:r>
      <m:oMath>
        <m:r>
          <w:rPr>
            <w:rFonts w:ascii="Cambria Math" w:hAnsi="Cambria Math"/>
            <w:sz w:val="20"/>
            <w:szCs w:val="20"/>
          </w:rPr>
          <m:t>c</m:t>
        </m:r>
      </m:oMath>
      <w:r>
        <w:rPr>
          <w:sz w:val="20"/>
          <w:szCs w:val="20"/>
        </w:rPr>
        <w:t xml:space="preserve"> es la comuna del polígono </w:t>
      </w:r>
      <m:oMath>
        <m:r>
          <w:rPr>
            <w:rFonts w:ascii="Cambria Math" w:hAnsi="Cambria Math"/>
            <w:sz w:val="20"/>
            <w:szCs w:val="20"/>
          </w:rPr>
          <m:t>j</m:t>
        </m:r>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J</m:t>
            </m:r>
          </m:e>
          <m:sub>
            <m:r>
              <w:rPr>
                <w:rFonts w:ascii="Cambria Math" w:hAnsi="Cambria Math"/>
                <w:sz w:val="20"/>
                <w:szCs w:val="20"/>
              </w:rPr>
              <m:t>ck</m:t>
            </m:r>
          </m:sub>
        </m:sSub>
      </m:oMath>
      <w:r>
        <w:rPr>
          <w:sz w:val="20"/>
          <w:szCs w:val="20"/>
        </w:rPr>
        <w:t xml:space="preserve"> es el conjunto de polígonos de la comuna </w:t>
      </w:r>
      <m:oMath>
        <m:r>
          <w:rPr>
            <w:rFonts w:ascii="Cambria Math" w:hAnsi="Cambria Math"/>
            <w:sz w:val="20"/>
            <w:szCs w:val="20"/>
          </w:rPr>
          <m:t>c</m:t>
        </m:r>
      </m:oMath>
      <w:r>
        <w:rPr>
          <w:sz w:val="20"/>
          <w:szCs w:val="20"/>
        </w:rPr>
        <w:t xml:space="preserve"> con dato en el componente </w:t>
      </w:r>
      <m:oMath>
        <m:r>
          <w:rPr>
            <w:rFonts w:ascii="Cambria Math" w:hAnsi="Cambria Math"/>
            <w:sz w:val="20"/>
            <w:szCs w:val="20"/>
          </w:rPr>
          <m:t>k</m:t>
        </m:r>
      </m:oMath>
      <w:r>
        <w:rPr>
          <w:sz w:val="20"/>
          <w:szCs w:val="20"/>
        </w:rPr>
        <w:t xml:space="preserve"> y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j</m:t>
            </m:r>
          </m:sub>
        </m:sSub>
      </m:oMath>
      <w:r>
        <w:rPr>
          <w:sz w:val="20"/>
          <w:szCs w:val="20"/>
        </w:rPr>
        <w:t xml:space="preserve"> es la población de 18 años o más del polígono </w:t>
      </w:r>
      <m:oMath>
        <m:r>
          <w:rPr>
            <w:rFonts w:ascii="Cambria Math" w:hAnsi="Cambria Math"/>
            <w:sz w:val="20"/>
            <w:szCs w:val="20"/>
          </w:rPr>
          <m:t>j</m:t>
        </m:r>
      </m:oMath>
      <w:r>
        <w:rPr>
          <w:sz w:val="20"/>
          <w:szCs w:val="20"/>
        </w:rPr>
        <w:t>.</w:t>
      </w:r>
      <w:r>
        <w:rPr>
          <w:sz w:val="20"/>
          <w:szCs w:val="20"/>
          <w:vertAlign w:val="superscript"/>
        </w:rPr>
        <w:footnoteReference w:id="2"/>
      </w:r>
    </w:p>
    <w:p w14:paraId="27A5664E" w14:textId="77777777" w:rsidR="008E1B72" w:rsidRPr="001E11F4" w:rsidRDefault="00000000" w:rsidP="001E11F4">
      <w:pPr>
        <w:rPr>
          <w:b/>
          <w:bCs/>
          <w:i/>
          <w:iCs/>
        </w:rPr>
      </w:pPr>
      <w:bookmarkStart w:id="3" w:name="cálculo-del-índice"/>
      <w:bookmarkEnd w:id="2"/>
      <w:r w:rsidRPr="001E11F4">
        <w:rPr>
          <w:b/>
          <w:bCs/>
          <w:i/>
          <w:iCs/>
        </w:rPr>
        <w:t>Cálculo del índice</w:t>
      </w:r>
    </w:p>
    <w:p w14:paraId="0F527D6E" w14:textId="77777777" w:rsidR="008E1B72" w:rsidRPr="0074405A" w:rsidRDefault="00000000">
      <w:pPr>
        <w:pStyle w:val="FirstParagraph"/>
        <w:rPr>
          <w:sz w:val="20"/>
          <w:szCs w:val="20"/>
        </w:rPr>
      </w:pPr>
      <w:r w:rsidRPr="0074405A">
        <w:rPr>
          <w:sz w:val="20"/>
          <w:szCs w:val="20"/>
        </w:rPr>
        <w:t xml:space="preserve">El índice de la manzana </w:t>
      </w:r>
      <m:oMath>
        <m:r>
          <w:rPr>
            <w:rFonts w:ascii="Cambria Math" w:hAnsi="Cambria Math"/>
            <w:sz w:val="20"/>
            <w:szCs w:val="20"/>
          </w:rPr>
          <m:t>j</m:t>
        </m:r>
      </m:oMath>
      <w:r w:rsidRPr="0074405A">
        <w:rPr>
          <w:sz w:val="20"/>
          <w:szCs w:val="20"/>
        </w:rPr>
        <w:t xml:space="preserve"> es el promedio simple de los puntajes </w:t>
      </w:r>
      <m:oMath>
        <m:r>
          <w:rPr>
            <w:rFonts w:ascii="Cambria Math" w:hAnsi="Cambria Math"/>
            <w:sz w:val="20"/>
            <w:szCs w:val="20"/>
          </w:rPr>
          <m:t>z</m:t>
        </m:r>
      </m:oMath>
      <w:r w:rsidRPr="0074405A">
        <w:rPr>
          <w:sz w:val="20"/>
          <w:szCs w:val="20"/>
        </w:rPr>
        <w:t xml:space="preserve"> disponibles, todos con el mismo peso:</w:t>
      </w:r>
    </w:p>
    <w:p w14:paraId="6AA29630" w14:textId="77777777" w:rsidR="008E1B72" w:rsidRPr="0074405A" w:rsidRDefault="00000000">
      <w:pPr>
        <w:pStyle w:val="Textoindependiente"/>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j</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j</m:t>
                      </m:r>
                    </m:sub>
                  </m:sSub>
                </m:e>
              </m:d>
            </m:den>
          </m:f>
          <m:nary>
            <m:naryPr>
              <m:chr m:val="∑"/>
              <m:limLoc m:val="undOvr"/>
              <m:supHide m:val="1"/>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j</m:t>
                  </m:r>
                </m:sub>
              </m:sSub>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jk</m:t>
                  </m:r>
                </m:sub>
              </m:sSub>
            </m:e>
          </m:nary>
          <m:r>
            <w:rPr>
              <w:rFonts w:ascii="Cambria Math" w:hAnsi="Cambria Math"/>
              <w:sz w:val="20"/>
              <w:szCs w:val="20"/>
            </w:rPr>
            <m:t>  </m:t>
          </m:r>
          <m:r>
            <m:rPr>
              <m:nor/>
            </m:rPr>
            <w:rPr>
              <w:sz w:val="20"/>
              <w:szCs w:val="20"/>
            </w:rPr>
            <m:t xml:space="preserve">si </m:t>
          </m:r>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j</m:t>
                  </m:r>
                </m:sub>
              </m:sSub>
            </m:e>
          </m:d>
          <m:r>
            <m:rPr>
              <m:sty m:val="p"/>
            </m:rPr>
            <w:rPr>
              <w:rFonts w:ascii="Cambria Math" w:hAnsi="Cambria Math"/>
              <w:sz w:val="20"/>
              <w:szCs w:val="20"/>
            </w:rPr>
            <m:t>≥</m:t>
          </m:r>
          <m:r>
            <w:rPr>
              <w:rFonts w:ascii="Cambria Math" w:hAnsi="Cambria Math"/>
              <w:sz w:val="20"/>
              <w:szCs w:val="20"/>
            </w:rPr>
            <m:t>4</m:t>
          </m:r>
        </m:oMath>
      </m:oMathPara>
    </w:p>
    <w:p w14:paraId="7A68963C" w14:textId="77777777" w:rsidR="008E1B72" w:rsidRPr="0074405A" w:rsidRDefault="00000000">
      <w:pPr>
        <w:pStyle w:val="FirstParagraph"/>
        <w:rPr>
          <w:sz w:val="20"/>
          <w:szCs w:val="20"/>
        </w:rPr>
      </w:pPr>
      <w:r w:rsidRPr="0074405A">
        <w:rPr>
          <w:sz w:val="20"/>
          <w:szCs w:val="20"/>
        </w:rPr>
        <w:t xml:space="preserve">donde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j</m:t>
            </m:r>
          </m:sub>
        </m:sSub>
      </m:oMath>
      <w:r w:rsidRPr="0074405A">
        <w:rPr>
          <w:sz w:val="20"/>
          <w:szCs w:val="20"/>
        </w:rPr>
        <w:t xml:space="preserve"> es el conjunto de componentes con dato en la manzana </w:t>
      </w:r>
      <m:oMath>
        <m:r>
          <w:rPr>
            <w:rFonts w:ascii="Cambria Math" w:hAnsi="Cambria Math"/>
            <w:sz w:val="20"/>
            <w:szCs w:val="20"/>
          </w:rPr>
          <m:t>j</m:t>
        </m:r>
      </m:oMath>
      <w:r w:rsidRPr="0074405A">
        <w:rPr>
          <w:sz w:val="20"/>
          <w:szCs w:val="20"/>
        </w:rPr>
        <w:t>. Si la manzana tiene menos de 4 componentes con dato, el índice queda sin dato. El resultado se redondea a dos decimales.</w:t>
      </w:r>
      <w:r>
        <w:rPr>
          <w:sz w:val="20"/>
          <w:szCs w:val="20"/>
          <w:vertAlign w:val="superscript"/>
        </w:rPr>
        <w:footnoteReference w:id="3"/>
      </w:r>
    </w:p>
    <w:p w14:paraId="19588418" w14:textId="77777777" w:rsidR="008E1B72" w:rsidRPr="001E11F4" w:rsidRDefault="001E11F4" w:rsidP="001E11F4">
      <w:pPr>
        <w:rPr>
          <w:b/>
          <w:bCs/>
          <w:i/>
          <w:iCs/>
        </w:rPr>
      </w:pPr>
      <w:bookmarkStart w:id="4" w:name="interpretación"/>
      <w:bookmarkEnd w:id="3"/>
      <w:r w:rsidRPr="001E11F4">
        <w:rPr>
          <w:b/>
          <w:bCs/>
          <w:i/>
          <w:iCs/>
        </w:rPr>
        <w:t>Interpretación</w:t>
      </w:r>
    </w:p>
    <w:p w14:paraId="73D04FC7" w14:textId="77777777" w:rsidR="008E1B72" w:rsidRPr="0074405A" w:rsidRDefault="00000000">
      <w:pPr>
        <w:pStyle w:val="Compact"/>
        <w:numPr>
          <w:ilvl w:val="0"/>
          <w:numId w:val="4"/>
        </w:numPr>
        <w:rPr>
          <w:sz w:val="20"/>
          <w:szCs w:val="20"/>
        </w:rPr>
      </w:pPr>
      <m:oMath>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j</m:t>
            </m:r>
          </m:sub>
        </m:sSub>
        <m:r>
          <m:rPr>
            <m:sty m:val="p"/>
          </m:rPr>
          <w:rPr>
            <w:rFonts w:ascii="Cambria Math" w:hAnsi="Cambria Math"/>
            <w:sz w:val="20"/>
            <w:szCs w:val="20"/>
          </w:rPr>
          <m:t>=</m:t>
        </m:r>
        <m:r>
          <w:rPr>
            <w:rFonts w:ascii="Cambria Math" w:hAnsi="Cambria Math"/>
            <w:sz w:val="20"/>
            <w:szCs w:val="20"/>
          </w:rPr>
          <m:t>0</m:t>
        </m:r>
      </m:oMath>
      <w:r>
        <w:rPr>
          <w:sz w:val="20"/>
          <w:szCs w:val="20"/>
        </w:rPr>
        <w:t xml:space="preserve"> corresponde al promedio de la comuna</w:t>
      </w:r>
      <w:r>
        <w:rPr>
          <w:sz w:val="20"/>
          <w:szCs w:val="20"/>
          <w:vertAlign w:val="superscript"/>
        </w:rPr>
        <w:footnoteReference w:id="4"/>
      </w:r>
      <w:r>
        <w:rPr>
          <w:sz w:val="20"/>
          <w:szCs w:val="20"/>
        </w:rPr>
        <w:t>. Un valor positivo indica mejor situación que ese promedio y uno negativo, peor.</w:t>
      </w:r>
    </w:p>
    <w:p w14:paraId="199174F0" w14:textId="77777777" w:rsidR="008E1B72" w:rsidRPr="0074405A" w:rsidRDefault="00000000">
      <w:pPr>
        <w:pStyle w:val="Compact"/>
        <w:numPr>
          <w:ilvl w:val="0"/>
          <w:numId w:val="4"/>
        </w:numPr>
        <w:rPr>
          <w:sz w:val="20"/>
          <w:szCs w:val="20"/>
        </w:rPr>
      </w:pPr>
      <w:r w:rsidRPr="0074405A">
        <w:rPr>
          <w:sz w:val="20"/>
          <w:szCs w:val="20"/>
        </w:rPr>
        <w:t>La escala está en unidades de desviación estánda</w:t>
      </w:r>
      <w:r w:rsidR="001E11F4">
        <w:rPr>
          <w:sz w:val="20"/>
          <w:szCs w:val="20"/>
        </w:rPr>
        <w:t>r, pero no de -1 a 1</w:t>
      </w:r>
      <w:r w:rsidRPr="0074405A">
        <w:rPr>
          <w:sz w:val="20"/>
          <w:szCs w:val="20"/>
        </w:rPr>
        <w:t>. En los datos va de</w:t>
      </w:r>
      <w:r w:rsidR="001E11F4">
        <w:rPr>
          <w:sz w:val="20"/>
          <w:szCs w:val="20"/>
        </w:rPr>
        <w:t xml:space="preserve"> -4.63 a </w:t>
      </w:r>
      <w:r w:rsidRPr="0074405A">
        <w:rPr>
          <w:sz w:val="20"/>
          <w:szCs w:val="20"/>
        </w:rPr>
        <w:t xml:space="preserve"> </w:t>
      </w:r>
      <m:oMath>
        <m:r>
          <w:rPr>
            <w:rFonts w:ascii="Cambria Math" w:hAnsi="Cambria Math"/>
            <w:sz w:val="20"/>
            <w:szCs w:val="20"/>
          </w:rPr>
          <m:t>3.33</m:t>
        </m:r>
      </m:oMath>
      <w:r w:rsidRPr="0074405A">
        <w:rPr>
          <w:sz w:val="20"/>
          <w:szCs w:val="20"/>
        </w:rPr>
        <w:t xml:space="preserve">, con mediana </w:t>
      </w:r>
      <w:r w:rsidR="001E11F4">
        <w:rPr>
          <w:sz w:val="20"/>
          <w:szCs w:val="20"/>
        </w:rPr>
        <w:t>-0.08</w:t>
      </w:r>
    </w:p>
    <w:p w14:paraId="7C3FE789" w14:textId="77777777" w:rsidR="008E1B72" w:rsidRPr="0074405A" w:rsidRDefault="00000000">
      <w:pPr>
        <w:pStyle w:val="Compact"/>
        <w:numPr>
          <w:ilvl w:val="0"/>
          <w:numId w:val="4"/>
        </w:numPr>
        <w:rPr>
          <w:sz w:val="20"/>
          <w:szCs w:val="20"/>
        </w:rPr>
      </w:pPr>
      <w:r w:rsidRPr="0074405A">
        <w:rPr>
          <w:sz w:val="20"/>
          <w:szCs w:val="20"/>
        </w:rPr>
        <w:t>El rango es asimétrico. Hacinamiento, paredes precarias y allegamiento son cero en la mayoría de las manzanas y muy altos en unas pocas, por lo que una manzana con carencias concentradas puede bajar varias desviaciones estándar. En la parte alta, escolaridad y educación superior tienen techo y no se alejan tanto del promedio. Por eso la cola larga va hacia valores negativos.</w:t>
      </w:r>
    </w:p>
    <w:p w14:paraId="3AA2767E" w14:textId="77777777" w:rsidR="008E1B72" w:rsidRPr="0074405A" w:rsidRDefault="00000000">
      <w:pPr>
        <w:pStyle w:val="Compact"/>
        <w:numPr>
          <w:ilvl w:val="0"/>
          <w:numId w:val="4"/>
        </w:numPr>
        <w:rPr>
          <w:sz w:val="20"/>
          <w:szCs w:val="20"/>
        </w:rPr>
      </w:pPr>
      <w:r>
        <w:rPr>
          <w:sz w:val="20"/>
          <w:szCs w:val="20"/>
        </w:rPr>
        <w:t>Como los parámetros se calculan dentro de cada comuna, el índice indica la posición de la manzana respecto de su propia comuna y los valores no son comparables entre comunas.</w:t>
      </w:r>
    </w:p>
    <w:p w14:paraId="05A8A634" w14:textId="77777777" w:rsidR="00844F32" w:rsidRDefault="00844F32" w:rsidP="00844F32">
      <w:pPr>
        <w:pStyle w:val="Compact"/>
      </w:pPr>
      <w:bookmarkStart w:id="5" w:name="archivos-y-reproducibilidad"/>
      <w:bookmarkEnd w:id="4"/>
      <w:bookmarkEnd w:id="5"/>
    </w:p>
    <w:sectPr w:rsidR="00844F32">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086E2" w14:textId="77777777" w:rsidR="007B3382" w:rsidRDefault="007B3382">
      <w:pPr>
        <w:spacing w:after="0"/>
      </w:pPr>
      <w:r>
        <w:separator/>
      </w:r>
    </w:p>
  </w:endnote>
  <w:endnote w:type="continuationSeparator" w:id="0">
    <w:p w14:paraId="1132DE6A" w14:textId="77777777" w:rsidR="007B3382" w:rsidRDefault="007B33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DFA8D" w14:textId="77777777" w:rsidR="007B3382" w:rsidRDefault="007B3382">
      <w:pPr>
        <w:spacing w:after="0"/>
      </w:pPr>
      <w:r>
        <w:separator/>
      </w:r>
    </w:p>
  </w:footnote>
  <w:footnote w:type="continuationSeparator" w:id="0">
    <w:p w14:paraId="45437769" w14:textId="77777777" w:rsidR="007B3382" w:rsidRDefault="007B3382">
      <w:pPr>
        <w:spacing w:after="0"/>
      </w:pPr>
      <w:r>
        <w:continuationSeparator/>
      </w:r>
    </w:p>
  </w:footnote>
  <w:footnote w:id="1">
    <w:p w14:paraId="19373B59" w14:textId="7E1954FD" w:rsidR="0032776D" w:rsidRDefault="00000000" w:rsidP="00562B43">
      <w:pPr>
        <w:pStyle w:val="Textonotapie"/>
        <w:spacing w:after="0"/>
        <w:jc w:val="both"/>
      </w:pPr>
      <w:r>
        <w:rPr>
          <w:sz w:val="18"/>
          <w:szCs w:val="18"/>
          <w:vertAlign w:val="superscript"/>
        </w:rPr>
        <w:footnoteRef/>
      </w:r>
      <w:r>
        <w:rPr>
          <w:sz w:val="18"/>
          <w:szCs w:val="18"/>
        </w:rPr>
        <w:t xml:space="preserve"> El ponderador de cada polígono es su población de 18 años o más, la misma que se usa como denominador de educación superior. </w:t>
      </w:r>
      <w:r w:rsidR="00A545A5">
        <w:rPr>
          <w:sz w:val="18"/>
          <w:szCs w:val="18"/>
        </w:rPr>
        <w:t>C</w:t>
      </w:r>
      <w:r>
        <w:rPr>
          <w:sz w:val="18"/>
          <w:szCs w:val="18"/>
        </w:rPr>
        <w:t>ada polígono pesa tantas veces como personas de 18 años o más tiene. La misma ponderación se usa en los percentiles y quintiles del índice. Como un polígono no se puede repartir entre dos quintiles, cada quintil no reúne exactamente el 20% de la población; el porcentaje real se informa en el Excel. Los polígonos con menos de 4 personas de 18 años o más no se ponderan y quedan sin índice.</w:t>
      </w:r>
    </w:p>
  </w:footnote>
  <w:footnote w:id="2">
    <w:p w14:paraId="76EC731C" w14:textId="0C5201C4" w:rsidR="0032776D" w:rsidRDefault="00000000" w:rsidP="00562B43">
      <w:pPr>
        <w:pStyle w:val="Textonotapie"/>
        <w:spacing w:after="0"/>
        <w:jc w:val="both"/>
      </w:pPr>
      <w:r>
        <w:rPr>
          <w:sz w:val="18"/>
          <w:szCs w:val="18"/>
          <w:vertAlign w:val="superscript"/>
        </w:rPr>
        <w:footnoteRef/>
      </w:r>
      <w:r>
        <w:rPr>
          <w:sz w:val="18"/>
          <w:szCs w:val="18"/>
        </w:rPr>
        <w:t xml:space="preserve"> En comunas con pocos polígonos la media y la desviación estándar son inestables. Por eso un componente se estandariza en una comuna solo si su tamaño efectivo de Kish</w:t>
      </w:r>
      <w:r w:rsidR="00562B43">
        <w:rPr>
          <w:sz w:val="18"/>
          <w:szCs w:val="18"/>
        </w:rPr>
        <w:t xml:space="preserve"> que </w:t>
      </w:r>
      <w:r>
        <w:rPr>
          <w:sz w:val="18"/>
          <w:szCs w:val="18"/>
        </w:rPr>
        <w:t xml:space="preserve">es de al menos 30 polígonos; con ese tamaño el error relativo de la desviación estándar ronda el 13%. Con este criterio quedan sin índice </w:t>
      </w:r>
      <w:proofErr w:type="spellStart"/>
      <w:r>
        <w:rPr>
          <w:sz w:val="18"/>
          <w:szCs w:val="18"/>
        </w:rPr>
        <w:t>Curaco</w:t>
      </w:r>
      <w:proofErr w:type="spellEnd"/>
      <w:r>
        <w:rPr>
          <w:sz w:val="18"/>
          <w:szCs w:val="18"/>
        </w:rPr>
        <w:t xml:space="preserve"> de Vélez y Palena. </w:t>
      </w:r>
    </w:p>
  </w:footnote>
  <w:footnote w:id="3">
    <w:p w14:paraId="6808F8B3" w14:textId="77777777" w:rsidR="0032776D" w:rsidRDefault="00000000" w:rsidP="00562B43">
      <w:pPr>
        <w:pStyle w:val="Textonotapie"/>
        <w:spacing w:after="0"/>
        <w:jc w:val="both"/>
      </w:pPr>
      <w:r>
        <w:rPr>
          <w:sz w:val="18"/>
          <w:szCs w:val="18"/>
          <w:vertAlign w:val="superscript"/>
        </w:rPr>
        <w:footnoteRef/>
      </w:r>
      <w:r>
        <w:rPr>
          <w:sz w:val="18"/>
          <w:szCs w:val="18"/>
        </w:rPr>
        <w:t xml:space="preserve"> Para probar la robustez del índice se construyeron tres indicadores con la misma ponderación: el índice de siete componentes descrito aquí, un índice de seis componentes que excluye la escolaridad y la escolaridad promedio de las personas de 18 años o más por sí sola. Sus correlaciones se informan en el Excel.</w:t>
      </w:r>
    </w:p>
  </w:footnote>
  <w:footnote w:id="4">
    <w:p w14:paraId="3B39CADC" w14:textId="28F60FD6" w:rsidR="0032776D" w:rsidRDefault="00000000">
      <w:pPr>
        <w:pStyle w:val="Textonotapie"/>
        <w:jc w:val="both"/>
      </w:pPr>
      <w:r>
        <w:rPr>
          <w:sz w:val="18"/>
          <w:szCs w:val="18"/>
          <w:vertAlign w:val="superscript"/>
        </w:rPr>
        <w:footnoteRef/>
      </w:r>
      <w:r>
        <w:rPr>
          <w:sz w:val="18"/>
          <w:szCs w:val="18"/>
        </w:rPr>
        <w:t xml:space="preserve"> Como los parámetros se ponderan por población, un índice igual a 0 corresponde al </w:t>
      </w:r>
      <w:r w:rsidR="00562B43">
        <w:rPr>
          <w:sz w:val="18"/>
          <w:szCs w:val="18"/>
        </w:rPr>
        <w:t xml:space="preserve">de un/a </w:t>
      </w:r>
      <w:r>
        <w:rPr>
          <w:sz w:val="18"/>
          <w:szCs w:val="18"/>
        </w:rPr>
        <w:t>adult</w:t>
      </w:r>
      <w:r w:rsidR="00562B43">
        <w:rPr>
          <w:sz w:val="18"/>
          <w:szCs w:val="18"/>
        </w:rPr>
        <w:t>a/</w:t>
      </w:r>
      <w:r>
        <w:rPr>
          <w:sz w:val="18"/>
          <w:szCs w:val="18"/>
        </w:rPr>
        <w:t>o promedio de la comuna</w:t>
      </w:r>
      <w:r w:rsidR="00562B43">
        <w:rPr>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A4DF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F7E7E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17108179">
    <w:abstractNumId w:val="0"/>
  </w:num>
  <w:num w:numId="2" w16cid:durableId="79450948">
    <w:abstractNumId w:val="1"/>
  </w:num>
  <w:num w:numId="3" w16cid:durableId="1338843960">
    <w:abstractNumId w:val="1"/>
  </w:num>
  <w:num w:numId="4" w16cid:durableId="478033580">
    <w:abstractNumId w:val="1"/>
  </w:num>
  <w:num w:numId="5" w16cid:durableId="247272370">
    <w:abstractNumId w:val="1"/>
  </w:num>
  <w:num w:numId="6" w16cid:durableId="1881089489">
    <w:abstractNumId w:val="1"/>
  </w:num>
  <w:num w:numId="7" w16cid:durableId="1503666859">
    <w:abstractNumId w:val="1"/>
  </w:num>
  <w:num w:numId="8" w16cid:durableId="275329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E1B72"/>
    <w:rsid w:val="001E11F4"/>
    <w:rsid w:val="0032776D"/>
    <w:rsid w:val="00562B43"/>
    <w:rsid w:val="0067221B"/>
    <w:rsid w:val="006901C4"/>
    <w:rsid w:val="0074405A"/>
    <w:rsid w:val="007B3382"/>
    <w:rsid w:val="00844F32"/>
    <w:rsid w:val="008E1B72"/>
    <w:rsid w:val="00A545A5"/>
    <w:rsid w:val="00D94BF1"/>
    <w:rsid w:val="00F81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6A776"/>
  <w15:docId w15:val="{3A9C019E-5931-436C-A043-538253AA9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Normal"/>
    <w:next w:val="Textoindependiente"/>
    <w:link w:val="SubttuloC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Textodelmarcadordeposicin">
    <w:name w:val="Placeholder Text"/>
    <w:basedOn w:val="Fuentedeprrafopredeter"/>
    <w:rsid w:val="0074405A"/>
    <w:rPr>
      <w:color w:val="666666"/>
    </w:rPr>
  </w:style>
  <w:style w:type="table" w:styleId="Tablanormal2">
    <w:name w:val="Plain Table 2"/>
    <w:basedOn w:val="Tablanormal"/>
    <w:rsid w:val="0074405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472</TotalTime>
  <Pages>3</Pages>
  <Words>938</Words>
  <Characters>5244</Characters>
  <Application>Microsoft Office Word</Application>
  <DocSecurity>0</DocSecurity>
  <Lines>119</Lines>
  <Paragraphs>84</Paragraphs>
  <ScaleCrop>false</ScaleCrop>
  <HeadingPairs>
    <vt:vector size="2" baseType="variant">
      <vt:variant>
        <vt:lpstr>Título</vt:lpstr>
      </vt:variant>
      <vt:variant>
        <vt:i4>1</vt:i4>
      </vt:variant>
    </vt:vector>
  </HeadingPairs>
  <TitlesOfParts>
    <vt:vector size="1" baseType="lpstr">
      <vt:lpstr>Índice socioeconómico por manzana</vt:lpstr>
    </vt:vector>
  </TitlesOfParts>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Índice socioeconómico por manzana</dc:title>
  <dc:creator/>
  <cp:keywords/>
  <cp:lastModifiedBy>Gonzalo Bustamante</cp:lastModifiedBy>
  <cp:revision>3</cp:revision>
  <dcterms:created xsi:type="dcterms:W3CDTF">2026-10-13T18:31:00Z</dcterms:created>
  <dcterms:modified xsi:type="dcterms:W3CDTF">2026-10-14T19:44:00Z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Octubre de 2026</vt:lpwstr>
  </property>
  <property fmtid="{D5CDD505-2E9C-101B-9397-08002B2CF9AE}" pid="3" name="subtitle">
    <vt:lpwstr>Censo de Población y Vivienda 2024. Puerto Varas, Puerto Montt, Frutillar y Osorno</vt:lpwstr>
  </property>
</Properties>
</file>