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BOLETÍN MENSUAL — OBSERVATORIO LEGISLATIVO CELE</w:t>
      </w:r>
    </w:p>
    <w:p>
      <w:r>
        <w:rPr>
          <w:color w:val="666666"/>
          <w:sz w:val="19"/>
        </w:rPr>
        <w:t>Plantilla del documento mensual. Todo lo que hay que saber para llenarla está al final, bajo «NOTAS INTERNAS»: esa parte no se publica. Este párrafo tampoco.</w:t>
      </w:r>
    </w:p>
    <w:p>
      <w:pPr>
        <w:pStyle w:val="Heading2"/>
      </w:pPr>
      <w:r>
        <w:t>TEXTO EDITORIAL DE APERTURA</w:t>
      </w:r>
    </w:p>
    <w:p>
      <w:pPr>
        <w:pStyle w:val="Heading3"/>
      </w:pPr>
      <w:r>
        <w:t>Título del editorial</w:t>
      </w:r>
    </w:p>
    <w:p>
      <w:pPr>
        <w:pStyle w:val="Heading3"/>
      </w:pPr>
      <w:r>
        <w:t>Bajada: una o dos líneas que expliquen el título</w:t>
      </w:r>
    </w:p>
    <w:p>
      <w:r>
        <w:t>Primer párrafo del editorial. Los enlaces van sobre el texto que corresponda, como en cualquier nota.</w:t>
      </w:r>
    </w:p>
    <w:p>
      <w:r>
        <w:t>Segundo párrafo del editorial.</w:t>
      </w:r>
    </w:p>
    <w:p>
      <w:r>
        <w:rPr>
          <w:b/>
        </w:rPr>
        <w:t>El 00 de mes, Mesa de Legislación Comparada: «Título de la mesa», a cargo de Nombre Apellido, 18:00–19:30 UTC. ¡Nos vemos ahí!</w:t>
      </w:r>
    </w:p>
    <w:p>
      <w:pPr>
        <w:pStyle w:val="Heading2"/>
      </w:pPr>
      <w:r>
        <w:t>ARGENTINA</w:t>
      </w:r>
    </w:p>
    <w:p>
      <w:r>
        <w:t>Sin novedades legislativas en el mes.</w:t>
      </w:r>
    </w:p>
    <w:p>
      <w:pPr>
        <w:pStyle w:val="Heading2"/>
      </w:pPr>
      <w:r>
        <w:t>BRASIL</w:t>
      </w:r>
    </w:p>
    <w:p>
      <w:r>
        <w:t>Sin novedades legislativas en el mes.</w:t>
      </w:r>
    </w:p>
    <w:p>
      <w:pPr>
        <w:pStyle w:val="Heading2"/>
      </w:pPr>
      <w:r>
        <w:t>CHILE</w:t>
      </w:r>
    </w:p>
    <w:p>
      <w:r>
        <w:t>Sin novedades legislativas en el mes.</w:t>
      </w:r>
    </w:p>
    <w:p>
      <w:pPr>
        <w:pStyle w:val="Heading2"/>
      </w:pPr>
      <w:r>
        <w:t>COLOMBIA</w:t>
      </w:r>
    </w:p>
    <w:p>
      <w:r>
        <w:t>Sin novedades legislativas en el mes.</w:t>
      </w:r>
    </w:p>
    <w:p>
      <w:pPr>
        <w:pStyle w:val="Heading2"/>
      </w:pPr>
      <w:r>
        <w:t>ECUADOR</w:t>
      </w:r>
    </w:p>
    <w:p>
      <w:r>
        <w:t>Sin novedades legislativas en el mes.</w:t>
      </w:r>
    </w:p>
    <w:p>
      <w:pPr>
        <w:pStyle w:val="Heading2"/>
      </w:pPr>
      <w:r>
        <w:t>GUATEMALA</w:t>
      </w:r>
    </w:p>
    <w:p>
      <w:r>
        <w:t>Sin novedades legislativas en el mes.</w:t>
      </w:r>
    </w:p>
    <w:p>
      <w:pPr>
        <w:pStyle w:val="Heading2"/>
      </w:pPr>
      <w:r>
        <w:t>MÉXICO</w:t>
      </w:r>
    </w:p>
    <w:p>
      <w:r>
        <w:t>Sin novedades legislativas en el mes.</w:t>
      </w:r>
    </w:p>
    <w:p>
      <w:pPr>
        <w:pStyle w:val="Heading2"/>
      </w:pPr>
      <w:r>
        <w:t>PARAGUAY</w:t>
      </w:r>
    </w:p>
    <w:p>
      <w:r>
        <w:t>Sin novedades legislativas en el mes.</w:t>
      </w:r>
    </w:p>
    <w:p>
      <w:pPr>
        <w:pStyle w:val="Heading2"/>
      </w:pPr>
      <w:r>
        <w:t>PERÚ</w:t>
      </w:r>
    </w:p>
    <w:p>
      <w:r>
        <w:t>Sin novedades legislativas en el mes.</w:t>
      </w:r>
    </w:p>
    <w:p>
      <w:pPr>
        <w:pStyle w:val="Heading1"/>
      </w:pPr>
      <w:r>
        <w:t>NOTAS INTERNAS — ESTO NO SE PUBLICA</w:t>
      </w:r>
    </w:p>
    <w:p>
      <w:r>
        <w:rPr>
          <w:color w:val="666666"/>
          <w:sz w:val="19"/>
        </w:rPr>
        <w:t>El Título 1 de arriba es la frontera: el script descarta todo lo que venga después, salvo la sección «Temas que vienen creciendo». Por eso el manual y los pendientes pueden vivir en el mismo documento.</w:t>
      </w:r>
    </w:p>
    <w:p>
      <w:pPr>
        <w:pStyle w:val="Heading2"/>
      </w:pPr>
      <w:r>
        <w:t>Temas que vienen creciendo</w:t>
      </w:r>
    </w:p>
    <w:p>
      <w:pPr>
        <w:pStyle w:val="ListBullet"/>
      </w:pPr>
      <w:r>
        <w:rPr>
          <w:b/>
        </w:rPr>
        <w:t>Tema uno.</w:t>
      </w:r>
      <w:r>
        <w:t xml:space="preserve"> Dos o tres líneas sobre por qué el tema viene creciendo.</w:t>
      </w:r>
    </w:p>
    <w:p>
      <w:pPr>
        <w:pStyle w:val="ListBullet"/>
      </w:pPr>
      <w:r>
        <w:rPr>
          <w:b/>
        </w:rPr>
        <w:t>Tema dos.</w:t>
      </w:r>
      <w:r>
        <w:t xml:space="preserve"> Ídem.</w:t>
      </w:r>
    </w:p>
    <w:p>
      <w:pPr>
        <w:pStyle w:val="ListBullet"/>
      </w:pPr>
      <w:r>
        <w:rPr>
          <w:b/>
        </w:rPr>
        <w:t>Tema tres.</w:t>
      </w:r>
      <w:r>
        <w:t xml:space="preserve"> Ídem.</w:t>
      </w:r>
    </w:p>
    <w:p>
      <w:pPr>
        <w:pStyle w:val="Heading2"/>
      </w:pPr>
      <w:r>
        <w:t>Cómo se llena este documento</w:t>
      </w:r>
    </w:p>
    <w:p>
      <w:r>
        <w:t>El documento se descarga con Archivo → Descargar → Markdown (.md) y se convierte con:</w:t>
      </w:r>
    </w:p>
    <w:p>
      <w:r>
        <w:rPr>
          <w:color w:val="666666"/>
          <w:sz w:val="19"/>
        </w:rPr>
        <w:t>python3 scripts/boletin_desde_doc.py &lt;archivo&gt;.md --mes 2026-09</w:t>
      </w:r>
    </w:p>
    <w:p>
      <w:r>
        <w:t>El script reporta al final todo lo que no pudo resolver y lo marca con TODO en el resultado. Ese resultado siempre hay que leerlo antes de publicar: el script ahorra la transcripción, no la revisión.</w:t>
      </w:r>
    </w:p>
    <w:p>
      <w:pPr>
        <w:pStyle w:val="Heading3"/>
      </w:pPr>
      <w:r>
        <w:t>Los países</w:t>
      </w:r>
    </w:p>
    <w:p>
      <w:r>
        <w:t>Los nueve van en Título 2, con el nombre solo. El nivel importa: un Título 1 que no sea el del boletín abre estas notas internas, y de ahí para abajo no se publica nada.</w:t>
      </w:r>
    </w:p>
    <w:p>
      <w:r>
        <w:t>Un país sin novedades va igual, con la línea «Sin novedades legislativas en el mes.». Que se haya mirado y no hubiera nada también es información, y el sitio lo dibuja.</w:t>
      </w:r>
    </w:p>
    <w:p>
      <w:pPr>
        <w:pStyle w:val="Heading3"/>
      </w:pPr>
      <w:r>
        <w:t>Cada entrada</w:t>
      </w:r>
    </w:p>
    <w:p>
      <w:r>
        <w:t>Un solo párrafo, que empieza con la fecha en negrita y sigue con el texto. El enlace va sobre el número de expediente: de ahí sale el dato que después se verifica contra la matriz del Observatorio.</w:t>
      </w:r>
    </w:p>
    <w:p>
      <w:r>
        <w:t>Así:</w:t>
      </w:r>
    </w:p>
    <w:p>
      <w:r>
        <w:rPr>
          <w:b/>
        </w:rPr>
        <w:t>02/07</w:t>
      </w:r>
      <w:r>
        <w:t xml:space="preserve"> Se presentó el </w:t>
      </w:r>
      <w:hyperlink r:id="rId9">
        <w:r>
          <w:t xml:space="preserve">Proyecto de Ley 3226-D-2026</w:t>
        </w:r>
      </w:hyperlink>
      <w:r>
        <w:t>, que crea un nuevo régimen de prevención y sanción de actos discriminatorios y modifica diversas leyes vigentes en la materia, entre ellas la Ley 23.592.</w:t>
      </w:r>
    </w:p>
    <w:p>
      <w:r>
        <w:t>DISCURSO DE ODIO LIBERTAD DE EXPRESIÓN</w:t>
      </w:r>
    </w:p>
    <w:p>
      <w:r>
        <w:t>Una fecha por entrada: si el mismo tema tiene dos fechas, son dos entradas. Y siempre el día: «Agosto» a secas no se puede convertir en un registro.</w:t>
      </w:r>
    </w:p>
    <w:p>
      <w:r>
        <w:t>El verbo decide el sello: «se promulgó» y «se sancionó» marcan la entrada como ley, «se expidió» como decreto. Todo lo demás es proyecto, que es el caso normal y va sin sello.</w:t>
      </w:r>
    </w:p>
    <w:p>
      <w:pPr>
        <w:pStyle w:val="Heading3"/>
      </w:pPr>
      <w:r>
        <w:t>Las etiquetas</w:t>
      </w:r>
    </w:p>
    <w:p>
      <w:r>
        <w:t>Van en la línea de abajo de la entrada, en MAYÚSCULAS, una atrás de otra, sin «ETIQUETAS:» adelante y sin comas ni punto y coma en el medio. Esa es la forma por la que el script las reconoce; con puntuación, la línea se lee como si fuera otra entrada y se descarta.</w:t>
      </w:r>
    </w:p>
    <w:p>
      <w:r>
        <w:t>Hasta tres por entrada. Éstas son las diecisiete que existen:</w:t>
      </w:r>
    </w:p>
    <w:p>
      <w:pPr>
        <w:pStyle w:val="ListBullet"/>
      </w:pPr>
      <w:r>
        <w:t>LIBERTAD DE EXPRESIÓN</w:t>
      </w:r>
    </w:p>
    <w:p>
      <w:pPr>
        <w:pStyle w:val="ListBullet"/>
      </w:pPr>
      <w:r>
        <w:t>LIBERTAD DE PRENSA</w:t>
      </w:r>
    </w:p>
    <w:p>
      <w:pPr>
        <w:pStyle w:val="ListBullet"/>
      </w:pPr>
      <w:r>
        <w:t>ACCESO A LA INFORMACIÓN</w:t>
      </w:r>
    </w:p>
    <w:p>
      <w:pPr>
        <w:pStyle w:val="ListBullet"/>
      </w:pPr>
      <w:r>
        <w:t>PROTECCIÓN DE MENORES</w:t>
      </w:r>
    </w:p>
    <w:p>
      <w:pPr>
        <w:pStyle w:val="ListBullet"/>
      </w:pPr>
      <w:r>
        <w:t>INTELIGENCIA ARTIFICIAL</w:t>
      </w:r>
    </w:p>
    <w:p>
      <w:pPr>
        <w:pStyle w:val="ListBullet"/>
      </w:pPr>
      <w:r>
        <w:t>VIOLENCIA DE GÉNERO</w:t>
      </w:r>
    </w:p>
    <w:p>
      <w:pPr>
        <w:pStyle w:val="ListBullet"/>
      </w:pPr>
      <w:r>
        <w:t>DISCURSO DE ODIO</w:t>
      </w:r>
    </w:p>
    <w:p>
      <w:pPr>
        <w:pStyle w:val="ListBullet"/>
      </w:pPr>
      <w:r>
        <w:t>PLATAFORMAS DIGITALES</w:t>
      </w:r>
    </w:p>
    <w:p>
      <w:pPr>
        <w:pStyle w:val="ListBullet"/>
      </w:pPr>
      <w:r>
        <w:t>CENSURA</w:t>
      </w:r>
    </w:p>
    <w:p>
      <w:pPr>
        <w:pStyle w:val="ListBullet"/>
      </w:pPr>
      <w:r>
        <w:t>DERECHO A LA PRIVACIDAD</w:t>
      </w:r>
    </w:p>
    <w:p>
      <w:pPr>
        <w:pStyle w:val="ListBullet"/>
      </w:pPr>
      <w:r>
        <w:t>DERECHO A LA PROTESTA</w:t>
      </w:r>
    </w:p>
    <w:p>
      <w:pPr>
        <w:pStyle w:val="ListBullet"/>
      </w:pPr>
      <w:r>
        <w:t>VIGILANCIA</w:t>
      </w:r>
    </w:p>
    <w:p>
      <w:pPr>
        <w:pStyle w:val="ListBullet"/>
      </w:pPr>
      <w:r>
        <w:t>PROPIEDAD INTELECTUAL</w:t>
      </w:r>
    </w:p>
    <w:p>
      <w:pPr>
        <w:pStyle w:val="ListBullet"/>
      </w:pPr>
      <w:r>
        <w:t>PUBLICIDAD OFICIAL</w:t>
      </w:r>
    </w:p>
    <w:p>
      <w:pPr>
        <w:pStyle w:val="ListBullet"/>
      </w:pPr>
      <w:r>
        <w:t>DEFENSA DEL CONSUMIDOR</w:t>
      </w:r>
    </w:p>
    <w:p>
      <w:pPr>
        <w:pStyle w:val="ListBullet"/>
      </w:pPr>
      <w:r>
        <w:t>ELECTORAL</w:t>
      </w:r>
    </w:p>
    <w:p>
      <w:pPr>
        <w:pStyle w:val="ListBullet"/>
      </w:pPr>
      <w:r>
        <w:t>ACCESIBILIDAD</w:t>
      </w:r>
    </w:p>
    <w:p>
      <w:r>
        <w:t>No hay otras. Una etiqueta que no esté en la lista no entra en el boletín, y la entrada se publica sin etiquetar. Si hace falta una nueva hay que agregarla antes en data/etiquetas.yaml y en el CMS.</w:t>
      </w:r>
    </w:p>
    <w:p>
      <w:pPr>
        <w:pStyle w:val="Heading3"/>
      </w:pPr>
      <w:r>
        <w:t>El editorial</w:t>
      </w:r>
    </w:p>
    <w:p>
      <w:r>
        <w:t>Los dos Título 3 del principio son el título y la bajada, en ese orden. Después van los párrafos del editorial.</w:t>
      </w:r>
    </w:p>
    <w:p>
      <w:r>
        <w:t>El anuncio de la mesa va al final del editorial, en un párrafo entero en negrita: así el script lo saca del cuerpo y lo publica como recuadro.</w:t>
      </w:r>
    </w:p>
    <w:p>
      <w:pPr>
        <w:pStyle w:val="Heading3"/>
      </w:pPr>
      <w:r>
        <w:t>Pendientes del mes</w:t>
      </w:r>
    </w:p>
    <w:p>
      <w:r>
        <w:t>(lo que quede por chequear, para uso interno)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2.hcdn.gob.ar/proyectos/proyecto.jsp?exp=3226-D-20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Boletín mensual — Observatorio Legislativo CELE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