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4606E"/>
          <w:spacing w:val="40"/>
          <w:sz w:val="18"/>
          <w:szCs w:val="18"/>
        </w:rPr>
        <w:t xml:space="preserve">BTP ÉLITE  ·  TERRASTAB</w:t>
      </w:r>
    </w:p>
    <w:p>
      <w:pPr>
        <w:spacing w:after="80"/>
      </w:pPr>
      <w:r>
        <w:rPr>
          <w:b/>
          <w:bCs/>
          <w:color w:val="1F3B52"/>
          <w:sz w:val="48"/>
          <w:szCs w:val="48"/>
        </w:rPr>
        <w:t xml:space="preserve">Banque d'angles RGA</w:t>
      </w:r>
    </w:p>
    <w:p>
      <w:pPr>
        <w:spacing w:after="40"/>
      </w:pPr>
      <w:r>
        <w:rPr>
          <w:color w:val="44606E"/>
          <w:sz w:val="24"/>
          <w:szCs w:val="24"/>
        </w:rPr>
        <w:t xml:space="preserve">Matière première pour la production de contenu</w:t>
      </w:r>
    </w:p>
    <w:p>
      <w:pPr>
        <w:pBdr>
          <w:bottom w:val="single" w:color="1F3B52" w:sz="12" w:space="10"/>
        </w:pBdr>
        <w:spacing w:after="320"/>
      </w:pPr>
      <w:r>
        <w:rPr>
          <w:color w:val="5A6B75"/>
          <w:sz w:val="18"/>
          <w:szCs w:val="18"/>
        </w:rPr>
        <w:t xml:space="preserve">18 septembre 2026</w:t>
      </w:r>
    </w:p>
    <w:p>
      <w:pPr>
        <w:spacing w:after="120" w:line="280"/>
      </w:pPr>
      <w:r>
        <w:rPr>
          <w:b w:val="false"/>
          <w:bCs w:val="false"/>
          <w:color w:val="202020"/>
          <w:sz w:val="20"/>
          <w:szCs w:val="20"/>
        </w:rPr>
        <w:t xml:space="preserve">Constituée le 18/09/2026. </w:t>
      </w:r>
      <w:r>
        <w:rPr>
          <w:b/>
          <w:bCs/>
          <w:color w:val="202020"/>
          <w:sz w:val="20"/>
          <w:szCs w:val="20"/>
        </w:rPr>
        <w:t xml:space="preserve">Ce n'est pas un bilan, c'est un réservoir.</w:t>
      </w:r>
    </w:p>
    <w:p>
      <w:pPr>
        <w:spacing w:after="120" w:line="280"/>
      </w:pPr>
      <w:r>
        <w:rPr>
          <w:b w:val="false"/>
          <w:bCs w:val="false"/>
          <w:color w:val="202020"/>
          <w:sz w:val="20"/>
          <w:szCs w:val="20"/>
        </w:rPr>
        <w:t xml:space="preserve">Objectif : alimenter quatre posts par semaine sans se répéter, et installer Philippe comme la voix du RGA.</w:t>
      </w:r>
    </w:p>
    <w:p>
      <w:pPr>
        <w:spacing w:after="120" w:line="280"/>
      </w:pPr>
      <w:r>
        <w:rPr>
          <w:b/>
          <w:bCs/>
          <w:color w:val="202020"/>
          <w:sz w:val="20"/>
          <w:szCs w:val="20"/>
        </w:rPr>
        <w:t xml:space="preserve">Comment lire la colonne « Source »</w:t>
      </w:r>
    </w:p>
    <w:p>
      <w:pPr>
        <w:spacing w:after="120" w:line="280"/>
      </w:pPr>
      <w:r>
        <w:rPr>
          <w:b w:val="false"/>
          <w:bCs w:val="false"/>
          <w:color w:val="202020"/>
          <w:sz w:val="20"/>
          <w:szCs w:val="20"/>
        </w:rPr>
        <w:t xml:space="preserve">✅ fiable et publiable · ⚠️ à sourcer avant usage</w:t>
      </w:r>
    </w:p>
    <w:p>
      <w:pPr>
        <w:pStyle w:val="Heading1"/>
        <w:pBdr>
          <w:bottom w:val="single" w:color="1F3B52" w:sz="6" w:space="6"/>
        </w:pBdr>
        <w:spacing w:after="160" w:before="360"/>
      </w:pPr>
      <w:r>
        <w:rPr>
          <w:b/>
          <w:bCs/>
          <w:color w:val="1F3B52"/>
          <w:sz w:val="26"/>
          <w:szCs w:val="26"/>
        </w:rPr>
        <w:t xml:space="preserve">0. Le post de lundi : H'Expo</w:t>
      </w:r>
    </w:p>
    <w:p>
      <w:pPr>
        <w:spacing w:after="120" w:line="280"/>
      </w:pPr>
      <w:r>
        <w:rPr>
          <w:b w:val="false"/>
          <w:bCs w:val="false"/>
          <w:color w:val="202020"/>
          <w:sz w:val="20"/>
          <w:szCs w:val="20"/>
        </w:rPr>
        <w:t xml:space="preserve">Décidé en réunion. Annonce de présence sur le stand, hashtags du salon, tag possible d'Action Logement et des autres bailleurs présents.</w:t>
      </w:r>
    </w:p>
    <w:p>
      <w:pPr>
        <w:spacing w:after="120" w:line="280"/>
      </w:pPr>
      <w:r>
        <w:rPr>
          <w:b/>
          <w:bCs/>
          <w:color w:val="202020"/>
          <w:sz w:val="20"/>
          <w:szCs w:val="20"/>
        </w:rPr>
        <w:t xml:space="preserve">Angle à privilégier :</w:t>
      </w:r>
      <w:r>
        <w:rPr>
          <w:b w:val="false"/>
          <w:bCs w:val="false"/>
          <w:color w:val="202020"/>
          <w:sz w:val="20"/>
          <w:szCs w:val="20"/>
        </w:rPr>
        <w:t xml:space="preserve"> le logement social est au cœur de la problématique RGA. Des locataires, pas des propriétaires. Quelqu'un qui subit les fissures sans pouvoir décider des travaux.</w:t>
      </w:r>
    </w:p>
    <w:p>
      <w:pPr>
        <w:spacing w:after="120" w:line="280"/>
      </w:pPr>
      <w:r>
        <w:rPr>
          <w:b w:val="false"/>
          <w:bCs w:val="false"/>
          <w:color w:val="202020"/>
          <w:sz w:val="20"/>
          <w:szCs w:val="20"/>
        </w:rPr>
        <w:t xml:space="preserve">Post de clôture en fin de semaine, avec photo et retour de terrain. Demander à Philippe la liste des personnes rencontrées à mettre en avant.</w:t>
      </w:r>
    </w:p>
    <w:p>
      <w:pPr>
        <w:pStyle w:val="Heading1"/>
        <w:pBdr>
          <w:bottom w:val="single" w:color="1F3B52" w:sz="6" w:space="6"/>
        </w:pBdr>
        <w:spacing w:after="160" w:before="360"/>
      </w:pPr>
      <w:r>
        <w:rPr>
          <w:b/>
          <w:bCs/>
          <w:color w:val="1F3B52"/>
          <w:sz w:val="26"/>
          <w:szCs w:val="26"/>
        </w:rPr>
        <w:t xml:space="preserve">1. Le sol vivant : la vulgarisation du mécanisme</w:t>
      </w:r>
    </w:p>
    <w:p>
      <w:pPr>
        <w:spacing w:after="120" w:line="280"/>
      </w:pPr>
      <w:r>
        <w:rPr>
          <w:b w:val="false"/>
          <w:bCs w:val="false"/>
          <w:color w:val="202020"/>
          <w:sz w:val="20"/>
          <w:szCs w:val="20"/>
        </w:rPr>
        <w:t xml:space="preserve">C'est le cœur. Vulgariser le problème est autorisé et souhaitable. Vulgariser la solution ne l'est pas.</w:t>
      </w:r>
    </w:p>
    <w:tbl>
      <w:tblPr>
        <w:tblW w:type="dxa" w:w="9906"/>
        <w:tblBorders>
          <w:top w:val="single" w:color="C3D0D8" w:sz="2"/>
          <w:left w:val="single" w:color="C3D0D8" w:sz="2"/>
          <w:bottom w:val="single" w:color="C3D0D8" w:sz="2"/>
          <w:right w:val="single" w:color="C3D0D8" w:sz="2"/>
          <w:insideH w:val="single" w:color="DCE4E9" w:sz="2"/>
          <w:insideV w:val="single" w:color="DCE4E9" w:sz="2"/>
        </w:tblBorders>
      </w:tblPr>
      <w:tblGrid>
        <w:gridCol w:w="620"/>
        <w:gridCol w:w="2500"/>
        <w:gridCol w:w="4286"/>
        <w:gridCol w:w="2500"/>
      </w:tblGrid>
      <w:tr>
        <w:trPr>
          <w:tblHeader/>
        </w:trPr>
        <w:tc>
          <w:tcPr>
            <w:tcW w:type="dxa" w:w="62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Angle</w:t>
            </w:r>
          </w:p>
        </w:tc>
        <w:tc>
          <w:tcPr>
            <w:tcW w:type="dxa" w:w="4286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Le mécanisme à faire comprendre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1.1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L'argile est un empilement de feuillets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Moins d'un nanomètre d'épaisseur, l'eau circule entre eux, variations de volume de 10 à 40 % selon le minéral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rédigé en interne. Confirmer le pourcentage de variation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1.2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Les trois familles d'argile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Kaolinite peu gonflante, illite moyenne, smectite très gonflante. Deux maisons voisines, deux comportements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prompt système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1.3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sol respire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Il ne bouge pas une fois, il fait des allers-retours. Chaque cycle laisse une trace que le suivant reprend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mécanisme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1.4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Ce n'est pas la sécheresse, c'est l'alternance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La pluie qui suit la sécheresse fait autant de dégâts que la sécheresse. Personne ne le dit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Philippe, 18/09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1.5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L'effet de seuil des fondations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On ne coule pas des fondations au millimètre. 80, 85, 90 cm, un mètre. Quand le front de dessiccation franchit un seuil, des milliers de maisons basculent d'un coup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Stéphane, 18/09 · à formuler prudemment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1.6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La profondeur de dessiccation augmente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Cerema évoque 3 à 5 mètres aujourd'hui. On ne parle plus de maison individuelle à cette profondeur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⚠️ Cerema, à re-sourcer. Le « 8 mètres en Occitanie » cité en réunion reste non vérifié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1.7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poids que le sol porte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Une maison de 100 m² exerce environ 200 tonnes sur son sol. Ce sol, personne ne l'a regardé avant de construire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déjà utilisé le 11/09, à varier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1.8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Pourquoi une fissure ne se referme pas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L'argile regonfle, la fissure non. Le matériau a cédé, pas le sol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mécanisme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1.9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Aléa minéralogique avant d'être aléa climatique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climat déclenche, la minéralogie décide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rédigé en interne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F3B52" w:sz="6" w:space="6"/>
        </w:pBdr>
        <w:spacing w:after="160" w:before="360"/>
      </w:pPr>
      <w:r>
        <w:rPr>
          <w:b/>
          <w:bCs/>
          <w:color w:val="1F3B52"/>
          <w:sz w:val="26"/>
          <w:szCs w:val="26"/>
        </w:rPr>
        <w:t xml:space="preserve">2. Les facteurs aggravants : le territoire prioritaire</w:t>
      </w:r>
    </w:p>
    <w:p>
      <w:pPr>
        <w:spacing w:after="120" w:line="280"/>
      </w:pPr>
      <w:r>
        <w:rPr>
          <w:b/>
          <w:bCs/>
          <w:color w:val="202020"/>
          <w:sz w:val="20"/>
          <w:szCs w:val="20"/>
        </w:rPr>
        <w:t xml:space="preserve">Priorité explicite de Philippe au point du 18/09.</w:t>
      </w:r>
      <w:r>
        <w:rPr>
          <w:b w:val="false"/>
          <w:bCs w:val="false"/>
          <w:color w:val="202020"/>
          <w:sz w:val="20"/>
          <w:szCs w:val="20"/>
        </w:rPr>
        <w:t xml:space="preserve"> Peu chers à traiter, vraie action de prévention, et personne ne communique dessus.</w:t>
      </w:r>
    </w:p>
    <w:tbl>
      <w:tblPr>
        <w:tblW w:type="dxa" w:w="9906"/>
        <w:tblBorders>
          <w:top w:val="single" w:color="C3D0D8" w:sz="2"/>
          <w:left w:val="single" w:color="C3D0D8" w:sz="2"/>
          <w:bottom w:val="single" w:color="C3D0D8" w:sz="2"/>
          <w:right w:val="single" w:color="C3D0D8" w:sz="2"/>
          <w:insideH w:val="single" w:color="DCE4E9" w:sz="2"/>
          <w:insideV w:val="single" w:color="DCE4E9" w:sz="2"/>
        </w:tblBorders>
      </w:tblPr>
      <w:tblGrid>
        <w:gridCol w:w="620"/>
        <w:gridCol w:w="2500"/>
        <w:gridCol w:w="4286"/>
        <w:gridCol w:w="2500"/>
      </w:tblGrid>
      <w:tr>
        <w:trPr>
          <w:tblHeader/>
        </w:trPr>
        <w:tc>
          <w:tcPr>
            <w:tcW w:type="dxa" w:w="62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Angle</w:t>
            </w:r>
          </w:p>
        </w:tc>
        <w:tc>
          <w:tcPr>
            <w:tcW w:type="dxa" w:w="4286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L'idée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2.1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Votre gouttière coûte plus cher que votre assurance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Une descente d'eau mal orientée sature toujours la même façade. Tassement asymétrique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mécanisme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2.2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réseau enterré qui fuit depuis vingt ans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Accélérateur invisible. Personne ne fait le lien avec les fissures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mécanisme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2.3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L'arbre est prédateur le jour, régulateur la nuit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Redistribution hydraulique. L'équilibre tient jusqu'au point de bascule de l'été sec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post déjà rédigé pour le 23/09, excellent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2.4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Couper l'arbre peut aggraver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Contre-intuitif pur. A déjà fait 91K impressions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historique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2.5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La terrasse, l'allée, le parking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Toute surface imperméable déplace l'eau. Où va-t-elle ?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mécanisme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2.6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30 % de sinistralité en moins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Conviction TerraStab : traiter les facteurs aggravants à grande échelle ferait baisser la sinistralité d'environ 30 %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Philippe la pose lui-même comme une conviction, pas comme un résultat démontré. </w:t>
            </w:r>
            <w:r>
              <w:rPr>
                <w:b/>
                <w:bCs/>
                <w:color w:val="202020"/>
                <w:sz w:val="17"/>
                <w:szCs w:val="17"/>
              </w:rPr>
              <w:t xml:space="preserve">La formuler ainsi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2.7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diagnostic gratuit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Identifier soi-même les situations à risque, avant tout devis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existe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F3B52" w:sz="6" w:space="6"/>
        </w:pBdr>
        <w:spacing w:after="160" w:before="360"/>
      </w:pPr>
      <w:r>
        <w:rPr>
          <w:b/>
          <w:bCs/>
          <w:color w:val="1F3B52"/>
          <w:sz w:val="26"/>
          <w:szCs w:val="26"/>
        </w:rPr>
        <w:t xml:space="preserve">3. Le RGA au-delà de la maison individuelle</w:t>
      </w:r>
    </w:p>
    <w:p>
      <w:pPr>
        <w:spacing w:after="120" w:line="280"/>
      </w:pPr>
      <w:r>
        <w:rPr>
          <w:b w:val="false"/>
          <w:bCs w:val="false"/>
          <w:color w:val="202020"/>
          <w:sz w:val="20"/>
          <w:szCs w:val="20"/>
        </w:rPr>
        <w:t xml:space="preserve">Axe ouvert par Philippe et Stéphane le 18/09. Très peu exploité, et il change l'échelle du sujet.</w:t>
      </w:r>
    </w:p>
    <w:tbl>
      <w:tblPr>
        <w:tblW w:type="dxa" w:w="9906"/>
        <w:tblBorders>
          <w:top w:val="single" w:color="C3D0D8" w:sz="2"/>
          <w:left w:val="single" w:color="C3D0D8" w:sz="2"/>
          <w:bottom w:val="single" w:color="C3D0D8" w:sz="2"/>
          <w:right w:val="single" w:color="C3D0D8" w:sz="2"/>
          <w:insideH w:val="single" w:color="DCE4E9" w:sz="2"/>
          <w:insideV w:val="single" w:color="DCE4E9" w:sz="2"/>
        </w:tblBorders>
      </w:tblPr>
      <w:tblGrid>
        <w:gridCol w:w="620"/>
        <w:gridCol w:w="2500"/>
        <w:gridCol w:w="4286"/>
        <w:gridCol w:w="2500"/>
      </w:tblGrid>
      <w:tr>
        <w:trPr>
          <w:tblHeader/>
        </w:trPr>
        <w:tc>
          <w:tcPr>
            <w:tcW w:type="dxa" w:w="62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Angle</w:t>
            </w:r>
          </w:p>
        </w:tc>
        <w:tc>
          <w:tcPr>
            <w:tcW w:type="dxa" w:w="4286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L'idée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3.1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réseau routier est le premier patrimoine de l'État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Et il est très sensible aux variations hydriques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3.2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Les fissures parallèles des routes de campagne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Affaissement latéral par retrait. Une fois ouvertes, elles ne se referment pas. La route n'est plus étanche, le ruissellement commence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observable, photographiable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3.3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Un échangeur d'autoroute a des fondations plus profondes qu'une maison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Et il bouge quand même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3.4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Les rails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Peu de documentation, mais le sujet existe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3.5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bâti collectif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À 3 à 5 mètres de dessiccation, on quitte la maison individuelle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3.6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Les châteaux et le bâti d'exception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Fondations peu profondes, réévaluation assurantielle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article rga-news 09/07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3.7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Les églises de village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13e-14e siècle, fondations légères, communes sans ressources, devis de confortement hors de portée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le nombre d'églises concernées reste à sourcer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3.8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Les corons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800 mètres sous terre hier, 50 centimètres sous les maisons aujourd'hui. Patrimoine UNESCO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déjà utilisé le 07/08, angle fort à reprendre autrement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F3B52" w:sz="6" w:space="6"/>
        </w:pBdr>
        <w:spacing w:after="160" w:before="360"/>
      </w:pPr>
      <w:r>
        <w:rPr>
          <w:b/>
          <w:bCs/>
          <w:color w:val="1F3B52"/>
          <w:sz w:val="26"/>
          <w:szCs w:val="26"/>
        </w:rPr>
        <w:t xml:space="preserve">4. L'inégalité territoriale : l'axe militant</w:t>
      </w:r>
    </w:p>
    <w:p>
      <w:pPr>
        <w:spacing w:after="120" w:line="280"/>
      </w:pPr>
      <w:r>
        <w:rPr>
          <w:b w:val="false"/>
          <w:bCs w:val="false"/>
          <w:color w:val="202020"/>
          <w:sz w:val="20"/>
          <w:szCs w:val="20"/>
        </w:rPr>
        <w:t xml:space="preserve"> Formulé par Philippe comme un des axes militants de TerraStab.</w:t>
      </w:r>
    </w:p>
    <w:tbl>
      <w:tblPr>
        <w:tblW w:type="dxa" w:w="9906"/>
        <w:tblBorders>
          <w:top w:val="single" w:color="C3D0D8" w:sz="2"/>
          <w:left w:val="single" w:color="C3D0D8" w:sz="2"/>
          <w:bottom w:val="single" w:color="C3D0D8" w:sz="2"/>
          <w:right w:val="single" w:color="C3D0D8" w:sz="2"/>
          <w:insideH w:val="single" w:color="DCE4E9" w:sz="2"/>
          <w:insideV w:val="single" w:color="DCE4E9" w:sz="2"/>
        </w:tblBorders>
      </w:tblPr>
      <w:tblGrid>
        <w:gridCol w:w="620"/>
        <w:gridCol w:w="2500"/>
        <w:gridCol w:w="4286"/>
        <w:gridCol w:w="2500"/>
      </w:tblGrid>
      <w:tr>
        <w:trPr>
          <w:tblHeader/>
        </w:trPr>
        <w:tc>
          <w:tcPr>
            <w:tcW w:type="dxa" w:w="62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Angle</w:t>
            </w:r>
          </w:p>
        </w:tc>
        <w:tc>
          <w:tcPr>
            <w:tcW w:type="dxa" w:w="4286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L'idée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4.1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RGA frappe d'abord la ruralité et le périurbain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Des populations souvent plus modestes, moins outillées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4.2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La commune de 400 habitants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Une assistante, pas de directeur de l'urbanisme, et un dossier CatNat à monter. Elle n'y arrive pas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4.3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La mairie comme pivot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Dans les zones rurales, l'intensité relationnelle avec la mairie est forte. En faire le pivot de la sensibilisation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4.4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Deux communes voisines, deux sorts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L'une reconnue, l'autre pas. Même sécheresse, même argile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vérifiable dans les arrêtés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⚠️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202020"/>
                <w:sz w:val="17"/>
                <w:szCs w:val="17"/>
              </w:rPr>
              <w:t xml:space="preserve">Le fil ténu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L'État et les assureurs n'ont pas intérêt à une explosion des déclarations de sinistres. </w:t>
            </w:r>
            <w:r>
              <w:rPr>
                <w:b/>
                <w:bCs/>
                <w:color w:val="202020"/>
                <w:sz w:val="17"/>
                <w:szCs w:val="17"/>
              </w:rPr>
              <w:t xml:space="preserve">Communiquer sur l'inégalité d'accès et l'équipement des communes, jamais sur « déclarez plus »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Avertissement posé par Philippe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F3B52" w:sz="6" w:space="6"/>
        </w:pBdr>
        <w:spacing w:after="160" w:before="360"/>
      </w:pPr>
      <w:r>
        <w:rPr>
          <w:b/>
          <w:bCs/>
          <w:color w:val="1F3B52"/>
          <w:sz w:val="26"/>
          <w:szCs w:val="26"/>
        </w:rPr>
        <w:t xml:space="preserve">5. Assurance, CatNat, assurabilité</w:t>
      </w:r>
    </w:p>
    <w:p>
      <w:pPr>
        <w:spacing w:after="120" w:line="280"/>
      </w:pPr>
      <w:r>
        <w:rPr>
          <w:b w:val="false"/>
          <w:bCs w:val="false"/>
          <w:color w:val="202020"/>
          <w:sz w:val="20"/>
          <w:szCs w:val="20"/>
        </w:rPr>
        <w:t xml:space="preserve">Le territoire le plus riche en actualité datée et sourçable.</w:t>
      </w:r>
    </w:p>
    <w:tbl>
      <w:tblPr>
        <w:tblW w:type="dxa" w:w="9906"/>
        <w:tblBorders>
          <w:top w:val="single" w:color="C3D0D8" w:sz="2"/>
          <w:left w:val="single" w:color="C3D0D8" w:sz="2"/>
          <w:bottom w:val="single" w:color="C3D0D8" w:sz="2"/>
          <w:right w:val="single" w:color="C3D0D8" w:sz="2"/>
          <w:insideH w:val="single" w:color="DCE4E9" w:sz="2"/>
          <w:insideV w:val="single" w:color="DCE4E9" w:sz="2"/>
        </w:tblBorders>
      </w:tblPr>
      <w:tblGrid>
        <w:gridCol w:w="620"/>
        <w:gridCol w:w="2500"/>
        <w:gridCol w:w="4286"/>
        <w:gridCol w:w="2500"/>
      </w:tblGrid>
      <w:tr>
        <w:trPr>
          <w:tblHeader/>
        </w:trPr>
        <w:tc>
          <w:tcPr>
            <w:tcW w:type="dxa" w:w="62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Angle</w:t>
            </w:r>
          </w:p>
        </w:tc>
        <w:tc>
          <w:tcPr>
            <w:tcW w:type="dxa" w:w="4286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L'idée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5.1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202020"/>
                <w:sz w:val="17"/>
                <w:szCs w:val="17"/>
              </w:rPr>
              <w:t xml:space="preserve">L'Observatoire CatNat RGA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Publier la série : communes demandeuses, reconnues, refusées, taux de refus, évolution. </w:t>
            </w:r>
            <w:r>
              <w:rPr>
                <w:b/>
                <w:bCs/>
                <w:color w:val="202020"/>
                <w:sz w:val="17"/>
                <w:szCs w:val="17"/>
              </w:rPr>
              <w:t xml:space="preserve">L'actif propriétaire à créer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arrêtés publics. Voir </w:t>
            </w:r>
            <w:r>
              <w:rPr>
                <w:rFonts w:ascii="Consolas" w:cs="Consolas" w:eastAsia="Consolas" w:hAnsi="Consolas"/>
                <w:color w:val="44606E"/>
                <w:sz w:val="17"/>
                <w:szCs w:val="17"/>
              </w:rPr>
              <w:t xml:space="preserve">positionnement-reference-rga.md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5.2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décret et l'arrêté du 9 août 2026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Qualification obligatoire des experts d'assurance. Lu à l'envers : jusqu'au 8 août, elle ne l'était pas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⚠️ fait établi, références Légifrance à confirmer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5.3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Fonds de prévention à 5 mm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On appelle prévention un dispositif qui attend que la maison soit ouverte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5.4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2 000 dossiers déposés, 19 instruits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chiffre le plus dévastateur du corpus, s'il se confirme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⚠️ à re-sourcer d'urgence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5.5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La sécheresse est devenue le premier poste CatNat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53,1 % de la sinistralité non automobile sur dix ans. Inversion historique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rapport annuel CCR, 23/06/2026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5.6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Les 500 milliards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Edouard Vieillefond, directeur général de la CCR : « risque principal » et « le plus fort en France »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attribution nommée obligatoire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5.7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Pertes assurées sécheresse 2025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770 M€ à 1 Md€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CCR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5.8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La Cour de cassation change la donne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Arrêt du 12 février 2026 : une reconnaissance CatNat ne suffit plus, encore faut-il prouver que des mesures habituelles de prévention ont été prises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⚠️ référence à confirmer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5.9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D'un sujet d'indemnisation à un sujet d'assurabilité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retournement le plus fort du corpus. À retravailler sans le chiffre erroné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5.10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L'adresse devient un critère d'assurabilité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Sans retrait officiel de garantie, le prix et les conditions changent selon l'adresse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article rga-news 31/07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5.11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délai de traitement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locataire ou le propriétaire vit avec les fissures pendant l'instruction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⚠️ durée à sourcer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5.12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La franchise RGA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1 520 € contre 380 € pour les autres périls CatNat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prompt système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5.13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Que faire quand une fissure apparaît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Ne pas reboucher. Photographier, dater, constituer le dossier. </w:t>
            </w:r>
            <w:r>
              <w:rPr>
                <w:b/>
                <w:bCs/>
                <w:color w:val="202020"/>
                <w:sz w:val="17"/>
                <w:szCs w:val="17"/>
              </w:rPr>
              <w:t xml:space="preserve">Un post qui rend service et ne vend rien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F3B52" w:sz="6" w:space="6"/>
        </w:pBdr>
        <w:spacing w:after="160" w:before="360"/>
      </w:pPr>
      <w:r>
        <w:rPr>
          <w:b/>
          <w:bCs/>
          <w:color w:val="1F3B52"/>
          <w:sz w:val="26"/>
          <w:szCs w:val="26"/>
        </w:rPr>
        <w:t xml:space="preserve">6. Climat : la vision à 360</w:t>
      </w:r>
    </w:p>
    <w:p>
      <w:pPr>
        <w:spacing w:after="120" w:line="280"/>
      </w:pPr>
      <w:r>
        <w:rPr>
          <w:b w:val="false"/>
          <w:bCs w:val="false"/>
          <w:color w:val="202020"/>
          <w:sz w:val="20"/>
          <w:szCs w:val="20"/>
        </w:rPr>
        <w:t xml:space="preserve">Philippe veut montrer une vision écosystémique, pas seulement RGA.</w:t>
      </w:r>
    </w:p>
    <w:tbl>
      <w:tblPr>
        <w:tblW w:type="dxa" w:w="9906"/>
        <w:tblBorders>
          <w:top w:val="single" w:color="C3D0D8" w:sz="2"/>
          <w:left w:val="single" w:color="C3D0D8" w:sz="2"/>
          <w:bottom w:val="single" w:color="C3D0D8" w:sz="2"/>
          <w:right w:val="single" w:color="C3D0D8" w:sz="2"/>
          <w:insideH w:val="single" w:color="DCE4E9" w:sz="2"/>
          <w:insideV w:val="single" w:color="DCE4E9" w:sz="2"/>
        </w:tblBorders>
      </w:tblPr>
      <w:tblGrid>
        <w:gridCol w:w="620"/>
        <w:gridCol w:w="2500"/>
        <w:gridCol w:w="4286"/>
        <w:gridCol w:w="2500"/>
      </w:tblGrid>
      <w:tr>
        <w:trPr>
          <w:tblHeader/>
        </w:trPr>
        <w:tc>
          <w:tcPr>
            <w:tcW w:type="dxa" w:w="62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Angle</w:t>
            </w:r>
          </w:p>
        </w:tc>
        <w:tc>
          <w:tcPr>
            <w:tcW w:type="dxa" w:w="4286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L'idée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6.1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Pourquoi plus d'incendies ? Parce qu'il a plu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Pluie d'hiver, végétation basse, canicule de mai, broussaille sèche. Ce n'est pas que la sécheresse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raisonnement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6.2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GIEC n'est pas assez alarmiste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Ce qu'on a vu en 2026 était prévu pour 2035-2040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à étayer précisément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6.3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Parler des conséquences, pas des degrés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« 2,5 degrés » ne dit rien à personne. La conséquence, si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principe de méthode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6.4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corail et l'ouragan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Une barrière de corail absorbe l'essentiel de l'énergie cinétique d'un ouragan. Métaphore de ce qu'on perd sans le voir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chiffres à sourcer. Utile comme analogie, pas comme donnée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6.5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La saison des fissures est l'été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Elles naissent en été, elles se déclarent plus tard. Ne jamais écrire « les maisons qui se fissureront cet hiver »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règle du prompt système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6.6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climat de 2050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Paris au climat de Séville. Ce que ça fait aux sols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déjà utilisé le 06/08. Confirmer la projection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F3B52" w:sz="6" w:space="6"/>
        </w:pBdr>
        <w:spacing w:after="160" w:before="360"/>
      </w:pPr>
      <w:r>
        <w:rPr>
          <w:b/>
          <w:bCs/>
          <w:color w:val="1F3B52"/>
          <w:sz w:val="26"/>
          <w:szCs w:val="26"/>
        </w:rPr>
        <w:t xml:space="preserve">7. Patrimoine et humain</w:t>
      </w:r>
    </w:p>
    <w:p>
      <w:pPr>
        <w:spacing w:after="120" w:line="280"/>
      </w:pPr>
      <w:r>
        <w:rPr>
          <w:b w:val="false"/>
          <w:bCs w:val="false"/>
          <w:color w:val="202020"/>
          <w:sz w:val="20"/>
          <w:szCs w:val="20"/>
        </w:rPr>
        <w:t xml:space="preserve">Le registre le plus distinctif du compte. Personne d'autre ne le tient sur le RGA.</w:t>
      </w:r>
    </w:p>
    <w:tbl>
      <w:tblPr>
        <w:tblW w:type="dxa" w:w="9906"/>
        <w:tblBorders>
          <w:top w:val="single" w:color="C3D0D8" w:sz="2"/>
          <w:left w:val="single" w:color="C3D0D8" w:sz="2"/>
          <w:bottom w:val="single" w:color="C3D0D8" w:sz="2"/>
          <w:right w:val="single" w:color="C3D0D8" w:sz="2"/>
          <w:insideH w:val="single" w:color="DCE4E9" w:sz="2"/>
          <w:insideV w:val="single" w:color="DCE4E9" w:sz="2"/>
        </w:tblBorders>
      </w:tblPr>
      <w:tblGrid>
        <w:gridCol w:w="620"/>
        <w:gridCol w:w="2500"/>
        <w:gridCol w:w="4286"/>
        <w:gridCol w:w="2500"/>
      </w:tblGrid>
      <w:tr>
        <w:trPr>
          <w:tblHeader/>
        </w:trPr>
        <w:tc>
          <w:tcPr>
            <w:tcW w:type="dxa" w:w="62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Angle</w:t>
            </w:r>
          </w:p>
        </w:tc>
        <w:tc>
          <w:tcPr>
            <w:tcW w:type="dxa" w:w="4286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L'idée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7.1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patrimoine ordinaire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Pas les châteaux et les cathédrales. Les villas des années 50, les écoles, les mairies, les maisons de famille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déjà amorcé, registre signature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7.2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Royan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Détruite en 1945, reconstruite dans les années 50, témoin majeur de la Reconstruction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7.3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bâtiment le plus durable est celui qu'on conserve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On parle beaucoup de transition, trop peu de préservation de l'existant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7.4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Une maison de 1850 a été construite pour le climat de 1850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Aucune n'a été construite pour ce qui se passe aujourd'hui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excellent, déjà utilisé le 16/04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7.5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voisin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L'ancrage émotionnel de toute la communication. </w:t>
            </w:r>
            <w:r>
              <w:rPr>
                <w:b/>
                <w:bCs/>
                <w:color w:val="202020"/>
                <w:sz w:val="17"/>
                <w:szCs w:val="17"/>
              </w:rPr>
              <w:t xml:space="preserve">Version canonique à fixer avec Philippe</w:t>
            </w: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 : résine ou micropieux, et le montant de l'alternative en ratio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deux versions contradictoires en circulation, à trancher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7.6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La maison, c'est tout ce qu'il a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patrimoine d'une vie qui perd sa valeur en quelques mois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7.7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maire qui appelle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Une église, un devis hors budget, une commune de 300 habitants. Une demande, pas une offre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à n'utiliser que si le fait est réel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7.8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La Fondation TerraStab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Documenter l'impact du changement climatique sur le bâti et les habitants. Objectif posé comme aussi important que le business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Pas encore finançable. À manier comme intention, pas comme annonce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F3B52" w:sz="6" w:space="6"/>
        </w:pBdr>
        <w:spacing w:after="160" w:before="360"/>
      </w:pPr>
      <w:r>
        <w:rPr>
          <w:b/>
          <w:bCs/>
          <w:color w:val="1F3B52"/>
          <w:sz w:val="26"/>
          <w:szCs w:val="26"/>
        </w:rPr>
        <w:t xml:space="preserve">8. Spectaculaire contre systémique</w:t>
      </w:r>
    </w:p>
    <w:p>
      <w:pPr>
        <w:spacing w:after="120" w:line="280"/>
      </w:pPr>
      <w:r>
        <w:rPr>
          <w:b w:val="false"/>
          <w:bCs w:val="false"/>
          <w:color w:val="202020"/>
          <w:sz w:val="20"/>
          <w:szCs w:val="20"/>
        </w:rPr>
        <w:t xml:space="preserve">L'angle média que Philippe et Stéphane ont développé longuement. Très peu exploité, et très fort.</w:t>
      </w:r>
    </w:p>
    <w:tbl>
      <w:tblPr>
        <w:tblW w:type="dxa" w:w="9906"/>
        <w:tblBorders>
          <w:top w:val="single" w:color="C3D0D8" w:sz="2"/>
          <w:left w:val="single" w:color="C3D0D8" w:sz="2"/>
          <w:bottom w:val="single" w:color="C3D0D8" w:sz="2"/>
          <w:right w:val="single" w:color="C3D0D8" w:sz="2"/>
          <w:insideH w:val="single" w:color="DCE4E9" w:sz="2"/>
          <w:insideV w:val="single" w:color="DCE4E9" w:sz="2"/>
        </w:tblBorders>
      </w:tblPr>
      <w:tblGrid>
        <w:gridCol w:w="620"/>
        <w:gridCol w:w="2500"/>
        <w:gridCol w:w="4286"/>
        <w:gridCol w:w="2500"/>
      </w:tblGrid>
      <w:tr>
        <w:trPr>
          <w:tblHeader/>
        </w:trPr>
        <w:tc>
          <w:tcPr>
            <w:tcW w:type="dxa" w:w="62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Angle</w:t>
            </w:r>
          </w:p>
        </w:tc>
        <w:tc>
          <w:tcPr>
            <w:tcW w:type="dxa" w:w="4286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L'idée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8.1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RGA n'est pas photogénique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Une inondation, c'est deux JT par jour. Le RGA, c'est un reportage par semaine en pleine saison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8.2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L'asymétrie de couverture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Comparer le volume de couverture média RGA / incendies / inondations, mis en regard des enjeux financiers. </w:t>
            </w:r>
            <w:r>
              <w:rPr>
                <w:b/>
                <w:bCs/>
                <w:color w:val="202020"/>
                <w:sz w:val="17"/>
                <w:szCs w:val="17"/>
              </w:rPr>
              <w:t xml:space="preserve">Idée de graphique de Philippe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 demande un outil de mesure presse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8.3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taux de couverture assurantielle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Élevé pour inondation et incendie, beaucoup plus faible pour le RGA. Deux sinistrés, deux traitements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⚠️ à sourcer précisément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8.4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La saisonnalité des news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On en parle en août, plus du tout en novembre. Les fissures, elles, continuent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8.5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Un risque lent devient visible quand il est devenu cher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La phrase qui résume tout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F3B52" w:sz="6" w:space="6"/>
        </w:pBdr>
        <w:spacing w:after="160" w:before="360"/>
      </w:pPr>
      <w:r>
        <w:rPr>
          <w:b/>
          <w:bCs/>
          <w:color w:val="1F3B52"/>
          <w:sz w:val="26"/>
          <w:szCs w:val="26"/>
        </w:rPr>
        <w:t xml:space="preserve">9. Formats et rendez-vous à installer</w:t>
      </w:r>
    </w:p>
    <w:tbl>
      <w:tblPr>
        <w:tblW w:type="dxa" w:w="9906"/>
        <w:tblBorders>
          <w:top w:val="single" w:color="C3D0D8" w:sz="2"/>
          <w:left w:val="single" w:color="C3D0D8" w:sz="2"/>
          <w:bottom w:val="single" w:color="C3D0D8" w:sz="2"/>
          <w:right w:val="single" w:color="C3D0D8" w:sz="2"/>
          <w:insideH w:val="single" w:color="DCE4E9" w:sz="2"/>
          <w:insideV w:val="single" w:color="DCE4E9" w:sz="2"/>
        </w:tblBorders>
      </w:tblPr>
      <w:tblGrid>
        <w:gridCol w:w="620"/>
        <w:gridCol w:w="2500"/>
        <w:gridCol w:w="4286"/>
        <w:gridCol w:w="2500"/>
      </w:tblGrid>
      <w:tr>
        <w:trPr>
          <w:tblHeader/>
        </w:trPr>
        <w:tc>
          <w:tcPr>
            <w:tcW w:type="dxa" w:w="62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Format</w:t>
            </w:r>
          </w:p>
        </w:tc>
        <w:tc>
          <w:tcPr>
            <w:tcW w:type="dxa" w:w="4286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Ce que c'est</w:t>
            </w:r>
          </w:p>
        </w:tc>
        <w:tc>
          <w:tcPr>
            <w:tcW w:type="dxa" w:w="25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Statut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9.1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202020"/>
                <w:sz w:val="17"/>
                <w:szCs w:val="17"/>
              </w:rPr>
              <w:t xml:space="preserve">L'Observatoire CatNat RGA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Le rendez-vous propriétaire après chaque arrêté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À lancer. Méthode à fiabiliser d'abord</w:t>
            </w:r>
          </w:p>
        </w:tc>
      </w:tr>
      <w:tr>
        <w:trPr>
          <w:tblHeader w:val="false"/>
        </w:trPr>
        <w:tc>
          <w:tcPr>
            <w:tcW w:type="dxa" w:w="62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9.2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202020"/>
                <w:sz w:val="17"/>
                <w:szCs w:val="17"/>
              </w:rPr>
              <w:t xml:space="preserve">Le post court</w:t>
            </w:r>
          </w:p>
        </w:tc>
        <w:tc>
          <w:tcPr>
            <w:tcW w:type="dxa" w:w="428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300 à 600 signes, une question ouverte</w:t>
            </w:r>
          </w:p>
        </w:tc>
        <w:tc>
          <w:tcPr>
            <w:tcW w:type="dxa" w:w="25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Prévu depuis juin, </w:t>
            </w:r>
            <w:r>
              <w:rPr>
                <w:b/>
                <w:bCs/>
                <w:color w:val="202020"/>
                <w:sz w:val="17"/>
                <w:szCs w:val="17"/>
              </w:rPr>
              <w:t xml:space="preserve">jamais produit</w:t>
            </w:r>
          </w:p>
        </w:tc>
      </w:tr>
      <w:tr>
        <w:trPr>
          <w:tblHeader w:val="false"/>
        </w:trPr>
        <w:tc>
          <w:tcPr>
            <w:tcW w:type="dxa" w:w="6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9.3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202020"/>
                <w:sz w:val="17"/>
                <w:szCs w:val="17"/>
              </w:rPr>
              <w:t xml:space="preserve">Une question, trois experts</w:t>
            </w:r>
          </w:p>
        </w:tc>
        <w:tc>
          <w:tcPr>
            <w:tcW w:type="dxa" w:w="428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Poser une question technique et inviter nommément des experts à répondre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À lancer. Commencer par des géotechniciens de terrain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F3B52" w:sz="6" w:space="6"/>
        </w:pBdr>
        <w:spacing w:after="160" w:before="360"/>
      </w:pPr>
      <w:r>
        <w:rPr>
          <w:b/>
          <w:bCs/>
          <w:color w:val="1F3B52"/>
          <w:sz w:val="26"/>
          <w:szCs w:val="26"/>
        </w:rPr>
        <w:t xml:space="preserve">10. Les mécanismes de vulgarisation à réutiliser</w:t>
      </w:r>
    </w:p>
    <w:p>
      <w:pPr>
        <w:spacing w:after="120" w:line="280"/>
      </w:pPr>
      <w:r>
        <w:rPr>
          <w:b w:val="false"/>
          <w:bCs w:val="false"/>
          <w:color w:val="202020"/>
          <w:sz w:val="20"/>
          <w:szCs w:val="20"/>
        </w:rPr>
        <w:t xml:space="preserve">Repris du playbook Jancovici et adaptés au RGA.</w:t>
      </w:r>
    </w:p>
    <w:tbl>
      <w:tblPr>
        <w:tblW w:type="dxa" w:w="9906"/>
        <w:tblBorders>
          <w:top w:val="single" w:color="C3D0D8" w:sz="2"/>
          <w:left w:val="single" w:color="C3D0D8" w:sz="2"/>
          <w:bottom w:val="single" w:color="C3D0D8" w:sz="2"/>
          <w:right w:val="single" w:color="C3D0D8" w:sz="2"/>
          <w:insideH w:val="single" w:color="DCE4E9" w:sz="2"/>
          <w:insideV w:val="single" w:color="DCE4E9" w:sz="2"/>
        </w:tblBorders>
      </w:tblPr>
      <w:tblGrid>
        <w:gridCol w:w="3100"/>
        <w:gridCol w:w="6806"/>
      </w:tblGrid>
      <w:tr>
        <w:trPr>
          <w:tblHeader/>
        </w:trPr>
        <w:tc>
          <w:tcPr>
            <w:tcW w:type="dxa" w:w="310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Mécanisme</w:t>
            </w:r>
          </w:p>
        </w:tc>
        <w:tc>
          <w:tcPr>
            <w:tcW w:type="dxa" w:w="6806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2"/>
                <w:sz w:val="17"/>
                <w:szCs w:val="17"/>
              </w:rPr>
              <w:t xml:space="preserve">Application RGA</w:t>
            </w:r>
          </w:p>
        </w:tc>
      </w:tr>
      <w:tr>
        <w:trPr>
          <w:tblHeader w:val="false"/>
        </w:trPr>
        <w:tc>
          <w:tcPr>
            <w:tcW w:type="dxa" w:w="3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202020"/>
                <w:sz w:val="17"/>
                <w:szCs w:val="17"/>
              </w:rPr>
              <w:t xml:space="preserve">L'ordre de grandeur plutôt que le chiffre exact</w:t>
            </w:r>
          </w:p>
        </w:tc>
        <w:tc>
          <w:tcPr>
            <w:tcW w:type="dxa" w:w="680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Dire « trois maisons individuelles sur cinq » plutôt que « 12,1 millions ». Le rapport se retient, le chiffre s'oublie et se conteste</w:t>
            </w:r>
          </w:p>
        </w:tc>
      </w:tr>
      <w:tr>
        <w:trPr>
          <w:tblHeader w:val="false"/>
        </w:trPr>
        <w:tc>
          <w:tcPr>
            <w:tcW w:type="dxa" w:w="31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202020"/>
                <w:sz w:val="17"/>
                <w:szCs w:val="17"/>
              </w:rPr>
              <w:t xml:space="preserve">L'unité incarnée</w:t>
            </w:r>
          </w:p>
        </w:tc>
        <w:tc>
          <w:tcPr>
            <w:tcW w:type="dxa" w:w="680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« Une douche quotidienne, environ 30 litres par jour » pour l'eau utilisée. Déjà sur le site, </w:t>
            </w:r>
            <w:r>
              <w:rPr>
                <w:b/>
                <w:bCs/>
                <w:color w:val="202020"/>
                <w:sz w:val="17"/>
                <w:szCs w:val="17"/>
              </w:rPr>
              <w:t xml:space="preserve">jamais sur LinkedIn</w:t>
            </w:r>
          </w:p>
        </w:tc>
      </w:tr>
      <w:tr>
        <w:trPr>
          <w:tblHeader w:val="false"/>
        </w:trPr>
        <w:tc>
          <w:tcPr>
            <w:tcW w:type="dxa" w:w="3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202020"/>
                <w:sz w:val="17"/>
                <w:szCs w:val="17"/>
              </w:rPr>
              <w:t xml:space="preserve">Le cadre physique irréfutable</w:t>
            </w:r>
          </w:p>
        </w:tc>
        <w:tc>
          <w:tcPr>
            <w:tcW w:type="dxa" w:w="680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« Le sol bouge. La maison, elle, ne peut pas. » Personne ne conteste ça, tout en découle</w:t>
            </w:r>
          </w:p>
        </w:tc>
      </w:tr>
      <w:tr>
        <w:trPr>
          <w:tblHeader w:val="false"/>
        </w:trPr>
        <w:tc>
          <w:tcPr>
            <w:tcW w:type="dxa" w:w="31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202020"/>
                <w:sz w:val="17"/>
                <w:szCs w:val="17"/>
              </w:rPr>
              <w:t xml:space="preserve">Cinq portes pour le même problème</w:t>
            </w:r>
          </w:p>
        </w:tc>
        <w:tc>
          <w:tcPr>
            <w:tcW w:type="dxa" w:w="680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Pourquoi ma maison se fissure : angle climatique, géologique, facteurs aggravants, assurantiel, réglementaire. Un post, une porte, jamais deux fois la même</w:t>
            </w:r>
          </w:p>
        </w:tc>
      </w:tr>
      <w:tr>
        <w:trPr>
          <w:tblHeader w:val="false"/>
        </w:trPr>
        <w:tc>
          <w:tcPr>
            <w:tcW w:type="dxa" w:w="3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202020"/>
                <w:sz w:val="17"/>
                <w:szCs w:val="17"/>
              </w:rPr>
              <w:t xml:space="preserve">Le chiffrage par cas concret</w:t>
            </w:r>
          </w:p>
        </w:tc>
        <w:tc>
          <w:tcPr>
            <w:tcW w:type="dxa" w:w="680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Construire un parc devant le lecteur : 500 logements, 60 % sur argile, donc 300 exposés. Le calcul se fait sous ses yeux</w:t>
            </w:r>
          </w:p>
        </w:tc>
      </w:tr>
      <w:tr>
        <w:trPr>
          <w:tblHeader w:val="false"/>
        </w:trPr>
        <w:tc>
          <w:tcPr>
            <w:tcW w:type="dxa" w:w="3100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202020"/>
                <w:sz w:val="17"/>
                <w:szCs w:val="17"/>
              </w:rPr>
              <w:t xml:space="preserve">Le raisonnement visible</w:t>
            </w:r>
          </w:p>
        </w:tc>
        <w:tc>
          <w:tcPr>
            <w:tcW w:type="dxa" w:w="6806"/>
            <w:shd w:fill="F4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7"/>
                <w:szCs w:val="17"/>
              </w:rPr>
              <w:t xml:space="preserve">Montrer la chaîne causale, pas la conclusion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F3B52" w:sz="6" w:space="6"/>
        </w:pBdr>
        <w:spacing w:after="160" w:before="360"/>
      </w:pPr>
      <w:r>
        <w:rPr>
          <w:b/>
          <w:bCs/>
          <w:color w:val="1F3B52"/>
          <w:sz w:val="26"/>
          <w:szCs w:val="26"/>
        </w:rPr>
        <w:t xml:space="preserve">11. Rappels de sécurité, à chaque post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 w:val="false"/>
          <w:bCs w:val="false"/>
          <w:color w:val="202020"/>
          <w:sz w:val="20"/>
          <w:szCs w:val="20"/>
        </w:rPr>
        <w:t xml:space="preserve">Le problème se vulgarise. </w:t>
      </w:r>
      <w:r>
        <w:rPr>
          <w:b/>
          <w:bCs/>
          <w:color w:val="202020"/>
          <w:sz w:val="20"/>
          <w:szCs w:val="20"/>
        </w:rPr>
        <w:t xml:space="preserve">La solution, jamais.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 w:val="false"/>
          <w:bCs w:val="false"/>
          <w:color w:val="202020"/>
          <w:sz w:val="20"/>
          <w:szCs w:val="20"/>
        </w:rPr>
        <w:t xml:space="preserve">Le sol se stabilise. </w:t>
      </w:r>
      <w:r>
        <w:rPr>
          <w:b/>
          <w:bCs/>
          <w:color w:val="202020"/>
          <w:sz w:val="20"/>
          <w:szCs w:val="20"/>
        </w:rPr>
        <w:t xml:space="preserve">Les fondations, jamais.</w:t>
      </w:r>
      <w:r>
        <w:rPr>
          <w:b w:val="false"/>
          <w:bCs w:val="false"/>
          <w:color w:val="202020"/>
          <w:sz w:val="20"/>
          <w:szCs w:val="20"/>
        </w:rPr>
        <w:t xml:space="preserve"> Formulation de référence, post du 15/05 : « D'abord stabiliser le sol. Ensuite, si nécessaire, conforter les fondations. »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202020"/>
          <w:sz w:val="20"/>
          <w:szCs w:val="20"/>
        </w:rPr>
        <w:t xml:space="preserve">Préventif ET curatif.</w:t>
      </w:r>
      <w:r>
        <w:rPr>
          <w:b w:val="false"/>
          <w:bCs w:val="false"/>
          <w:color w:val="202020"/>
          <w:sz w:val="20"/>
          <w:szCs w:val="20"/>
        </w:rPr>
        <w:t xml:space="preserve"> Ne jamais écrire « empêche les fissures d'apparaître » seul.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202020"/>
          <w:sz w:val="20"/>
          <w:szCs w:val="20"/>
        </w:rPr>
        <w:t xml:space="preserve">Aucun prix brut.</w:t>
      </w:r>
      <w:r>
        <w:rPr>
          <w:b w:val="false"/>
          <w:bCs w:val="false"/>
          <w:color w:val="202020"/>
          <w:sz w:val="20"/>
          <w:szCs w:val="20"/>
        </w:rPr>
        <w:t xml:space="preserve"> Des ratios.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202020"/>
          <w:sz w:val="20"/>
          <w:szCs w:val="20"/>
        </w:rPr>
        <w:t xml:space="preserve">Aucun chiffre sans source nommée</w:t>
      </w:r>
      <w:r>
        <w:rPr>
          <w:b w:val="false"/>
          <w:bCs w:val="false"/>
          <w:color w:val="202020"/>
          <w:sz w:val="20"/>
          <w:szCs w:val="20"/>
        </w:rPr>
        <w:t xml:space="preserve">, et validation de Philippe sur WhatsApp.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202020"/>
          <w:sz w:val="20"/>
          <w:szCs w:val="20"/>
        </w:rPr>
        <w:t xml:space="preserve">Pas de comparaison avec d'autres approches</w:t>
      </w:r>
      <w:r>
        <w:rPr>
          <w:b w:val="false"/>
          <w:bCs w:val="false"/>
          <w:color w:val="202020"/>
          <w:sz w:val="20"/>
          <w:szCs w:val="20"/>
        </w:rPr>
        <w:t xml:space="preserve"> sans cadrage préalable de Philippe et Stéphane.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 w:val="false"/>
          <w:bCs w:val="false"/>
          <w:color w:val="202020"/>
          <w:sz w:val="20"/>
          <w:szCs w:val="20"/>
        </w:rPr>
        <w:t xml:space="preserve">Pas de tiret cadratin.</w:t>
      </w:r>
    </w:p>
    <w:sectPr>
      <w:footerReference w:type="default" r:id="rId7"/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B75"/>
        <w:sz w:val="16"/>
        <w:szCs w:val="16"/>
      </w:rPr>
      <w:t xml:space="preserve">BTP Élite · TerraStab · Banque d'angles RGA · page </w:t>
    </w:r>
    <w:r>
      <w:rPr>
        <w:color w:val="5A6B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Banque d'angles RGA</dc:title>
  <dc:creator>BTP Élite</dc:creator>
  <dc:description>TerraStab</dc:description>
  <cp:lastModifiedBy>Un-named</cp:lastModifiedBy>
  <cp:revision>1</cp:revision>
  <dcterms:created xsi:type="dcterms:W3CDTF">2026-09-18T17:00:34.357Z</dcterms:created>
  <dcterms:modified xsi:type="dcterms:W3CDTF">2026-09-18T17:00:34.358Z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