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b/>
          <w:color w:val="12385C"/>
          <w:spacing w:val="5"/>
          <w:position w:val="0"/>
          <w:sz w:val="48"/>
          <w:shd w:fill="auto" w:val="clear"/>
        </w:rPr>
      </w:pPr>
      <w:r>
        <w:rPr>
          <w:rFonts w:ascii="Calibri" w:hAnsi="Calibri" w:cs="Calibri" w:eastAsia="Calibri"/>
          <w:b/>
          <w:color w:val="12385C"/>
          <w:spacing w:val="5"/>
          <w:position w:val="0"/>
          <w:sz w:val="48"/>
          <w:shd w:fill="auto" w:val="clear"/>
        </w:rPr>
        <w:t xml:space="preserve">Registre des médecins</w:t>
        <w:br/>
        <w:t xml:space="preserve">CIUSSS de l’Est-de-l’Île-de-Montréal</w:t>
      </w:r>
    </w:p>
    <w:tbl>
      <w:tblPr/>
      <w:tblGrid>
        <w:gridCol w:w="2948"/>
        <w:gridCol w:w="5953"/>
      </w:tblGrid>
      <w:tr>
        <w:trPr>
          <w:trHeight w:val="1" w:hRule="atLeast"/>
          <w:jc w:val="center"/>
        </w:trPr>
        <w:tc>
          <w:tcPr>
            <w:tcW w:w="2948" w:type="dxa"/>
            <w:tcBorders>
              <w:top w:val="single" w:color="000000" w:sz="0"/>
              <w:left w:val="single" w:color="000000" w:sz="0"/>
              <w:bottom w:val="single" w:color="000000" w:sz="0"/>
              <w:right w:val="single" w:color="000000" w:sz="0"/>
            </w:tcBorders>
            <w:shd w:color="000000" w:fill="dce6f1"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20"/>
                <w:shd w:fill="auto" w:val="clear"/>
              </w:rPr>
              <w:t xml:space="preserve">Nature du document</w:t>
            </w:r>
          </w:p>
        </w:tc>
        <w:tc>
          <w:tcPr>
            <w:tcW w:w="5953"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23232"/>
                <w:spacing w:val="0"/>
                <w:position w:val="0"/>
                <w:sz w:val="20"/>
                <w:shd w:fill="auto" w:val="clear"/>
              </w:rPr>
              <w:t xml:space="preserve">Document fonctionnel de référence</w:t>
            </w:r>
          </w:p>
        </w:tc>
      </w:tr>
      <w:tr>
        <w:trPr>
          <w:trHeight w:val="1" w:hRule="atLeast"/>
          <w:jc w:val="center"/>
        </w:trPr>
        <w:tc>
          <w:tcPr>
            <w:tcW w:w="2948" w:type="dxa"/>
            <w:tcBorders>
              <w:top w:val="single" w:color="000000" w:sz="0"/>
              <w:left w:val="single" w:color="000000" w:sz="0"/>
              <w:bottom w:val="single" w:color="000000" w:sz="0"/>
              <w:right w:val="single" w:color="000000" w:sz="0"/>
            </w:tcBorders>
            <w:shd w:color="000000" w:fill="dce6f1"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20"/>
                <w:shd w:fill="auto" w:val="clear"/>
              </w:rPr>
              <w:t xml:space="preserve">Portée</w:t>
            </w:r>
          </w:p>
        </w:tc>
        <w:tc>
          <w:tcPr>
            <w:tcW w:w="5953"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23232"/>
                <w:spacing w:val="0"/>
                <w:position w:val="0"/>
                <w:sz w:val="20"/>
                <w:shd w:fill="auto" w:val="clear"/>
              </w:rPr>
              <w:t xml:space="preserve">Gestion médico-administrative des médecins en établissement au CIUSSS de l’Est</w:t>
            </w:r>
          </w:p>
        </w:tc>
      </w:tr>
      <w:tr>
        <w:trPr>
          <w:trHeight w:val="1" w:hRule="atLeast"/>
          <w:jc w:val="center"/>
        </w:trPr>
        <w:tc>
          <w:tcPr>
            <w:tcW w:w="2948" w:type="dxa"/>
            <w:tcBorders>
              <w:top w:val="single" w:color="000000" w:sz="0"/>
              <w:left w:val="single" w:color="000000" w:sz="0"/>
              <w:bottom w:val="single" w:color="000000" w:sz="0"/>
              <w:right w:val="single" w:color="000000" w:sz="0"/>
            </w:tcBorders>
            <w:shd w:color="000000" w:fill="dce6f1"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20"/>
                <w:shd w:fill="auto" w:val="clear"/>
              </w:rPr>
              <w:t xml:space="preserve">Statut</w:t>
            </w:r>
          </w:p>
        </w:tc>
        <w:tc>
          <w:tcPr>
            <w:tcW w:w="5953"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23232"/>
                <w:spacing w:val="0"/>
                <w:position w:val="0"/>
                <w:sz w:val="20"/>
                <w:shd w:fill="auto" w:val="clear"/>
              </w:rPr>
              <w:t xml:space="preserve">Validation locale requise</w:t>
            </w:r>
          </w:p>
        </w:tc>
      </w:tr>
      <w:tr>
        <w:trPr>
          <w:trHeight w:val="1" w:hRule="atLeast"/>
          <w:jc w:val="center"/>
        </w:trPr>
        <w:tc>
          <w:tcPr>
            <w:tcW w:w="2948" w:type="dxa"/>
            <w:tcBorders>
              <w:top w:val="single" w:color="000000" w:sz="0"/>
              <w:left w:val="single" w:color="000000" w:sz="0"/>
              <w:bottom w:val="single" w:color="000000" w:sz="0"/>
              <w:right w:val="single" w:color="000000" w:sz="0"/>
            </w:tcBorders>
            <w:shd w:color="000000" w:fill="dce6f1"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20"/>
                <w:shd w:fill="auto" w:val="clear"/>
              </w:rPr>
              <w:t xml:space="preserve">Date de référence</w:t>
            </w:r>
          </w:p>
        </w:tc>
        <w:tc>
          <w:tcPr>
            <w:tcW w:w="5953"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323232"/>
                <w:spacing w:val="0"/>
                <w:position w:val="0"/>
                <w:sz w:val="20"/>
                <w:shd w:fill="auto" w:val="clear"/>
              </w:rPr>
              <w:t xml:space="preserve">31 mars 2026</w:t>
            </w:r>
          </w:p>
        </w:tc>
      </w:tr>
    </w:tbl>
    <w:p>
      <w:pPr>
        <w:spacing w:before="0" w:after="200" w:line="276"/>
        <w:ind w:right="0" w:left="0" w:firstLine="0"/>
        <w:jc w:val="left"/>
        <w:rPr>
          <w:rFonts w:ascii="Calibri" w:hAnsi="Calibri" w:cs="Calibri" w:eastAsia="Calibri"/>
          <w:color w:val="auto"/>
          <w:spacing w:val="0"/>
          <w:position w:val="0"/>
          <w:sz w:val="21"/>
          <w:shd w:fill="auto" w:val="clear"/>
        </w:rPr>
      </w:pP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1. Objet du document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 présent document constitue une base de charte métier pour la gestion du registre des médecins au CIUSSS de l’Est-de-l’Île-de-Montréal. Il vise à définir un cadre fonctionnel commun pour les données à tenir, les décisions à enregistrer, les contrôles à appliquer et les principaux flux de gestion relatifs aux médecins exerçant en établissement.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La portée couvre notamment les cotisations pertinentes au dossier professionnel, les nominations, les statuts, les privilèges, la conformité au PEM/PREM, les rôles de comité, la pratique réduite de fin de carrière, les congés de service, les remplacements temporaires, les départs, les démissions, les retraites, ainsi que les besoins d’historisation et d’audit du registre.</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2. Objectifs métier</w:t>
      </w:r>
    </w:p>
    <w:p>
      <w:pPr>
        <w:numPr>
          <w:ilvl w:val="0"/>
          <w:numId w:val="16"/>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Disposer d’un registre unique, fiable et historisé des médecins actifs, absents, sortants ou retraités.</w:t>
      </w:r>
    </w:p>
    <w:p>
      <w:pPr>
        <w:numPr>
          <w:ilvl w:val="0"/>
          <w:numId w:val="16"/>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Tracer les nominations, renouvellements, modifications de statut et de privilèges, ainsi que leurs dates d’effet et de fin.</w:t>
      </w:r>
    </w:p>
    <w:p>
      <w:pPr>
        <w:numPr>
          <w:ilvl w:val="0"/>
          <w:numId w:val="16"/>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Soutenir la conformité légale, organisationnelle et opérationnelle en matière de pratique médicale en établissement.</w:t>
      </w:r>
    </w:p>
    <w:p>
      <w:pPr>
        <w:numPr>
          <w:ilvl w:val="0"/>
          <w:numId w:val="16"/>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Donner une vision consolidée des relations entre le médecin, son installation principale, son département, son statut, ses privilèges et sa situation PEM/PREM.</w:t>
      </w:r>
    </w:p>
    <w:p>
      <w:pPr>
        <w:numPr>
          <w:ilvl w:val="0"/>
          <w:numId w:val="16"/>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Outiller le suivi des congés, remplacements, fins de carrière, départs et vacances de PEM.</w:t>
      </w:r>
    </w:p>
    <w:p>
      <w:pPr>
        <w:numPr>
          <w:ilvl w:val="0"/>
          <w:numId w:val="16"/>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Permettre des alertes et contrôles automatiques sur les échéances critiques : fin de privilèges, renouvellement, départ annoncé, pratique réduite, documents manquants.</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3. Cadre de référence et positionnement du document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 document a été préparé à partir de sources publiques officielles ou quasi officielles consultées le 31 mars 2026, notamment : le site public du CIUSSS-EMTL, les textes de Légis Québec, les pages du Collège des médecins du Québec (CMQ), les pages du MSSS/Santé Québec et, à titre complémentaire, des contenus de la FMOQ et de la FMRQ sur la gestion des PREM/PEM et les mécanismes de fin de carrière.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Depuis la réforme de gouvernance et la mise en place de Santé Québec, certaines responsabilités légales et certains intitulés de fonctions ont évolué. Le présent document adopte donc une approche prudente : il distingue ce qui relève clairement du cadre légal ou des sources publiques, de ce qui doit être confirmé localement quant aux pratiques internes, aux comités réellement utilisés, aux délégations de pouvoir et aux formulaires en vigueur.</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4. Acteurs et gouvernance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 registre des médecins doit refléter la gouvernance réelle du dossier médico-administratif et non seulement stocker des données administratives. Les acteurs ci-dessous sont ceux qui interviennent normalement dans le cycle de vie du dossier, même si l’intitulé exact peut varier localement.</w:t>
      </w:r>
    </w:p>
    <w:tbl>
      <w:tblPr/>
      <w:tblGrid>
        <w:gridCol w:w="1814"/>
        <w:gridCol w:w="2268"/>
        <w:gridCol w:w="3402"/>
        <w:gridCol w:w="1871"/>
      </w:tblGrid>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Acteur</w:t>
            </w:r>
          </w:p>
        </w:tc>
        <w:tc>
          <w:tcPr>
            <w:tcW w:w="2268"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Rôle principal</w:t>
            </w:r>
          </w:p>
        </w:tc>
        <w:tc>
          <w:tcPr>
            <w:tcW w:w="3402"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Décisions / interventions typiques</w:t>
            </w:r>
          </w:p>
        </w:tc>
        <w:tc>
          <w:tcPr>
            <w:tcW w:w="1871" w:type="dxa"/>
            <w:tcBorders>
              <w:top w:val="single" w:color="000000" w:sz="0"/>
              <w:left w:val="single" w:color="000000" w:sz="0"/>
              <w:bottom w:val="single" w:color="000000" w:sz="0"/>
              <w:right w:val="single" w:color="000000" w:sz="0"/>
            </w:tcBorders>
            <w:shd w:color="000000" w:fill="1f4e79"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À tenir dans le registre</w:t>
            </w:r>
          </w:p>
        </w:tc>
      </w:tr>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F4E79"/>
                <w:spacing w:val="0"/>
                <w:position w:val="0"/>
                <w:sz w:val="18"/>
                <w:shd w:fill="auto" w:val="clear"/>
              </w:rPr>
              <w:t xml:space="preserve">Médecin</w:t>
            </w:r>
          </w:p>
        </w:tc>
        <w:tc>
          <w:tcPr>
            <w:tcW w:w="2268"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Titulaire du dossier</w:t>
            </w:r>
          </w:p>
        </w:tc>
        <w:tc>
          <w:tcPr>
            <w:tcW w:w="3402"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Demande de nomination, renouvellement, demande de congé, annonce de départ, retraite, demande de modification de pratique</w:t>
            </w:r>
          </w:p>
        </w:tc>
        <w:tc>
          <w:tcPr>
            <w:tcW w:w="1871"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Données d’identité, statut, pièces justificatives, demandes et accusés</w:t>
            </w:r>
          </w:p>
        </w:tc>
      </w:tr>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F4E79"/>
                <w:spacing w:val="0"/>
                <w:position w:val="0"/>
                <w:sz w:val="18"/>
                <w:shd w:fill="auto" w:val="clear"/>
              </w:rPr>
              <w:t xml:space="preserve">Chef de département / chef de service</w:t>
            </w:r>
          </w:p>
        </w:tc>
        <w:tc>
          <w:tcPr>
            <w:tcW w:w="226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Gestion clinique locale</w:t>
            </w:r>
          </w:p>
        </w:tc>
        <w:tc>
          <w:tcPr>
            <w:tcW w:w="340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Avis sur besoins, intégration, gardes, privilèges, pratique réduite, congés et impacts de service</w:t>
            </w:r>
          </w:p>
        </w:tc>
        <w:tc>
          <w:tcPr>
            <w:tcW w:w="187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Avis, recommandations, dates, commentaires, approbations</w:t>
            </w:r>
          </w:p>
        </w:tc>
      </w:tr>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F4E79"/>
                <w:spacing w:val="0"/>
                <w:position w:val="0"/>
                <w:sz w:val="18"/>
                <w:shd w:fill="auto" w:val="clear"/>
              </w:rPr>
              <w:t xml:space="preserve">DMPS / DSP</w:t>
            </w:r>
          </w:p>
        </w:tc>
        <w:tc>
          <w:tcPr>
            <w:tcW w:w="2268"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Pilotage médico-administratif</w:t>
            </w:r>
          </w:p>
        </w:tc>
        <w:tc>
          <w:tcPr>
            <w:tcW w:w="3402"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Analyse du dossier, recommandation, appréciation de l’impact sur les services, avis en cas de départ ou de pratique réduite</w:t>
            </w:r>
          </w:p>
        </w:tc>
        <w:tc>
          <w:tcPr>
            <w:tcW w:w="1871"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États d’avancement, recommandations, validations et décisions</w:t>
            </w:r>
          </w:p>
        </w:tc>
      </w:tr>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F4E79"/>
                <w:spacing w:val="0"/>
                <w:position w:val="0"/>
                <w:sz w:val="18"/>
                <w:shd w:fill="auto" w:val="clear"/>
              </w:rPr>
              <w:t xml:space="preserve">CMDP / instance médicale consultée</w:t>
            </w:r>
          </w:p>
        </w:tc>
        <w:tc>
          <w:tcPr>
            <w:tcW w:w="226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Avis professionnel et gouvernance médicale</w:t>
            </w:r>
          </w:p>
        </w:tc>
        <w:tc>
          <w:tcPr>
            <w:tcW w:w="340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Étude des demandes, renouvellements, statuts, privilèges, obligations et suivi professionnel</w:t>
            </w:r>
          </w:p>
        </w:tc>
        <w:tc>
          <w:tcPr>
            <w:tcW w:w="187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Avis, recommandations, séances, résolutions ou références</w:t>
            </w:r>
          </w:p>
        </w:tc>
      </w:tr>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F4E79"/>
                <w:spacing w:val="0"/>
                <w:position w:val="0"/>
                <w:sz w:val="18"/>
                <w:shd w:fill="auto" w:val="clear"/>
              </w:rPr>
              <w:t xml:space="preserve">Comité d’examen des titres</w:t>
            </w:r>
          </w:p>
        </w:tc>
        <w:tc>
          <w:tcPr>
            <w:tcW w:w="2268"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Examen du dossier professionnel</w:t>
            </w:r>
          </w:p>
        </w:tc>
        <w:tc>
          <w:tcPr>
            <w:tcW w:w="3402"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Évaluation des qualifications, de la compétence, du comportement et recommandation sur le statut / privilèges</w:t>
            </w:r>
          </w:p>
        </w:tc>
        <w:tc>
          <w:tcPr>
            <w:tcW w:w="1871"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Historique des évaluations, pièces, dates et résultat</w:t>
            </w:r>
          </w:p>
        </w:tc>
      </w:tr>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F4E79"/>
                <w:spacing w:val="0"/>
                <w:position w:val="0"/>
                <w:sz w:val="18"/>
                <w:shd w:fill="auto" w:val="clear"/>
              </w:rPr>
              <w:t xml:space="preserve">Président-directeur général / autorité compétente</w:t>
            </w:r>
          </w:p>
        </w:tc>
        <w:tc>
          <w:tcPr>
            <w:tcW w:w="226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Décision formelle de nomination / renouvellement</w:t>
            </w:r>
          </w:p>
        </w:tc>
        <w:tc>
          <w:tcPr>
            <w:tcW w:w="340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Nomination, refus, durée, modification, obligations rattachées aux privilèges</w:t>
            </w:r>
          </w:p>
        </w:tc>
        <w:tc>
          <w:tcPr>
            <w:tcW w:w="1871"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Actes, dates de prise d’effet, durée et motifs</w:t>
            </w:r>
          </w:p>
        </w:tc>
      </w:tr>
      <w:tr>
        <w:trPr>
          <w:trHeight w:val="1" w:hRule="atLeast"/>
          <w:jc w:val="center"/>
        </w:trPr>
        <w:tc>
          <w:tcPr>
            <w:tcW w:w="1814"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F4E79"/>
                <w:spacing w:val="0"/>
                <w:position w:val="0"/>
                <w:sz w:val="18"/>
                <w:shd w:fill="auto" w:val="clear"/>
              </w:rPr>
              <w:t xml:space="preserve">Santé Québec / autorité supérieure</w:t>
            </w:r>
          </w:p>
        </w:tc>
        <w:tc>
          <w:tcPr>
            <w:tcW w:w="2268"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Contrôle de conformité système</w:t>
            </w:r>
          </w:p>
        </w:tc>
        <w:tc>
          <w:tcPr>
            <w:tcW w:w="3402"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Autorisation requise dans certains cas de nomination, conformité au PEM, exceptions</w:t>
            </w:r>
          </w:p>
        </w:tc>
        <w:tc>
          <w:tcPr>
            <w:tcW w:w="1871" w:type="dxa"/>
            <w:tcBorders>
              <w:top w:val="single" w:color="000000" w:sz="0"/>
              <w:left w:val="single" w:color="000000" w:sz="0"/>
              <w:bottom w:val="single" w:color="000000" w:sz="0"/>
              <w:right w:val="single" w:color="000000" w:sz="0"/>
            </w:tcBorders>
            <w:shd w:color="000000" w:fill="f7fbfe"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Références d’autorisation et décisions externes</w:t>
            </w:r>
          </w:p>
        </w:tc>
      </w:tr>
    </w:tbl>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5. Périmètre fonctionnel du registre des médecins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 registre des médecins doit être pensé comme un référentiel maître du cycle de vie médico-administratif du médecin en établissement. Il ne doit pas se limiter à une simple liste nominative. Le registre doit contenir les données d’état, les décisions, les pièces justificatives, les historiques de changement et les alertes requises pour soutenir l’exploitation, la conformité et l’audit.</w:t>
      </w:r>
    </w:p>
    <w:tbl>
      <w:tblPr/>
      <w:tblGrid>
        <w:gridCol w:w="2381"/>
        <w:gridCol w:w="4139"/>
        <w:gridCol w:w="2835"/>
      </w:tblGrid>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d9eaf7"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19"/>
                <w:shd w:fill="auto" w:val="clear"/>
              </w:rPr>
              <w:t xml:space="preserve">Domaine</w:t>
            </w:r>
          </w:p>
        </w:tc>
        <w:tc>
          <w:tcPr>
            <w:tcW w:w="4139" w:type="dxa"/>
            <w:tcBorders>
              <w:top w:val="single" w:color="000000" w:sz="0"/>
              <w:left w:val="single" w:color="000000" w:sz="0"/>
              <w:bottom w:val="single" w:color="000000" w:sz="0"/>
              <w:right w:val="single" w:color="000000" w:sz="0"/>
            </w:tcBorders>
            <w:shd w:color="000000" w:fill="d9eaf7"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19"/>
                <w:shd w:fill="auto" w:val="clear"/>
              </w:rPr>
              <w:t xml:space="preserve">Contenu attendu</w:t>
            </w:r>
          </w:p>
        </w:tc>
        <w:tc>
          <w:tcPr>
            <w:tcW w:w="2835" w:type="dxa"/>
            <w:tcBorders>
              <w:top w:val="single" w:color="000000" w:sz="0"/>
              <w:left w:val="single" w:color="000000" w:sz="0"/>
              <w:bottom w:val="single" w:color="000000" w:sz="0"/>
              <w:right w:val="single" w:color="000000" w:sz="0"/>
            </w:tcBorders>
            <w:shd w:color="000000" w:fill="d9eaf7"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19"/>
                <w:shd w:fill="auto" w:val="clear"/>
              </w:rPr>
              <w:t xml:space="preserve">Exemples de contrôles</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Identité professionnelle</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Nom, prénom, spécialité, no CMQ, coordonnées professionnelles, installation principale, département/service, type de pratique</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No CMQ obligatoire, unicité, activité/inactivité</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Situation de nomination</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Date de demande, date de décision, autorité décisionnelle, durée, date d’effet, base légale ou résolution, acte signé</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Aucune pratique active sans acte valide</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Statut et privilèges</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Statut accordé, privilèges de pratique, installations visées, obligations rattachées, historique des modifications</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Alerte avant échéance, traçabilité des changements</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PEM / PREM</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Conformité au poste, type de poste, remplacement, dérogation, chevauchement, vacance, installation, spécialité</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Blocage si non-conformité ou documentation absente</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Cotisations et conformité externe</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État CMQ, pièces ou confirmations exigées, autres cotisations locales si le CIUSSS choisit de les suivre</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Échéance CMQ; règle locale à confirmer pour autres cotisations</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Comités et fonctions</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Participation aux comités, rôles administratifs, chefferies, fonction de signataire ou autre rôle institutionnel</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Durée du mandat, cumul possible, fin automatique à la sortie</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Congés et absences</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Type de congé, dates, motif, autorisation, impact sur activités, remplaçant, maintien partiel de privilèges</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Alerte retour prévu, suspension ou limitation d’activités</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Fin de carrière / pratique réduite</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Programme applicable, pourcentage autorisé, dates, contrat ou entente, approbations</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Suivi du respect du pourcentage et de la période</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Départ / démission / retraite</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Préavis, date d’annonce, date effective, motif, impact sur PEM, successeur, transfert de dossiers</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Préavis minimal, état irrévocable de la décision, fermeture des rôles</w:t>
            </w:r>
          </w:p>
        </w:tc>
      </w:tr>
      <w:tr>
        <w:trPr>
          <w:trHeight w:val="1" w:hRule="atLeast"/>
          <w:jc w:val="center"/>
        </w:trPr>
        <w:tc>
          <w:tcPr>
            <w:tcW w:w="2381"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Audit et historique</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Journal des modifications, auteur, date, ancienne valeur, nouvelle valeur, justificatif</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Aucun changement silencieux sans historisation</w:t>
            </w:r>
          </w:p>
        </w:tc>
      </w:tr>
    </w:tbl>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6. Principes directeurs de conception</w:t>
      </w:r>
    </w:p>
    <w:p>
      <w:pPr>
        <w:numPr>
          <w:ilvl w:val="0"/>
          <w:numId w:val="72"/>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Une donnée ne doit être saisie qu’une seule fois et réutilisée par les différents processus.</w:t>
      </w:r>
    </w:p>
    <w:p>
      <w:pPr>
        <w:numPr>
          <w:ilvl w:val="0"/>
          <w:numId w:val="72"/>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Toute décision à effet juridique ou organisationnel doit être datée, reliée à une autorité et historisée.</w:t>
      </w:r>
    </w:p>
    <w:p>
      <w:pPr>
        <w:numPr>
          <w:ilvl w:val="0"/>
          <w:numId w:val="72"/>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 registre doit distinguer l’état courant du dossier et l’historique des états antérieurs.</w:t>
      </w:r>
    </w:p>
    <w:p>
      <w:pPr>
        <w:numPr>
          <w:ilvl w:val="0"/>
          <w:numId w:val="72"/>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Les notions de statut, privilèges, PEM, congé et départ doivent être gérées comme des objets métier distincts, reliés entre eux.</w:t>
      </w:r>
    </w:p>
    <w:p>
      <w:pPr>
        <w:numPr>
          <w:ilvl w:val="0"/>
          <w:numId w:val="72"/>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Les règles locales non publiques ne doivent jamais être codées en dur sans validation documentaire.</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7. Règles d’affaires détaillées</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7.1 Règles relatives aux cotisations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RA-COT-01. Le registre doit permettre d’indiquer le statut de conformité du médecin au regard du CMQ. La cotisation annuelle au CMQ est une obligation liée au maintien de l’inscription au tableau; la date butoir publique est le 31 mars et le défaut de paiement entraîne la radiation ou la démission d’office selon le statut.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RA-COT-02. Le système ne doit pas présumer l’existence d’une cotisation locale CMDP ou d’une cotisation associative spécifique au CIUSSS-EMTL sans validation locale. Si le CIUSSS souhaite suivre d’autres cotisations que celle du CMQ, ces cotisations doivent être paramétrables, documentées et rattachées à une politique interne ou à une règle de gestion validée.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RA-COT-03. Le registre doit pouvoir consigner les situations particulières connues publiquement, par exemple la réduction de 50 % de la cotisation CMQ dans le cadre d’un congé parental, si cette information est jugée pertinente au suivi administratif du dossier professionnel.</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RA-COT-04. L’absence de preuve de conformité CMQ ne doit pas automatiquement bloquer un dossier sans règle locale; en revanche, elle doit générer une alerte de conformité et exiger une validation humaine.</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7.2 Règles relatives aux nominations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RA-NOM-01. Toute première entrée au registre comme médecin exerçant en établissement doit être supportée par un dossier de nomination recevable.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RA-NOM-02. Le registre doit tracer les étapes minimales suivantes : dépôt de la demande, examen du dossier, avis professionnel, décision, date d’effet et durée.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RA-NOM-03. Le registre doit distinguer clairement la demande, la décision et la date à partir de laquelle les privilèges peuvent effectivement être exercés.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RA-NOM-04. La nomination doit être reliée au département/service concerné, à l’installation principale et, s’il y a lieu, aux tâches d’activité clinique, de recherche et d’enseignement.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RA-NOM-05. En cas de refus, le système doit conserver le motif, la date de notification et la référence de la décision.</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7.3 Règles relatives au statut et aux privilèges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RA-PRI-01. Le registre doit gérer le statut et les privilèges comme deux notions distinctes mais liées.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RA-PRI-02. Les privilèges doivent être datés, limités dans le temps et rattachés aux installations et champs d’activités visés.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RA-PRI-03. Les obligations rattachées à la jouissance des privilèges doivent pouvoir être consignées de manière structurée : participation aux responsabilités de l’établissement, accès, qualité, pertinence, garde ou autres obligations locales validées.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RA-PRI-04. Toute modification, ajout, restriction, suspension ou retrait de privilèges doit être historisé avec motif, décisionnaire, date d’effet et portée.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RA-PRI-05. Le registre doit générer des alertes avant l’échéance du statut ou des privilèges afin d’éviter une rupture de validité.</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7.4 Règles relatives au renouvellement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RA-REN-01. Le registre doit permettre la demande de renouvellement à l’initiative du médecin ou selon le processus interne retenu par l’établissement.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RA-REN-02. Un renouvellement doit être traité comme un événement métier autonome, distinct de la nomination initiale.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RA-REN-03. Le registre doit permettre le renouvellement avec ou sans modification de statut, de privilèges ou d’obligations.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RA-REN-04. Le système doit enregistrer la durée accordée, avec des paramètres compatibles avec le cadre légal applicable.</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7.5 Règles relatives au PEM et au PREM</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RA-PEM-01. Le registre doit distinguer les réalités de la médecine familiale et des spécialités. Le PREM relève d’une logique régionale de médecine familiale; le PEM relève d’une logique d’établissement quant au nombre de médecins autorisés à exercer dans les départements et services.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RA-PEM-02. Une nomination ou un renouvellement ne doit pas être déclaré conforme sans rattachement explicite à la situation PEM/PREM applicable.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RA-PEM-03. Le registre doit permettre de documenter les cas particuliers : remplacement temporaire, dérogation, chevauchement, vacance à combler, poste en réseau ou autre mécanisme reconnu.</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RA-PEM-04. En spécialité, la vacance créée par un départ, une retraite ou une pratique réduite de fin de carrière doit être visible au registre afin de soutenir le recrutement et le suivi de la conformité.</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RA-PEM-05. Le registre doit pouvoir lier un médecin à une installation principale de pratique, tout en conservant la possibilité de consigner d’autres lieux d’exercice autorisés.</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7.6 Règles relatives aux comités et fonctions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RA-COM-01. Le registre doit permettre d’identifier la participation du médecin aux comités du CMDP et aux autres fonctions médico-administratives jugées nécessaires par l’établissement.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RA-COM-02. Chaque rôle de comité ou fonction administrative doit comporter un type de rôle, une date de début, une date de fin et une autorité de nomination.</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RA-COM-03. La perte du statut actif, le départ, la retraite ou certaines formes de congé doivent pouvoir mettre fin automatiquement, ou à tout le moins signaler, les mandats administratifs qui ne peuvent plus être exercés.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RA-COM-04. Les rôles connexes tels que signataire autorisé à la RAMQ ou fonctions de gestion rémunérées doivent être gérés comme objets métiers liés mais distincts du privilège clinique.</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7.7 Règles relatives aux congés et absences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RA-CON-01. Le registre doit gérer les congés de service et autres absences structurées comme des événements datés et autorisés.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RA-CON-02. Chaque congé doit indiquer au minimum : type, motif, date de début, date de fin prévue, autorité approbatrice, impact sur l’activité clinique et nécessité ou non d’un remplacement.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RA-CON-03. Le système doit distinguer un congé avec maintien de certains privilèges d’un congé impliquant une suspension ou une limitation des activités.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RA-CON-04. Le retour de congé doit être un événement explicite. Le système ne doit pas supposer le retour automatiquement sans validation.</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RA-CON-05. Le registre ne doit pas intégrer comme règle générique une exigence de « pratique à 50 % avant départ en congé » sans preuve documentaire locale. Cette règle doit rester au statut « à valider localement » tant qu’aucun document interne ne la confirme.</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7.8 Règles relatives aux remplacements temporaires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RA-REM-01. Le remplacement temporaire doit être géré comme un mécanisme spécifique, distinct d’une nomination permanente.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RA-REM-02. Le remplacement doit être relié au médecin remplacé, à la période d’absence, au motif et au cadre de conformité utilisé.</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RA-REM-03. À l’échéance du remplacement, les droits associés ne doivent pas rester actifs par défaut.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RA-REM-04. Le registre doit permettre de produire la preuve qu’un remplacement temporaire ne constitue pas un poste permanent.</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7.9 Règles relatives à la pratique réduite et à la fin de carrière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RA-FIN-01. Le registre doit permettre de consigner les dispositifs applicables de transition de fin de carrière ou de pratique marginale lorsque le médecin s’en prévaut.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RA-FIN-02. Lorsqu’un mécanisme formel prévoit une pratique réduite à 50 % ou à un autre seuil, le système doit enregistrer le pourcentage, les dates, le fondement documentaire, l’assentiment requis et l’impact sur le PEM.</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RA-FIN-03. La pratique réduite de fin de carrière ne doit pas être confondue avec un congé, une invalidité ou une simple baisse informelle d’activité.</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RA-FIN-04. Le registre doit permettre de suivre les transitions 63 ans / 65 ans lorsqu’elles sont utilisées, ainsi que le lien entre la libération de capacité PEM et l’arrivée d’un successeur.</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RA-FIN-05. Tout mécanisme local de fin de carrière qui dérogerait au cadre public doit être validé avant d’être codifié.</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7.10 Règles relatives au départ, à la démission et à la retraite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RA-DEP-01. Tout départ, démission ou retraite doit être saisi comme un événement irrévocable à compter de la réception du préavis si le cadre légal applicable le prévoit.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RA-DEP-02. Le registre doit consigner la date d’annonce, la date effective, le motif, le respect du préavis applicable et l’impact sur les activités, les comités et le PEM.</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RA-DEP-03. Le système doit distinguer le départ volontaire, la retraite planifiée, le départ hâtif autorisé, le départ sans préavis autorisé, et le départ sans préavis non autorisé.</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RA-DEP-04. Le registre doit déclencher les actions de clôture nécessaires : fin des rôles administratifs, retrait du registre actif, mise à jour de la liste des signataires, fermeture ou archivage du dossier courant.</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RA-DEP-05. Le système doit pouvoir marquer la vacance créée par le départ et la lier au processus de recrutement du successeur.</w:t>
      </w:r>
    </w:p>
    <w:p>
      <w:pPr>
        <w:keepNext w:val="true"/>
        <w:keepLines w:val="true"/>
        <w:spacing w:before="120" w:after="80" w:line="276"/>
        <w:ind w:right="0" w:left="0" w:firstLine="0"/>
        <w:jc w:val="left"/>
        <w:rPr>
          <w:rFonts w:ascii="Calibri" w:hAnsi="Calibri" w:cs="Calibri" w:eastAsia="Calibri"/>
          <w:b/>
          <w:color w:val="1F4E79"/>
          <w:spacing w:val="0"/>
          <w:position w:val="0"/>
          <w:sz w:val="25"/>
          <w:shd w:fill="auto" w:val="clear"/>
        </w:rPr>
      </w:pPr>
      <w:r>
        <w:rPr>
          <w:rFonts w:ascii="Calibri" w:hAnsi="Calibri" w:cs="Calibri" w:eastAsia="Calibri"/>
          <w:b/>
          <w:color w:val="1F4E79"/>
          <w:spacing w:val="0"/>
          <w:position w:val="0"/>
          <w:sz w:val="25"/>
          <w:shd w:fill="auto" w:val="clear"/>
        </w:rPr>
        <w:t xml:space="preserve">7.11 Règles d’audit, d’historique et de conformité</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RA-AUD-01. Toute modification d’un attribut sensible du dossier médecin doit être journalisée.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RA-AUD-02. L’historique doit porter au minimum sur : statut, privilèges, installation principale, département, situation PEM, congés, départs, fonctions de comité et conformité CMQ.</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RA-AUD-03. Les documents justificatifs doivent être versionnés ou datés, avec une indication claire de la pièce active.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RA-AUD-04. Les rapports de conformité doivent pouvoir identifier les dossiers expirés, incomplets, en attente, absents ou sortants.</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8. Cas d’usage métier prioritaires</w:t>
      </w:r>
    </w:p>
    <w:tbl>
      <w:tblPr/>
      <w:tblGrid>
        <w:gridCol w:w="1247"/>
        <w:gridCol w:w="2835"/>
        <w:gridCol w:w="5216"/>
      </w:tblGrid>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d9eaf7"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19"/>
                <w:shd w:fill="auto" w:val="clear"/>
              </w:rPr>
              <w:t xml:space="preserve">Code</w:t>
            </w:r>
          </w:p>
        </w:tc>
        <w:tc>
          <w:tcPr>
            <w:tcW w:w="2835" w:type="dxa"/>
            <w:tcBorders>
              <w:top w:val="single" w:color="000000" w:sz="0"/>
              <w:left w:val="single" w:color="000000" w:sz="0"/>
              <w:bottom w:val="single" w:color="000000" w:sz="0"/>
              <w:right w:val="single" w:color="000000" w:sz="0"/>
            </w:tcBorders>
            <w:shd w:color="000000" w:fill="d9eaf7"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19"/>
                <w:shd w:fill="auto" w:val="clear"/>
              </w:rPr>
              <w:t xml:space="preserve">Cas d’usage</w:t>
            </w:r>
          </w:p>
        </w:tc>
        <w:tc>
          <w:tcPr>
            <w:tcW w:w="5216" w:type="dxa"/>
            <w:tcBorders>
              <w:top w:val="single" w:color="000000" w:sz="0"/>
              <w:left w:val="single" w:color="000000" w:sz="0"/>
              <w:bottom w:val="single" w:color="000000" w:sz="0"/>
              <w:right w:val="single" w:color="000000" w:sz="0"/>
            </w:tcBorders>
            <w:shd w:color="000000" w:fill="d9eaf7"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12385C"/>
                <w:spacing w:val="0"/>
                <w:position w:val="0"/>
                <w:sz w:val="19"/>
                <w:shd w:fill="auto" w:val="clear"/>
              </w:rPr>
              <w:t xml:space="preserve">Description fonctionnelle</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CU-01</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Créer un dossier médecin</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Créer le profil maître d’un médecin, associer la spécialité, l’installation, le département, le no CMQ et le statut initial du dossier.</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CU-02</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Déposer une demande de nomination</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Enregistrer la demande, les pièces, les avis requis et le suivi jusqu’à la décision formelle.</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CU-03</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Accorder ou refuser une nomination</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Consigner la décision, la durée, les privilèges, les obligations et la date d’effet.</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CU-04</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Renouveler un statut / des privilèges</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Traiter l’échéance, appliquer les modifications nécessaires et produire l’historique.</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CU-05</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Modifier un statut ou des privilèges</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Ajouter, restreindre ou retirer des privilèges avec justification et traçabilité.</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CU-06</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Enregistrer un congé de service</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Autoriser une absence, documenter l’impact et planifier le retour.</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CU-07</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Mettre en place un remplacement temporaire</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Associer le remplaçant au médecin remplacé, dater la période et contrôler la fin automatique.</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CU-08</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Gérer une pratique réduite de fin de carrière</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Consigner le programme applicable, le pourcentage, l’assentiment requis et l’impact sur le PEM.</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CU-09</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Enregistrer un départ / une retraite / une démission</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Traiter le préavis, la date effective, la vacance PEM et les actions de clôture.</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CU-10</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Suivre les comités et fonctions administratives</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Maintenir les mandats, les dates, les signatures et les liens avec le dossier médecin.</w:t>
            </w:r>
          </w:p>
        </w:tc>
      </w:tr>
      <w:tr>
        <w:trPr>
          <w:trHeight w:val="1" w:hRule="atLeast"/>
          <w:jc w:val="center"/>
        </w:trPr>
        <w:tc>
          <w:tcPr>
            <w:tcW w:w="1247" w:type="dxa"/>
            <w:tcBorders>
              <w:top w:val="single" w:color="000000" w:sz="0"/>
              <w:left w:val="single" w:color="000000" w:sz="0"/>
              <w:bottom w:val="single" w:color="000000" w:sz="0"/>
              <w:right w:val="single" w:color="000000" w:sz="0"/>
            </w:tcBorders>
            <w:shd w:color="000000" w:fill="f3f8fc"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CU-11</w:t>
            </w:r>
          </w:p>
        </w:tc>
        <w:tc>
          <w:tcPr>
            <w:tcW w:w="2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Produire un tableau de bord de conformité</w:t>
            </w:r>
          </w:p>
        </w:tc>
        <w:tc>
          <w:tcPr>
            <w:tcW w:w="521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Lister les dossiers actifs, expirants, absents, en pratique réduite, sortants ou incomplets.</w:t>
            </w:r>
          </w:p>
        </w:tc>
      </w:tr>
    </w:tbl>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9. États suggérés du dossier médecin</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Pour faciliter la gestion opérationnelle, il est recommandé d’utiliser des états métiers explicites. Un même dossier peut avoir un état courant et plusieurs sous-états.</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Brouillon</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En demande de nomination</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Actif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nomination valide</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Actif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renouvellement </w:t>
      </w:r>
      <w:r>
        <w:rPr>
          <w:rFonts w:ascii="Calibri" w:hAnsi="Calibri" w:cs="Calibri" w:eastAsia="Calibri"/>
          <w:color w:val="auto"/>
          <w:spacing w:val="0"/>
          <w:position w:val="0"/>
          <w:sz w:val="21"/>
          <w:shd w:fill="auto" w:val="clear"/>
        </w:rPr>
        <w:t xml:space="preserve">à venir</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Actif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renouvellement en cours</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Actif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pratique r</w:t>
      </w:r>
      <w:r>
        <w:rPr>
          <w:rFonts w:ascii="Calibri" w:hAnsi="Calibri" w:cs="Calibri" w:eastAsia="Calibri"/>
          <w:color w:val="auto"/>
          <w:spacing w:val="0"/>
          <w:position w:val="0"/>
          <w:sz w:val="21"/>
          <w:shd w:fill="auto" w:val="clear"/>
        </w:rPr>
        <w:t xml:space="preserve">éduite de fin de carrière</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Absent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cong</w:t>
      </w:r>
      <w:r>
        <w:rPr>
          <w:rFonts w:ascii="Calibri" w:hAnsi="Calibri" w:cs="Calibri" w:eastAsia="Calibri"/>
          <w:color w:val="auto"/>
          <w:spacing w:val="0"/>
          <w:position w:val="0"/>
          <w:sz w:val="21"/>
          <w:shd w:fill="auto" w:val="clear"/>
        </w:rPr>
        <w:t xml:space="preserve">é autorisé</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Remplaçant temporaire</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Sortant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w:t>
      </w:r>
      <w:r>
        <w:rPr>
          <w:rFonts w:ascii="Calibri" w:hAnsi="Calibri" w:cs="Calibri" w:eastAsia="Calibri"/>
          <w:color w:val="auto"/>
          <w:spacing w:val="0"/>
          <w:position w:val="0"/>
          <w:sz w:val="21"/>
          <w:shd w:fill="auto" w:val="clear"/>
        </w:rPr>
        <w:t xml:space="preserve">épart annoncé</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Fermé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w:t>
      </w:r>
      <w:r>
        <w:rPr>
          <w:rFonts w:ascii="Calibri" w:hAnsi="Calibri" w:cs="Calibri" w:eastAsia="Calibri"/>
          <w:color w:val="auto"/>
          <w:spacing w:val="0"/>
          <w:position w:val="0"/>
          <w:sz w:val="21"/>
          <w:shd w:fill="auto" w:val="clear"/>
        </w:rPr>
        <w:t xml:space="preserve">épart effectif</w:t>
      </w:r>
    </w:p>
    <w:p>
      <w:pPr>
        <w:numPr>
          <w:ilvl w:val="0"/>
          <w:numId w:val="125"/>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Archivé</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10. Données minimales recommandées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Les données ci-dessous devraient exister au minimum dans toute solution cible. Elles peuvent être structurées en fiches, sous-fichiers ou tables liées.</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Profil du médecin</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 CMQ et conformité</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Affiliation département / service / installation</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Nominations et renouvellements</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Statuts</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Privilèges et obligations</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Situation PEM / PREM</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Mandats de comité / fonctions administratives</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Congés et absences</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Pratique réduite / fin de carrière</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Départs / retraites / démissions</w:t>
      </w:r>
    </w:p>
    <w:p>
      <w:pPr>
        <w:numPr>
          <w:ilvl w:val="0"/>
          <w:numId w:val="128"/>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Journal d’audit et documents justificatifs</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11. Points à valider localement au CIUSSS de l’Est</w:t>
      </w:r>
    </w:p>
    <w:tbl>
      <w:tblPr/>
      <w:tblGrid>
        <w:gridCol w:w="2835"/>
        <w:gridCol w:w="4139"/>
        <w:gridCol w:w="2324"/>
      </w:tblGrid>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ce4d6"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7D3C1E"/>
                <w:spacing w:val="0"/>
                <w:position w:val="0"/>
                <w:sz w:val="19"/>
                <w:shd w:fill="auto" w:val="clear"/>
              </w:rPr>
              <w:t xml:space="preserve">Sujet</w:t>
            </w:r>
          </w:p>
        </w:tc>
        <w:tc>
          <w:tcPr>
            <w:tcW w:w="4139" w:type="dxa"/>
            <w:tcBorders>
              <w:top w:val="single" w:color="000000" w:sz="0"/>
              <w:left w:val="single" w:color="000000" w:sz="0"/>
              <w:bottom w:val="single" w:color="000000" w:sz="0"/>
              <w:right w:val="single" w:color="000000" w:sz="0"/>
            </w:tcBorders>
            <w:shd w:color="000000" w:fill="fce4d6"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7D3C1E"/>
                <w:spacing w:val="0"/>
                <w:position w:val="0"/>
                <w:sz w:val="19"/>
                <w:shd w:fill="auto" w:val="clear"/>
              </w:rPr>
              <w:t xml:space="preserve">Pourquoi valider</w:t>
            </w:r>
          </w:p>
        </w:tc>
        <w:tc>
          <w:tcPr>
            <w:tcW w:w="2324" w:type="dxa"/>
            <w:tcBorders>
              <w:top w:val="single" w:color="000000" w:sz="0"/>
              <w:left w:val="single" w:color="000000" w:sz="0"/>
              <w:bottom w:val="single" w:color="000000" w:sz="0"/>
              <w:right w:val="single" w:color="000000" w:sz="0"/>
            </w:tcBorders>
            <w:shd w:color="000000" w:fill="fce4d6"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7D3C1E"/>
                <w:spacing w:val="0"/>
                <w:position w:val="0"/>
                <w:sz w:val="19"/>
                <w:shd w:fill="auto" w:val="clear"/>
              </w:rPr>
              <w:t xml:space="preserve">Niveau de priorité</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Liste locale des statuts</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 cadre légal prévoit que les statuts et leurs conditions sont déterminés par règlement. La nomenclature utilisée localement doit être confirmée.</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Élevée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Taxonomie locale des privilèges</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Les catégories et sous-catégories réellement utilisées en établissement doivent être normalisées.</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Élevée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Règles locales de garde et d’obligations</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Certaines obligations rattachées aux privilèges peuvent relever des règlements départementaux.</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Élevée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Comités réellement suivis au registre</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 CIUSSS peut vouloir suivre seulement certains comités ou rôles médico-administratifs.</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Moyenne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Cotisations locales autres que CMQ</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Aucune grille publique propre au CIUSSS-EMTL n’a été repérée pour une cotisation CMDP locale.</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Élevée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Règle locale du « 50 % avant départ en congé »</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Aucune source publique n’a confirmé cette règle comme règle générale; elle doit être documentée avant intégration.</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Très élevée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Formulaires, preuves et circuits d’approbation</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Les pièces exigées et les signatures attendues peuvent différer selon les directions et départements.</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Élevée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Liste locale des signataires autorisés et fonctions de gestion</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 registre peut devoir intégrer des rôles connexes non purement cliniques.</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Moyenne</w:t>
            </w:r>
          </w:p>
        </w:tc>
      </w:tr>
      <w:tr>
        <w:trPr>
          <w:trHeight w:val="1" w:hRule="atLeast"/>
          <w:jc w:val="center"/>
        </w:trPr>
        <w:tc>
          <w:tcPr>
            <w:tcW w:w="2835" w:type="dxa"/>
            <w:tcBorders>
              <w:top w:val="single" w:color="000000" w:sz="0"/>
              <w:left w:val="single" w:color="000000" w:sz="0"/>
              <w:bottom w:val="single" w:color="000000" w:sz="0"/>
              <w:right w:val="single" w:color="000000" w:sz="0"/>
            </w:tcBorders>
            <w:shd w:color="000000" w:fill="fdf7f3"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Modalités d’archivage et de transfert de dossier</w:t>
            </w:r>
          </w:p>
        </w:tc>
        <w:tc>
          <w:tcPr>
            <w:tcW w:w="4139"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Les règles locales peuvent être plus détaillées que le minimum légal.</w:t>
            </w:r>
          </w:p>
        </w:tc>
        <w:tc>
          <w:tcPr>
            <w:tcW w:w="23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Moyenne</w:t>
            </w:r>
          </w:p>
        </w:tc>
      </w:tr>
    </w:tbl>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12. Recommandations de mise en </w:t>
      </w:r>
      <w:r>
        <w:rPr>
          <w:rFonts w:ascii="Calibri" w:hAnsi="Calibri" w:cs="Calibri" w:eastAsia="Calibri"/>
          <w:b/>
          <w:color w:val="12385C"/>
          <w:spacing w:val="0"/>
          <w:position w:val="0"/>
          <w:sz w:val="32"/>
          <w:shd w:fill="auto" w:val="clear"/>
        </w:rPr>
        <w:t xml:space="preserve">œuvre</w:t>
      </w:r>
    </w:p>
    <w:p>
      <w:pPr>
        <w:numPr>
          <w:ilvl w:val="0"/>
          <w:numId w:val="153"/>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Mettre en place un registre maître des médecins avec historisation native plutôt qu’une simple table courante.</w:t>
      </w:r>
    </w:p>
    <w:p>
      <w:pPr>
        <w:numPr>
          <w:ilvl w:val="0"/>
          <w:numId w:val="153"/>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Séparer les objets métier : médecin, nomination, privilège, situation PEM, congé, départ, pratique réduite, mandat de comité.</w:t>
      </w:r>
    </w:p>
    <w:p>
      <w:pPr>
        <w:numPr>
          <w:ilvl w:val="0"/>
          <w:numId w:val="153"/>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Prévoir des listes paramétrables pour les règles locales non documentées publiquement.</w:t>
      </w:r>
    </w:p>
    <w:p>
      <w:pPr>
        <w:numPr>
          <w:ilvl w:val="0"/>
          <w:numId w:val="153"/>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Introduire un moteur d’alertes sur les échéances et les incohérences de conformité.</w:t>
      </w:r>
    </w:p>
    <w:p>
      <w:pPr>
        <w:numPr>
          <w:ilvl w:val="0"/>
          <w:numId w:val="153"/>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Conserver les pièces justificatives de manière liée au bon événement métier et non dans un répertoire documentaire indifférencié.</w:t>
      </w:r>
    </w:p>
    <w:p>
      <w:pPr>
        <w:numPr>
          <w:ilvl w:val="0"/>
          <w:numId w:val="153"/>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Prévoir des rapports de pilotage : actifs, absents, en renouvellement, en pratique réduite, sortants, vacances PEM, dossiers incomplets.</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13. Conclusion</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 registre des médecins du CIUSSS de l’Est-de-l’Île-de-Montréal doit être conçu comme un système de vérité médico-administratif. Son utilité dépend moins du volume de données stockées que de la qualité des états métiers, de la fiabilité des décisions historisées et de la capacité à relier chaque médecin à ses statuts, privilèges, obligations, situations de congé, transitions de fin de carrière et événements de sortie.</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À ce stade, le présent document peut servir de base solide pour : un atelier de validation avec le DMPS/DSP et le CMDP, la rédaction d’un document fonctionnel détaillé, la conception d’un modèle de données, ou la planification d’une application de gestion des médecins.</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Annexe A </w:t>
      </w:r>
      <w:r>
        <w:rPr>
          <w:rFonts w:ascii="Calibri" w:hAnsi="Calibri" w:cs="Calibri" w:eastAsia="Calibri"/>
          <w:b/>
          <w:color w:val="12385C"/>
          <w:spacing w:val="0"/>
          <w:position w:val="0"/>
          <w:sz w:val="32"/>
          <w:shd w:fill="auto" w:val="clear"/>
        </w:rPr>
        <w:t xml:space="preserve">–</w:t>
      </w:r>
      <w:r>
        <w:rPr>
          <w:rFonts w:ascii="Calibri" w:hAnsi="Calibri" w:cs="Calibri" w:eastAsia="Calibri"/>
          <w:b/>
          <w:color w:val="12385C"/>
          <w:spacing w:val="0"/>
          <w:position w:val="0"/>
          <w:sz w:val="32"/>
          <w:shd w:fill="auto" w:val="clear"/>
        </w:rPr>
        <w:t xml:space="preserve"> R</w:t>
      </w:r>
      <w:r>
        <w:rPr>
          <w:rFonts w:ascii="Calibri" w:hAnsi="Calibri" w:cs="Calibri" w:eastAsia="Calibri"/>
          <w:b/>
          <w:color w:val="12385C"/>
          <w:spacing w:val="0"/>
          <w:position w:val="0"/>
          <w:sz w:val="32"/>
          <w:shd w:fill="auto" w:val="clear"/>
        </w:rPr>
        <w:t xml:space="preserve">éférences publiques utilisées</w:t>
      </w:r>
    </w:p>
    <w:p>
      <w:pPr>
        <w:spacing w:before="0" w:after="100" w:line="26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Références consultées le 31 mars 2026 pour établir le cadre du document.</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R1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CIUSSS-EMTL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Plan d</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organisation.</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R2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CIUSSS-EMTL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Calendrier et ordre du jour du CAE.</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R3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CIUSSS-EMTL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Ordre du jour du CA du 10 avril 2024 (affaires m</w:t>
      </w:r>
      <w:r>
        <w:rPr>
          <w:rFonts w:ascii="Calibri" w:hAnsi="Calibri" w:cs="Calibri" w:eastAsia="Calibri"/>
          <w:color w:val="auto"/>
          <w:spacing w:val="0"/>
          <w:position w:val="0"/>
          <w:sz w:val="21"/>
          <w:shd w:fill="auto" w:val="clear"/>
        </w:rPr>
        <w:t xml:space="preserve">édico-administratives).</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R4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CMQ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w:t>
      </w:r>
      <w:r>
        <w:rPr>
          <w:rFonts w:ascii="Calibri" w:hAnsi="Calibri" w:cs="Calibri" w:eastAsia="Calibri"/>
          <w:color w:val="auto"/>
          <w:spacing w:val="0"/>
          <w:position w:val="0"/>
          <w:sz w:val="21"/>
          <w:shd w:fill="auto" w:val="clear"/>
        </w:rPr>
        <w:t xml:space="preserve">éclaration annuelle et renouvellement de la cotisation.</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R5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CMQ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Grille tarifaire.</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R6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w:t>
      </w:r>
      <w:r>
        <w:rPr>
          <w:rFonts w:ascii="Calibri" w:hAnsi="Calibri" w:cs="Calibri" w:eastAsia="Calibri"/>
          <w:color w:val="auto"/>
          <w:spacing w:val="0"/>
          <w:position w:val="0"/>
          <w:sz w:val="21"/>
          <w:shd w:fill="auto" w:val="clear"/>
        </w:rPr>
        <w:t xml:space="preserve">égis Québec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Loi sur la gouvernance du syst</w:t>
      </w:r>
      <w:r>
        <w:rPr>
          <w:rFonts w:ascii="Calibri" w:hAnsi="Calibri" w:cs="Calibri" w:eastAsia="Calibri"/>
          <w:color w:val="auto"/>
          <w:spacing w:val="0"/>
          <w:position w:val="0"/>
          <w:sz w:val="21"/>
          <w:shd w:fill="auto" w:val="clear"/>
        </w:rPr>
        <w:t xml:space="preserve">ème de santé et de services sociaux.</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R7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w:t>
      </w:r>
      <w:r>
        <w:rPr>
          <w:rFonts w:ascii="Calibri" w:hAnsi="Calibri" w:cs="Calibri" w:eastAsia="Calibri"/>
          <w:color w:val="auto"/>
          <w:spacing w:val="0"/>
          <w:position w:val="0"/>
          <w:sz w:val="21"/>
          <w:shd w:fill="auto" w:val="clear"/>
        </w:rPr>
        <w:t xml:space="preserve">égis Québec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w:t>
      </w:r>
      <w:r>
        <w:rPr>
          <w:rFonts w:ascii="Calibri" w:hAnsi="Calibri" w:cs="Calibri" w:eastAsia="Calibri"/>
          <w:color w:val="auto"/>
          <w:spacing w:val="0"/>
          <w:position w:val="0"/>
          <w:sz w:val="21"/>
          <w:shd w:fill="auto" w:val="clear"/>
        </w:rPr>
        <w:t xml:space="preserve">èglement sur l’organisation et l’administration des établissements.</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R8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MSSS / Sant</w:t>
      </w:r>
      <w:r>
        <w:rPr>
          <w:rFonts w:ascii="Calibri" w:hAnsi="Calibri" w:cs="Calibri" w:eastAsia="Calibri"/>
          <w:color w:val="auto"/>
          <w:spacing w:val="0"/>
          <w:position w:val="0"/>
          <w:sz w:val="21"/>
          <w:shd w:fill="auto" w:val="clear"/>
        </w:rPr>
        <w:t xml:space="preserve">é Québec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Plans d</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effectifs m</w:t>
      </w:r>
      <w:r>
        <w:rPr>
          <w:rFonts w:ascii="Calibri" w:hAnsi="Calibri" w:cs="Calibri" w:eastAsia="Calibri"/>
          <w:color w:val="auto"/>
          <w:spacing w:val="0"/>
          <w:position w:val="0"/>
          <w:sz w:val="21"/>
          <w:shd w:fill="auto" w:val="clear"/>
        </w:rPr>
        <w:t xml:space="preserve">édicaux (PEM) en spécialité.</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R9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Publications MSSS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w:t>
      </w:r>
      <w:r>
        <w:rPr>
          <w:rFonts w:ascii="Calibri" w:hAnsi="Calibri" w:cs="Calibri" w:eastAsia="Calibri"/>
          <w:color w:val="auto"/>
          <w:spacing w:val="0"/>
          <w:position w:val="0"/>
          <w:sz w:val="21"/>
          <w:shd w:fill="auto" w:val="clear"/>
        </w:rPr>
        <w:t xml:space="preserve">ègles de gestion des PEM en spécialité.</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R10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Contrat de transition de fin de carri</w:t>
      </w:r>
      <w:r>
        <w:rPr>
          <w:rFonts w:ascii="Calibri" w:hAnsi="Calibri" w:cs="Calibri" w:eastAsia="Calibri"/>
          <w:color w:val="auto"/>
          <w:spacing w:val="0"/>
          <w:position w:val="0"/>
          <w:sz w:val="21"/>
          <w:shd w:fill="auto" w:val="clear"/>
        </w:rPr>
        <w:t xml:space="preserve">ère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63 ans.</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R11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FMOQ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PREM.</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R12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FMOQ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PEM.</w:t>
      </w:r>
    </w:p>
    <w:p>
      <w:pPr>
        <w:spacing w:before="0" w:after="4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R13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FMRQ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PEM en </w:t>
      </w:r>
      <w:r>
        <w:rPr>
          <w:rFonts w:ascii="Calibri" w:hAnsi="Calibri" w:cs="Calibri" w:eastAsia="Calibri"/>
          <w:color w:val="auto"/>
          <w:spacing w:val="0"/>
          <w:position w:val="0"/>
          <w:sz w:val="21"/>
          <w:shd w:fill="auto" w:val="clear"/>
        </w:rPr>
        <w:t xml:space="preserve">établissement / types de postes.</w:t>
      </w:r>
    </w:p>
    <w:p>
      <w:pPr>
        <w:keepNext w:val="true"/>
        <w:keepLines w:val="true"/>
        <w:spacing w:before="200" w:after="80" w:line="276"/>
        <w:ind w:right="0" w:left="0" w:firstLine="0"/>
        <w:jc w:val="left"/>
        <w:rPr>
          <w:rFonts w:ascii="Calibri" w:hAnsi="Calibri" w:cs="Calibri" w:eastAsia="Calibri"/>
          <w:b/>
          <w:color w:val="12385C"/>
          <w:spacing w:val="0"/>
          <w:position w:val="0"/>
          <w:sz w:val="32"/>
          <w:shd w:fill="auto" w:val="clear"/>
        </w:rPr>
      </w:pPr>
      <w:r>
        <w:rPr>
          <w:rFonts w:ascii="Calibri" w:hAnsi="Calibri" w:cs="Calibri" w:eastAsia="Calibri"/>
          <w:b/>
          <w:color w:val="12385C"/>
          <w:spacing w:val="0"/>
          <w:position w:val="0"/>
          <w:sz w:val="32"/>
          <w:shd w:fill="auto" w:val="clear"/>
        </w:rPr>
        <w:t xml:space="preserve">Annexe B </w:t>
      </w:r>
      <w:r>
        <w:rPr>
          <w:rFonts w:ascii="Calibri" w:hAnsi="Calibri" w:cs="Calibri" w:eastAsia="Calibri"/>
          <w:b/>
          <w:color w:val="12385C"/>
          <w:spacing w:val="0"/>
          <w:position w:val="0"/>
          <w:sz w:val="32"/>
          <w:shd w:fill="auto" w:val="clear"/>
        </w:rPr>
        <w:t xml:space="preserve">–</w:t>
      </w:r>
      <w:r>
        <w:rPr>
          <w:rFonts w:ascii="Calibri" w:hAnsi="Calibri" w:cs="Calibri" w:eastAsia="Calibri"/>
          <w:b/>
          <w:color w:val="12385C"/>
          <w:spacing w:val="0"/>
          <w:position w:val="0"/>
          <w:sz w:val="32"/>
          <w:shd w:fill="auto" w:val="clear"/>
        </w:rPr>
        <w:t xml:space="preserve"> Hypoth</w:t>
      </w:r>
      <w:r>
        <w:rPr>
          <w:rFonts w:ascii="Calibri" w:hAnsi="Calibri" w:cs="Calibri" w:eastAsia="Calibri"/>
          <w:b/>
          <w:color w:val="12385C"/>
          <w:spacing w:val="0"/>
          <w:position w:val="0"/>
          <w:sz w:val="32"/>
          <w:shd w:fill="auto" w:val="clear"/>
        </w:rPr>
        <w:t xml:space="preserve">èses de travail retenues</w:t>
      </w:r>
    </w:p>
    <w:p>
      <w:pPr>
        <w:numPr>
          <w:ilvl w:val="0"/>
          <w:numId w:val="160"/>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 terme « registre des médecins » désigne ici le référentiel maître du cycle de vie médico-administratif du médecin en établissement.</w:t>
      </w:r>
    </w:p>
    <w:p>
      <w:pPr>
        <w:numPr>
          <w:ilvl w:val="0"/>
          <w:numId w:val="160"/>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Les règles sur la fin de carrière et la pratique réduite sont présentées comme mécanismes potentiels à gérer, non comme obligations imposées à tous les médecins.</w:t>
      </w:r>
    </w:p>
    <w:p>
      <w:pPr>
        <w:numPr>
          <w:ilvl w:val="0"/>
          <w:numId w:val="160"/>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La règle évoquée sur le « 50 % avant départ en congé » n’a pas été retrouvée dans les sources publiques consultées; elle demeure donc un point local à documenter.</w:t>
      </w:r>
    </w:p>
    <w:p>
      <w:pPr>
        <w:numPr>
          <w:ilvl w:val="0"/>
          <w:numId w:val="160"/>
        </w:numPr>
        <w:tabs>
          <w:tab w:val="left" w:pos="360" w:leader="none"/>
        </w:tabs>
        <w:spacing w:before="0" w:after="20" w:line="276"/>
        <w:ind w:right="0" w:left="360" w:hanging="36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La structure précise des statuts, privilèges et circuits d’approbation peut avoir été adaptée localement au CIUSSS-EMTL dans le contexte de Santé Québec.</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6">
    <w:abstractNumId w:val="30"/>
  </w:num>
  <w:num w:numId="72">
    <w:abstractNumId w:val="24"/>
  </w:num>
  <w:num w:numId="125">
    <w:abstractNumId w:val="18"/>
  </w:num>
  <w:num w:numId="128">
    <w:abstractNumId w:val="12"/>
  </w:num>
  <w:num w:numId="153">
    <w:abstractNumId w:val="6"/>
  </w:num>
  <w:num w:numId="16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