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Driver Dashboard · Technical Handoff</w:t>
      </w:r>
    </w:p>
    <w:p>
      <w:r>
        <w:rPr>
          <w:color w:val="176B9B"/>
          <w:sz w:val="22"/>
        </w:rPr>
        <w:t>Parking requests, availability awareness, assignment feedback and eventual guidance</w:t>
      </w:r>
    </w:p>
    <w:p>
      <w:pPr>
        <w:spacing w:after="240"/>
      </w:pPr>
      <w:r>
        <w:t>This area covers the driver-facing journey from checking parking availability to receiving a valid space assignment and useful status updates. It is intentionally separate from operator controls.</w:t>
      </w:r>
    </w:p>
    <w:p>
      <w:pPr>
        <w:pStyle w:val="Heading1"/>
      </w:pPr>
      <w:r>
        <w:t>Purpose and ownership</w:t>
      </w:r>
    </w:p>
    <w:p>
      <w:r>
        <w:t>The Driver Dashboard area focuses on making the garage usable from a driver’s perspective. It presents a simple request flow and explains the outcome using real backend data rather than simulating assignments locally.</w:t>
      </w:r>
    </w:p>
    <w:p>
      <w:pPr>
        <w:pStyle w:val="ListBullet"/>
        <w:spacing w:after="54"/>
        <w:ind w:left="432" w:hanging="187"/>
      </w:pPr>
      <w:r>
        <w:t>Driver-oriented navigation and user experience.</w:t>
      </w:r>
    </w:p>
    <w:p>
      <w:pPr>
        <w:pStyle w:val="ListBullet"/>
        <w:spacing w:after="54"/>
        <w:ind w:left="432" w:hanging="187"/>
      </w:pPr>
      <w:r>
        <w:t>Displaying parking eligibility and availability at an understandable level.</w:t>
      </w:r>
    </w:p>
    <w:p>
      <w:pPr>
        <w:pStyle w:val="ListBullet"/>
        <w:spacing w:after="54"/>
        <w:ind w:left="432" w:hanging="187"/>
      </w:pPr>
      <w:r>
        <w:t>Submitting standard/EV parking requests through supported backend functionality.</w:t>
      </w:r>
    </w:p>
    <w:p>
      <w:pPr>
        <w:pStyle w:val="ListBullet"/>
        <w:spacing w:after="54"/>
        <w:ind w:left="432" w:hanging="187"/>
      </w:pPr>
      <w:r>
        <w:t>Displaying assignment, current lifecycle status and clear refusal or retry messaging.</w:t>
      </w:r>
    </w:p>
    <w:p>
      <w:pPr>
        <w:pStyle w:val="ListBullet"/>
        <w:spacing w:after="54"/>
        <w:ind w:left="432" w:hanging="187"/>
      </w:pPr>
      <w:r>
        <w:t>Preparing a place for guidance features when navigation/guidance APIs are added.</w:t>
      </w:r>
    </w:p>
    <w:p>
      <w:pPr>
        <w:pStyle w:val="Heading1"/>
      </w:pPr>
      <w:r>
        <w:t>What is already available</w:t>
      </w:r>
    </w:p>
    <w:p>
      <w:pPr>
        <w:pStyle w:val="ListBullet"/>
        <w:spacing w:after="54"/>
        <w:ind w:left="432" w:hanging="187"/>
      </w:pPr>
      <w:r>
        <w:t>The garage tracks 414 physical stalls: 398 Standard, 8 EV, and 8 OutOfService.</w:t>
      </w:r>
    </w:p>
    <w:p>
      <w:pPr>
        <w:pStyle w:val="ListBullet"/>
        <w:spacing w:after="54"/>
        <w:ind w:left="432" w:hanging="187"/>
      </w:pPr>
      <w:r>
        <w:t>Actual assignment, spawning, parking and departure behavior are simulated in Unity.</w:t>
      </w:r>
    </w:p>
    <w:p>
      <w:pPr>
        <w:pStyle w:val="ListBullet"/>
        <w:spacing w:after="54"/>
        <w:ind w:left="432" w:hanging="187"/>
      </w:pPr>
      <w:r>
        <w:t>The backend exposes garage state and supports vehicle spawn command handling.</w:t>
      </w:r>
    </w:p>
    <w:p>
      <w:pPr>
        <w:pStyle w:val="ListBullet"/>
        <w:spacing w:after="54"/>
        <w:ind w:left="432" w:hanging="187"/>
      </w:pPr>
      <w:r>
        <w:t>Backend execution results can distinguish a valid spawn from NoMatchingAvailableSpace and from temporary admission refusal.</w:t>
      </w:r>
    </w:p>
    <w:p>
      <w:pPr>
        <w:pStyle w:val="ListBullet"/>
        <w:spacing w:after="54"/>
        <w:ind w:left="432" w:hanging="187"/>
      </w:pPr>
      <w:r>
        <w:t>Duplicate command redelivery was tested: repeated delivery of the same request does not create multiple vehicles.</w:t>
      </w:r>
    </w:p>
    <w:p>
      <w:pPr>
        <w:pStyle w:val="ListBullet"/>
        <w:spacing w:after="54"/>
        <w:ind w:left="432" w:hanging="187"/>
      </w:pPr>
      <w:r>
        <w:t>Live state synchronization between Unity and backend has passed smoke tests.</w:t>
      </w:r>
    </w:p>
    <w:p>
      <w:pPr>
        <w:ind w:left="216" w:right="144"/>
      </w:pPr>
      <w:r>
        <w:rPr>
          <w:b/>
          <w:color w:val="176B9B"/>
        </w:rPr>
        <w:t xml:space="preserve">IMPORTANT CONTEXT  </w:t>
      </w:r>
      <w:r>
        <w:t>A backend HTTP 202 means the request entered the queue. It does not guarantee a vehicle was created or a space was assigned. The dashboard should wait for the actual result/status.</w:t>
      </w:r>
    </w:p>
    <w:p>
      <w:pPr>
        <w:pStyle w:val="Heading1"/>
      </w:pPr>
      <w:r>
        <w:t>Illustrative driver journey</w:t>
      </w:r>
    </w:p>
    <w:tbl>
      <w:tblPr>
        <w:tblStyle w:val="TableGrid"/>
        <w:tblW w:type="auto" w:w="0"/>
        <w:jc w:val="center"/>
        <w:tblLayout w:type="fixed"/>
        <w:tblLook w:firstColumn="1" w:firstRow="1" w:lastColumn="0" w:lastRow="0" w:noHBand="0" w:noVBand="1" w:val="04A0"/>
      </w:tblPr>
      <w:tblGrid>
        <w:gridCol w:w="4752"/>
        <w:gridCol w:w="4752"/>
      </w:tblGrid>
      <w:tr>
        <w:tc>
          <w:tcPr>
            <w:tcW w:type="dxa" w:w="4752"/>
            <w:shd w:fill="176B9B"/>
            <w:tcMar>
              <w:top w:w="80" w:type="dxa"/>
              <w:left w:w="80" w:type="dxa"/>
              <w:bottom w:w="80" w:type="dxa"/>
              <w:right w:w="80" w:type="dxa"/>
            </w:tcMar>
          </w:tcPr>
          <w:p>
            <w:pPr>
              <w:spacing w:after="0"/>
            </w:pPr>
            <w:r/>
            <w:r>
              <w:rPr>
                <w:b/>
                <w:color w:val="FFFFFF"/>
                <w:sz w:val="17"/>
              </w:rPr>
              <w:t>Stage</w:t>
            </w:r>
          </w:p>
        </w:tc>
        <w:tc>
          <w:tcPr>
            <w:tcW w:type="dxa" w:w="4752"/>
            <w:shd w:fill="176B9B"/>
            <w:tcMar>
              <w:top w:w="80" w:type="dxa"/>
              <w:left w:w="80" w:type="dxa"/>
              <w:bottom w:w="80" w:type="dxa"/>
              <w:right w:w="80" w:type="dxa"/>
            </w:tcMar>
          </w:tcPr>
          <w:p>
            <w:pPr>
              <w:spacing w:after="0"/>
            </w:pPr>
            <w:r/>
            <w:r>
              <w:rPr>
                <w:b/>
                <w:color w:val="FFFFFF"/>
                <w:sz w:val="17"/>
              </w:rPr>
              <w:t>Driver-facing experience</w:t>
            </w:r>
          </w:p>
        </w:tc>
      </w:tr>
      <w:tr>
        <w:trPr>
          <w:cantSplit/>
        </w:trPr>
        <w:tc>
          <w:tcPr>
            <w:tcW w:type="dxa" w:w="4752"/>
            <w:vAlign w:val="center"/>
            <w:tcMar>
              <w:top w:w="80" w:type="dxa"/>
              <w:left w:w="80" w:type="dxa"/>
              <w:bottom w:w="80" w:type="dxa"/>
              <w:right w:w="80" w:type="dxa"/>
            </w:tcMar>
          </w:tcPr>
          <w:p>
            <w:pPr>
              <w:spacing w:after="0" w:line="252" w:lineRule="auto"/>
            </w:pPr>
            <w:r>
              <w:rPr>
                <w:sz w:val="16"/>
              </w:rPr>
            </w:r>
            <w:r>
              <w:rPr>
                <w:sz w:val="16"/>
              </w:rPr>
              <w:t>Check</w:t>
            </w:r>
          </w:p>
        </w:tc>
        <w:tc>
          <w:tcPr>
            <w:tcW w:type="dxa" w:w="4752"/>
            <w:vAlign w:val="center"/>
            <w:tcMar>
              <w:top w:w="80" w:type="dxa"/>
              <w:left w:w="80" w:type="dxa"/>
              <w:bottom w:w="80" w:type="dxa"/>
              <w:right w:w="80" w:type="dxa"/>
            </w:tcMar>
          </w:tcPr>
          <w:p>
            <w:pPr>
              <w:spacing w:after="0" w:line="252" w:lineRule="auto"/>
            </w:pPr>
            <w:r>
              <w:rPr>
                <w:sz w:val="16"/>
              </w:rPr>
            </w:r>
            <w:r>
              <w:rPr>
                <w:sz w:val="16"/>
              </w:rPr>
              <w:t>See whether suitable spaces appear available, including EV where relevant.</w:t>
            </w:r>
          </w:p>
        </w:tc>
      </w:tr>
      <w:tr>
        <w:trPr>
          <w:cantSplit/>
        </w:trPr>
        <w:tc>
          <w:tcPr>
            <w:tcW w:type="dxa" w:w="4752"/>
            <w:shd w:fill="F1F6F9"/>
            <w:vAlign w:val="center"/>
            <w:tcMar>
              <w:top w:w="80" w:type="dxa"/>
              <w:left w:w="80" w:type="dxa"/>
              <w:bottom w:w="80" w:type="dxa"/>
              <w:right w:w="80" w:type="dxa"/>
            </w:tcMar>
          </w:tcPr>
          <w:p>
            <w:pPr>
              <w:spacing w:after="0" w:line="252" w:lineRule="auto"/>
            </w:pPr>
            <w:r>
              <w:rPr>
                <w:sz w:val="16"/>
              </w:rPr>
            </w:r>
            <w:r>
              <w:rPr>
                <w:sz w:val="16"/>
              </w:rPr>
              <w:t>Request</w:t>
            </w:r>
          </w:p>
        </w:tc>
        <w:tc>
          <w:tcPr>
            <w:tcW w:type="dxa" w:w="4752"/>
            <w:shd w:fill="F1F6F9"/>
            <w:vAlign w:val="center"/>
            <w:tcMar>
              <w:top w:w="80" w:type="dxa"/>
              <w:left w:w="80" w:type="dxa"/>
              <w:bottom w:w="80" w:type="dxa"/>
              <w:right w:w="80" w:type="dxa"/>
            </w:tcMar>
          </w:tcPr>
          <w:p>
            <w:pPr>
              <w:spacing w:after="0" w:line="252" w:lineRule="auto"/>
            </w:pPr>
            <w:r>
              <w:rPr>
                <w:sz w:val="16"/>
              </w:rPr>
            </w:r>
            <w:r>
              <w:rPr>
                <w:sz w:val="16"/>
              </w:rPr>
              <w:t>Choose an available supported parking category/request type.</w:t>
            </w:r>
          </w:p>
        </w:tc>
      </w:tr>
      <w:tr>
        <w:trPr>
          <w:cantSplit/>
        </w:trPr>
        <w:tc>
          <w:tcPr>
            <w:tcW w:type="dxa" w:w="4752"/>
            <w:vAlign w:val="center"/>
            <w:tcMar>
              <w:top w:w="80" w:type="dxa"/>
              <w:left w:w="80" w:type="dxa"/>
              <w:bottom w:w="80" w:type="dxa"/>
              <w:right w:w="80" w:type="dxa"/>
            </w:tcMar>
          </w:tcPr>
          <w:p>
            <w:pPr>
              <w:spacing w:after="0" w:line="252" w:lineRule="auto"/>
            </w:pPr>
            <w:r>
              <w:rPr>
                <w:sz w:val="16"/>
              </w:rPr>
            </w:r>
            <w:r>
              <w:rPr>
                <w:sz w:val="16"/>
              </w:rPr>
              <w:t>Pending</w:t>
            </w:r>
          </w:p>
        </w:tc>
        <w:tc>
          <w:tcPr>
            <w:tcW w:type="dxa" w:w="4752"/>
            <w:vAlign w:val="center"/>
            <w:tcMar>
              <w:top w:w="80" w:type="dxa"/>
              <w:left w:w="80" w:type="dxa"/>
              <w:bottom w:w="80" w:type="dxa"/>
              <w:right w:w="80" w:type="dxa"/>
            </w:tcMar>
          </w:tcPr>
          <w:p>
            <w:pPr>
              <w:spacing w:after="0" w:line="252" w:lineRule="auto"/>
            </w:pPr>
            <w:r>
              <w:rPr>
                <w:sz w:val="16"/>
              </w:rPr>
            </w:r>
            <w:r>
              <w:rPr>
                <w:sz w:val="16"/>
              </w:rPr>
              <w:t>See that the request is being processed, rather than an immediate success promise.</w:t>
            </w:r>
          </w:p>
        </w:tc>
      </w:tr>
      <w:tr>
        <w:trPr>
          <w:cantSplit/>
        </w:trPr>
        <w:tc>
          <w:tcPr>
            <w:tcW w:type="dxa" w:w="4752"/>
            <w:shd w:fill="F1F6F9"/>
            <w:vAlign w:val="center"/>
            <w:tcMar>
              <w:top w:w="80" w:type="dxa"/>
              <w:left w:w="80" w:type="dxa"/>
              <w:bottom w:w="80" w:type="dxa"/>
              <w:right w:w="80" w:type="dxa"/>
            </w:tcMar>
          </w:tcPr>
          <w:p>
            <w:pPr>
              <w:spacing w:after="0" w:line="252" w:lineRule="auto"/>
            </w:pPr>
            <w:r>
              <w:rPr>
                <w:sz w:val="16"/>
              </w:rPr>
            </w:r>
            <w:r>
              <w:rPr>
                <w:sz w:val="16"/>
              </w:rPr>
              <w:t>Assigned</w:t>
            </w:r>
          </w:p>
        </w:tc>
        <w:tc>
          <w:tcPr>
            <w:tcW w:type="dxa" w:w="4752"/>
            <w:shd w:fill="F1F6F9"/>
            <w:vAlign w:val="center"/>
            <w:tcMar>
              <w:top w:w="80" w:type="dxa"/>
              <w:left w:w="80" w:type="dxa"/>
              <w:bottom w:w="80" w:type="dxa"/>
              <w:right w:w="80" w:type="dxa"/>
            </w:tcMar>
          </w:tcPr>
          <w:p>
            <w:pPr>
              <w:spacing w:after="0" w:line="252" w:lineRule="auto"/>
            </w:pPr>
            <w:r>
              <w:rPr>
                <w:sz w:val="16"/>
              </w:rPr>
            </w:r>
            <w:r>
              <w:rPr>
                <w:sz w:val="16"/>
              </w:rPr>
              <w:t>See the assigned stall/level after authoritative confirmation.</w:t>
            </w:r>
          </w:p>
        </w:tc>
      </w:tr>
      <w:tr>
        <w:trPr>
          <w:cantSplit/>
        </w:trPr>
        <w:tc>
          <w:tcPr>
            <w:tcW w:type="dxa" w:w="4752"/>
            <w:vAlign w:val="center"/>
            <w:tcMar>
              <w:top w:w="80" w:type="dxa"/>
              <w:left w:w="80" w:type="dxa"/>
              <w:bottom w:w="80" w:type="dxa"/>
              <w:right w:w="80" w:type="dxa"/>
            </w:tcMar>
          </w:tcPr>
          <w:p>
            <w:pPr>
              <w:spacing w:after="0" w:line="252" w:lineRule="auto"/>
            </w:pPr>
            <w:r>
              <w:rPr>
                <w:sz w:val="16"/>
              </w:rPr>
            </w:r>
            <w:r>
              <w:rPr>
                <w:sz w:val="16"/>
              </w:rPr>
              <w:t>In progress</w:t>
            </w:r>
          </w:p>
        </w:tc>
        <w:tc>
          <w:tcPr>
            <w:tcW w:type="dxa" w:w="4752"/>
            <w:vAlign w:val="center"/>
            <w:tcMar>
              <w:top w:w="80" w:type="dxa"/>
              <w:left w:w="80" w:type="dxa"/>
              <w:bottom w:w="80" w:type="dxa"/>
              <w:right w:w="80" w:type="dxa"/>
            </w:tcMar>
          </w:tcPr>
          <w:p>
            <w:pPr>
              <w:spacing w:after="0" w:line="252" w:lineRule="auto"/>
            </w:pPr>
            <w:r>
              <w:rPr>
                <w:sz w:val="16"/>
              </w:rPr>
            </w:r>
            <w:r>
              <w:rPr>
                <w:sz w:val="16"/>
              </w:rPr>
              <w:t>See relevant arrival/parking status updates when exposed.</w:t>
            </w:r>
          </w:p>
        </w:tc>
      </w:tr>
      <w:tr>
        <w:trPr>
          <w:cantSplit/>
        </w:trPr>
        <w:tc>
          <w:tcPr>
            <w:tcW w:type="dxa" w:w="4752"/>
            <w:shd w:fill="F1F6F9"/>
            <w:vAlign w:val="center"/>
            <w:tcMar>
              <w:top w:w="80" w:type="dxa"/>
              <w:left w:w="80" w:type="dxa"/>
              <w:bottom w:w="80" w:type="dxa"/>
              <w:right w:w="80" w:type="dxa"/>
            </w:tcMar>
          </w:tcPr>
          <w:p>
            <w:pPr>
              <w:spacing w:after="0" w:line="252" w:lineRule="auto"/>
            </w:pPr>
            <w:r>
              <w:rPr>
                <w:sz w:val="16"/>
              </w:rPr>
            </w:r>
            <w:r>
              <w:rPr>
                <w:sz w:val="16"/>
              </w:rPr>
              <w:t>Unable to serve</w:t>
            </w:r>
          </w:p>
        </w:tc>
        <w:tc>
          <w:tcPr>
            <w:tcW w:type="dxa" w:w="4752"/>
            <w:shd w:fill="F1F6F9"/>
            <w:vAlign w:val="center"/>
            <w:tcMar>
              <w:top w:w="80" w:type="dxa"/>
              <w:left w:w="80" w:type="dxa"/>
              <w:bottom w:w="80" w:type="dxa"/>
              <w:right w:w="80" w:type="dxa"/>
            </w:tcMar>
          </w:tcPr>
          <w:p>
            <w:pPr>
              <w:spacing w:after="0" w:line="252" w:lineRule="auto"/>
            </w:pPr>
            <w:r>
              <w:rPr>
                <w:sz w:val="16"/>
              </w:rPr>
            </w:r>
            <w:r>
              <w:rPr>
                <w:sz w:val="16"/>
              </w:rPr>
              <w:t>Understand full EV capacity, no compatible stall, or temporarily blocked entry.</w:t>
            </w:r>
          </w:p>
        </w:tc>
      </w:tr>
      <w:tr>
        <w:trPr>
          <w:cantSplit/>
        </w:trPr>
        <w:tc>
          <w:tcPr>
            <w:tcW w:type="dxa" w:w="4752"/>
            <w:vAlign w:val="center"/>
            <w:tcMar>
              <w:top w:w="80" w:type="dxa"/>
              <w:left w:w="80" w:type="dxa"/>
              <w:bottom w:w="80" w:type="dxa"/>
              <w:right w:w="80" w:type="dxa"/>
            </w:tcMar>
          </w:tcPr>
          <w:p>
            <w:pPr>
              <w:spacing w:after="0" w:line="252" w:lineRule="auto"/>
            </w:pPr>
            <w:r>
              <w:rPr>
                <w:sz w:val="16"/>
              </w:rPr>
            </w:r>
            <w:r>
              <w:rPr>
                <w:sz w:val="16"/>
              </w:rPr>
              <w:t>Later guidance</w:t>
            </w:r>
          </w:p>
        </w:tc>
        <w:tc>
          <w:tcPr>
            <w:tcW w:type="dxa" w:w="4752"/>
            <w:vAlign w:val="center"/>
            <w:tcMar>
              <w:top w:w="80" w:type="dxa"/>
              <w:left w:w="80" w:type="dxa"/>
              <w:bottom w:w="80" w:type="dxa"/>
              <w:right w:w="80" w:type="dxa"/>
            </w:tcMar>
          </w:tcPr>
          <w:p>
            <w:pPr>
              <w:spacing w:after="0" w:line="252" w:lineRule="auto"/>
            </w:pPr>
            <w:r>
              <w:rPr>
                <w:sz w:val="16"/>
              </w:rPr>
            </w:r>
            <w:r>
              <w:rPr>
                <w:sz w:val="16"/>
              </w:rPr>
              <w:t>Use a route/wayfinding experience when that integration is implemented.</w:t>
            </w:r>
          </w:p>
        </w:tc>
      </w:tr>
    </w:tbl>
    <w:p>
      <w:pPr>
        <w:spacing w:after="0"/>
      </w:pPr>
    </w:p>
    <w:p>
      <w:pPr>
        <w:pStyle w:val="Heading1"/>
      </w:pPr>
      <w:r>
        <w:t>Current versus future features</w:t>
      </w:r>
    </w:p>
    <w:tbl>
      <w:tblPr>
        <w:tblStyle w:val="TableGrid"/>
        <w:tblW w:type="auto" w:w="0"/>
        <w:jc w:val="center"/>
        <w:tblLayout w:type="fixed"/>
        <w:tblLook w:firstColumn="1" w:firstRow="1" w:lastColumn="0" w:lastRow="0" w:noHBand="0" w:noVBand="1" w:val="04A0"/>
      </w:tblPr>
      <w:tblGrid>
        <w:gridCol w:w="4752"/>
        <w:gridCol w:w="4752"/>
      </w:tblGrid>
      <w:tr>
        <w:tc>
          <w:tcPr>
            <w:tcW w:type="dxa" w:w="4752"/>
            <w:shd w:fill="176B9B"/>
            <w:tcMar>
              <w:top w:w="80" w:type="dxa"/>
              <w:left w:w="80" w:type="dxa"/>
              <w:bottom w:w="80" w:type="dxa"/>
              <w:right w:w="80" w:type="dxa"/>
            </w:tcMar>
          </w:tcPr>
          <w:p>
            <w:pPr>
              <w:spacing w:after="0"/>
            </w:pPr>
            <w:r/>
            <w:r>
              <w:rPr>
                <w:b/>
                <w:color w:val="FFFFFF"/>
                <w:sz w:val="17"/>
              </w:rPr>
              <w:t>Available foundation</w:t>
            </w:r>
          </w:p>
        </w:tc>
        <w:tc>
          <w:tcPr>
            <w:tcW w:type="dxa" w:w="4752"/>
            <w:shd w:fill="176B9B"/>
            <w:tcMar>
              <w:top w:w="80" w:type="dxa"/>
              <w:left w:w="80" w:type="dxa"/>
              <w:bottom w:w="80" w:type="dxa"/>
              <w:right w:w="80" w:type="dxa"/>
            </w:tcMar>
          </w:tcPr>
          <w:p>
            <w:pPr>
              <w:spacing w:after="0"/>
            </w:pPr>
            <w:r/>
            <w:r>
              <w:rPr>
                <w:b/>
                <w:color w:val="FFFFFF"/>
                <w:sz w:val="17"/>
              </w:rPr>
              <w:t>Still to define / implement</w:t>
            </w:r>
          </w:p>
        </w:tc>
      </w:tr>
      <w:tr>
        <w:trPr>
          <w:cantSplit/>
        </w:trPr>
        <w:tc>
          <w:tcPr>
            <w:tcW w:type="dxa" w:w="4752"/>
            <w:vAlign w:val="center"/>
            <w:tcMar>
              <w:top w:w="80" w:type="dxa"/>
              <w:left w:w="80" w:type="dxa"/>
              <w:bottom w:w="80" w:type="dxa"/>
              <w:right w:w="80" w:type="dxa"/>
            </w:tcMar>
          </w:tcPr>
          <w:p>
            <w:pPr>
              <w:spacing w:after="0" w:line="252" w:lineRule="auto"/>
            </w:pPr>
            <w:r>
              <w:rPr>
                <w:sz w:val="16"/>
              </w:rPr>
            </w:r>
            <w:r>
              <w:rPr>
                <w:sz w:val="16"/>
              </w:rPr>
              <w:t>Garage space counts and status snapshots</w:t>
            </w:r>
          </w:p>
        </w:tc>
        <w:tc>
          <w:tcPr>
            <w:tcW w:type="dxa" w:w="4752"/>
            <w:vAlign w:val="center"/>
            <w:tcMar>
              <w:top w:w="80" w:type="dxa"/>
              <w:left w:w="80" w:type="dxa"/>
              <w:bottom w:w="80" w:type="dxa"/>
              <w:right w:w="80" w:type="dxa"/>
            </w:tcMar>
          </w:tcPr>
          <w:p>
            <w:pPr>
              <w:spacing w:after="0" w:line="252" w:lineRule="auto"/>
            </w:pPr>
            <w:r>
              <w:rPr>
                <w:sz w:val="16"/>
              </w:rPr>
            </w:r>
            <w:r>
              <w:rPr>
                <w:sz w:val="16"/>
              </w:rPr>
              <w:t>Driver-specific copy, filters and interaction design</w:t>
            </w:r>
          </w:p>
        </w:tc>
      </w:tr>
      <w:tr>
        <w:trPr>
          <w:cantSplit/>
        </w:trPr>
        <w:tc>
          <w:tcPr>
            <w:tcW w:type="dxa" w:w="4752"/>
            <w:shd w:fill="F1F6F9"/>
            <w:vAlign w:val="center"/>
            <w:tcMar>
              <w:top w:w="80" w:type="dxa"/>
              <w:left w:w="80" w:type="dxa"/>
              <w:bottom w:w="80" w:type="dxa"/>
              <w:right w:w="80" w:type="dxa"/>
            </w:tcMar>
          </w:tcPr>
          <w:p>
            <w:pPr>
              <w:spacing w:after="0" w:line="252" w:lineRule="auto"/>
            </w:pPr>
            <w:r>
              <w:rPr>
                <w:sz w:val="16"/>
              </w:rPr>
            </w:r>
            <w:r>
              <w:rPr>
                <w:sz w:val="16"/>
              </w:rPr>
              <w:t>Valid spawn requests and final results</w:t>
            </w:r>
          </w:p>
        </w:tc>
        <w:tc>
          <w:tcPr>
            <w:tcW w:type="dxa" w:w="4752"/>
            <w:shd w:fill="F1F6F9"/>
            <w:vAlign w:val="center"/>
            <w:tcMar>
              <w:top w:w="80" w:type="dxa"/>
              <w:left w:w="80" w:type="dxa"/>
              <w:bottom w:w="80" w:type="dxa"/>
              <w:right w:w="80" w:type="dxa"/>
            </w:tcMar>
          </w:tcPr>
          <w:p>
            <w:pPr>
              <w:spacing w:after="0" w:line="252" w:lineRule="auto"/>
            </w:pPr>
            <w:r>
              <w:rPr>
                <w:sz w:val="16"/>
              </w:rPr>
            </w:r>
            <w:r>
              <w:rPr>
                <w:sz w:val="16"/>
              </w:rPr>
              <w:t>Driver identity/session association if needed</w:t>
            </w:r>
          </w:p>
        </w:tc>
      </w:tr>
      <w:tr>
        <w:trPr>
          <w:cantSplit/>
        </w:trPr>
        <w:tc>
          <w:tcPr>
            <w:tcW w:type="dxa" w:w="4752"/>
            <w:vAlign w:val="center"/>
            <w:tcMar>
              <w:top w:w="80" w:type="dxa"/>
              <w:left w:w="80" w:type="dxa"/>
              <w:bottom w:w="80" w:type="dxa"/>
              <w:right w:w="80" w:type="dxa"/>
            </w:tcMar>
          </w:tcPr>
          <w:p>
            <w:pPr>
              <w:spacing w:after="0" w:line="252" w:lineRule="auto"/>
            </w:pPr>
            <w:r>
              <w:rPr>
                <w:sz w:val="16"/>
              </w:rPr>
            </w:r>
            <w:r>
              <w:rPr>
                <w:sz w:val="16"/>
              </w:rPr>
              <w:t>Assigned stall and vehicle lifecycle state</w:t>
            </w:r>
          </w:p>
        </w:tc>
        <w:tc>
          <w:tcPr>
            <w:tcW w:type="dxa" w:w="4752"/>
            <w:vAlign w:val="center"/>
            <w:tcMar>
              <w:top w:w="80" w:type="dxa"/>
              <w:left w:w="80" w:type="dxa"/>
              <w:bottom w:w="80" w:type="dxa"/>
              <w:right w:w="80" w:type="dxa"/>
            </w:tcMar>
          </w:tcPr>
          <w:p>
            <w:pPr>
              <w:spacing w:after="0" w:line="252" w:lineRule="auto"/>
            </w:pPr>
            <w:r>
              <w:rPr>
                <w:sz w:val="16"/>
              </w:rPr>
            </w:r>
            <w:r>
              <w:rPr>
                <w:sz w:val="16"/>
              </w:rPr>
              <w:t>Guidance instructions/route display API and UX</w:t>
            </w:r>
          </w:p>
        </w:tc>
      </w:tr>
      <w:tr>
        <w:trPr>
          <w:cantSplit/>
        </w:trPr>
        <w:tc>
          <w:tcPr>
            <w:tcW w:type="dxa" w:w="4752"/>
            <w:shd w:fill="F1F6F9"/>
            <w:vAlign w:val="center"/>
            <w:tcMar>
              <w:top w:w="80" w:type="dxa"/>
              <w:left w:w="80" w:type="dxa"/>
              <w:bottom w:w="80" w:type="dxa"/>
              <w:right w:w="80" w:type="dxa"/>
            </w:tcMar>
          </w:tcPr>
          <w:p>
            <w:pPr>
              <w:spacing w:after="0" w:line="252" w:lineRule="auto"/>
            </w:pPr>
            <w:r>
              <w:rPr>
                <w:sz w:val="16"/>
              </w:rPr>
            </w:r>
            <w:r>
              <w:rPr>
                <w:sz w:val="16"/>
              </w:rPr>
              <w:t>EV and Standard capacity constraints</w:t>
            </w:r>
          </w:p>
        </w:tc>
        <w:tc>
          <w:tcPr>
            <w:tcW w:type="dxa" w:w="4752"/>
            <w:shd w:fill="F1F6F9"/>
            <w:vAlign w:val="center"/>
            <w:tcMar>
              <w:top w:w="80" w:type="dxa"/>
              <w:left w:w="80" w:type="dxa"/>
              <w:bottom w:w="80" w:type="dxa"/>
              <w:right w:w="80" w:type="dxa"/>
            </w:tcMar>
          </w:tcPr>
          <w:p>
            <w:pPr>
              <w:spacing w:after="0" w:line="252" w:lineRule="auto"/>
            </w:pPr>
            <w:r>
              <w:rPr>
                <w:sz w:val="16"/>
              </w:rPr>
            </w:r>
            <w:r>
              <w:rPr>
                <w:sz w:val="16"/>
              </w:rPr>
              <w:t>Optional navigation visuals and arrival prompts</w:t>
            </w:r>
          </w:p>
        </w:tc>
      </w:tr>
      <w:tr>
        <w:trPr>
          <w:cantSplit/>
        </w:trPr>
        <w:tc>
          <w:tcPr>
            <w:tcW w:type="dxa" w:w="4752"/>
            <w:vAlign w:val="center"/>
            <w:tcMar>
              <w:top w:w="80" w:type="dxa"/>
              <w:left w:w="80" w:type="dxa"/>
              <w:bottom w:w="80" w:type="dxa"/>
              <w:right w:w="80" w:type="dxa"/>
            </w:tcMar>
          </w:tcPr>
          <w:p>
            <w:pPr>
              <w:spacing w:after="0" w:line="252" w:lineRule="auto"/>
            </w:pPr>
            <w:r>
              <w:rPr>
                <w:sz w:val="16"/>
              </w:rPr>
            </w:r>
            <w:r>
              <w:rPr>
                <w:sz w:val="16"/>
              </w:rPr>
              <w:t>Duplicate protection for a command ID</w:t>
            </w:r>
          </w:p>
        </w:tc>
        <w:tc>
          <w:tcPr>
            <w:tcW w:type="dxa" w:w="4752"/>
            <w:vAlign w:val="center"/>
            <w:tcMar>
              <w:top w:w="80" w:type="dxa"/>
              <w:left w:w="80" w:type="dxa"/>
              <w:bottom w:w="80" w:type="dxa"/>
              <w:right w:w="80" w:type="dxa"/>
            </w:tcMar>
          </w:tcPr>
          <w:p>
            <w:pPr>
              <w:spacing w:after="0" w:line="252" w:lineRule="auto"/>
            </w:pPr>
            <w:r>
              <w:rPr>
                <w:sz w:val="16"/>
              </w:rPr>
            </w:r>
            <w:r>
              <w:rPr>
                <w:sz w:val="16"/>
              </w:rPr>
              <w:t>End-user retry policy and request history</w:t>
            </w:r>
          </w:p>
        </w:tc>
      </w:tr>
    </w:tbl>
    <w:p>
      <w:pPr>
        <w:spacing w:after="0"/>
      </w:pPr>
    </w:p>
    <w:p>
      <w:r>
        <w:t>Garage guidance and additional metrics were on the later capstone roadmap. The current implementation should not be represented as already providing turn-by-turn driver directions or a complete independent driver account system.</w:t>
      </w:r>
    </w:p>
    <w:p>
      <w:pPr>
        <w:pStyle w:val="Heading1"/>
      </w:pPr>
      <w:r>
        <w:t>Usability and edge cases</w:t>
      </w:r>
    </w:p>
    <w:p>
      <w:pPr>
        <w:pStyle w:val="ListBullet"/>
        <w:spacing w:after="54"/>
        <w:ind w:left="432" w:hanging="187"/>
      </w:pPr>
      <w:r>
        <w:t>EV availability is a distinct capacity: the eight EV stalls are L2_SPACE_029 through L2_SPACE_036.</w:t>
      </w:r>
    </w:p>
    <w:p>
      <w:pPr>
        <w:pStyle w:val="ListBullet"/>
        <w:spacing w:after="54"/>
        <w:ind w:left="432" w:hanging="187"/>
      </w:pPr>
      <w:r>
        <w:t>Unavailable or OutOfService spaces should not be presented as assignable.</w:t>
      </w:r>
    </w:p>
    <w:p>
      <w:pPr>
        <w:pStyle w:val="ListBullet"/>
        <w:spacing w:after="54"/>
        <w:ind w:left="432" w:hanging="187"/>
      </w:pPr>
      <w:r>
        <w:t>Temporary traffic blockage may refuse/defer an otherwise valid request; messaging should not mislabel that as a permanently full garage.</w:t>
      </w:r>
    </w:p>
    <w:p>
      <w:pPr>
        <w:pStyle w:val="ListBullet"/>
        <w:spacing w:after="54"/>
        <w:ind w:left="432" w:hanging="187"/>
      </w:pPr>
      <w:r>
        <w:t>Avoid duplicate submissions during pending commands and show a comprehensible retry path.</w:t>
      </w:r>
    </w:p>
    <w:p>
      <w:pPr>
        <w:pStyle w:val="ListBullet"/>
        <w:spacing w:after="54"/>
        <w:ind w:left="432" w:hanging="187"/>
      </w:pPr>
      <w:r>
        <w:t>If data is disconnected or stale, make that visible instead of presenting a potentially invalid assignment.</w:t>
      </w:r>
    </w:p>
    <w:p>
      <w:pPr>
        <w:pStyle w:val="ListBullet"/>
        <w:spacing w:after="54"/>
        <w:ind w:left="432" w:hanging="187"/>
      </w:pPr>
      <w:r>
        <w:t>Present identifiers, stall location and status using terms meaningful to a driver.</w:t>
      </w:r>
    </w:p>
    <w:p>
      <w:pPr>
        <w:pStyle w:val="Heading1"/>
      </w:pPr>
      <w:r>
        <w:t>Useful verification examples</w:t>
      </w:r>
    </w:p>
    <w:p>
      <w:pPr>
        <w:pStyle w:val="ListBullet"/>
        <w:spacing w:after="54"/>
        <w:ind w:left="432" w:hanging="187"/>
      </w:pPr>
      <w:r>
        <w:t>Baseline availability is displayed accurately, including Standard/EV distinction.</w:t>
      </w:r>
    </w:p>
    <w:p>
      <w:pPr>
        <w:pStyle w:val="ListBullet"/>
        <w:spacing w:after="54"/>
        <w:ind w:left="432" w:hanging="187"/>
      </w:pPr>
      <w:r>
        <w:t>A feasible Standard request eventually displays the confirmed assigned stall.</w:t>
      </w:r>
    </w:p>
    <w:p>
      <w:pPr>
        <w:pStyle w:val="ListBullet"/>
        <w:spacing w:after="54"/>
        <w:ind w:left="432" w:hanging="187"/>
      </w:pPr>
      <w:r>
        <w:t>A feasible EV request only receives an EV-compatible assignment.</w:t>
      </w:r>
    </w:p>
    <w:p>
      <w:pPr>
        <w:pStyle w:val="ListBullet"/>
        <w:spacing w:after="54"/>
        <w:ind w:left="432" w:hanging="187"/>
      </w:pPr>
      <w:r>
        <w:t>Exhausted EV capacity displays a failure without showing a fictitious vehicle or stall.</w:t>
      </w:r>
    </w:p>
    <w:p>
      <w:pPr>
        <w:pStyle w:val="ListBullet"/>
        <w:spacing w:after="54"/>
        <w:ind w:left="432" w:hanging="187"/>
      </w:pPr>
      <w:r>
        <w:t>Blocked-entry response differs from lack of parking capacity.</w:t>
      </w:r>
    </w:p>
    <w:p>
      <w:pPr>
        <w:pStyle w:val="ListBullet"/>
        <w:spacing w:after="54"/>
        <w:ind w:left="432" w:hanging="187"/>
      </w:pPr>
      <w:r>
        <w:t>Refreshing during pending requests does not cause another vehicle to spawn.</w:t>
      </w:r>
    </w:p>
    <w:p>
      <w:pPr>
        <w:pStyle w:val="ListBullet"/>
        <w:spacing w:after="54"/>
        <w:ind w:left="432" w:hanging="187"/>
      </w:pPr>
      <w:r>
        <w:t>Driver-facing screens remain understandable on smaller displays.</w:t>
      </w:r>
    </w:p>
    <w:p>
      <w:pPr>
        <w:pStyle w:val="Heading1"/>
      </w:pPr>
      <w:r>
        <w:t>Coordination points</w:t>
      </w:r>
    </w:p>
    <w:p>
      <w:r>
        <w:t>The backend area can confirm how to associate a submitted command with its eventual execution result and vehicle record. The operator frontend and driver frontend may share design primitives and data types, but their permissions and UI surfaces serve different users. Exact authentication, user accounts, persistent bookings and route guidance are not specified by the completed cs:17 foundation.</w:t>
      </w:r>
    </w:p>
    <w:p>
      <w:pPr>
        <w:spacing w:before="140"/>
      </w:pPr>
      <w:r>
        <w:rPr>
          <w:b/>
          <w:color w:val="176B9B"/>
          <w:sz w:val="16"/>
        </w:rPr>
        <w:t xml:space="preserve">Source note  </w:t>
      </w:r>
      <w:r>
        <w:rPr>
          <w:i/>
          <w:color w:val="65768A"/>
          <w:sz w:val="16"/>
        </w:rPr>
        <w:t>This handoff reflects project reports through cs:17. Confirm exact endpoints, schemas and environment settings against the current repository.</w:t>
      </w:r>
    </w:p>
    <w:sectPr w:rsidR="00FC693F" w:rsidRPr="0006063C" w:rsidSect="00034616">
      <w:headerReference w:type="default" r:id="rId9"/>
      <w:footerReference w:type="default" r:id="rId10"/>
      <w:pgSz w:w="11952" w:h="16848"/>
      <w:pgMar w:top="1109" w:right="1224" w:bottom="979" w:left="1224" w:header="490"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68A"/>
        <w:sz w:val="16"/>
      </w:rPr>
      <w:t xml:space="preserve">PROJECT BASELINE  cs:17  ·  /main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5768A"/>
        <w:sz w:val="16"/>
      </w:rPr>
      <w:t>SMART PARKING GARAGE  /  TEAM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1728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76B9B"/>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76B9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28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 Dashboard · Technical Handoff</dc:title>
  <dc:subject/>
  <dc:creator>Smart Parking Garage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