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Sci-In-Yoruba (SciYor): Self-Directed STEM Learning in an African Language</w:t>
      </w:r>
    </w:p>
    <w:p>
      <w:pPr>
        <w:spacing w:after="160"/>
      </w:pPr>
      <w:r>
        <w:t xml:space="preserve">There's a quiet frustration that many Nigerian students never talk about: sitting in a science class, trying to follow along in English, and feeling like the language itself is the hardest part. Long before the periodic table or Newton's laws become obstacles, the medium of instruction already is. This is the problem that Sci-In-Yoruba (SciYor) sets out to fix.</w:t>
      </w:r>
    </w:p>
    <w:p>
      <w:pPr>
        <w:spacing w:after="160"/>
      </w:pPr>
      <w:r>
        <w:t xml:space="preserve">SciYor is an online STEM learning programme designed for secondary school students and young adults in Nigeria. But calling it just a programme undersells what it is trying to do. At its core, SciYor is a bet on two things that formal education has been slow to take seriously: that Yoruba speakers learn STEM better in Yoruba, and that learners who direct their own education develop deeper, more lasting understanding than those who simply absorb what a teacher tells them.</w:t>
      </w:r>
    </w:p>
    <w:p>
      <w:pPr>
        <w:spacing w:after="160"/>
      </w:pPr>
      <w:r>
        <w:t xml:space="preserve">The platform would deliver self-paced lessons in mathematics, coding, robotics, physics, and environmental science entirely in Yoruba. It would use videos, animations, simulations, and project-based activities — not just written notes — to explain concepts. More importantly, the examples would come from the learner's own world. Mathematical patterns taught through Adire textile designs. Physics explained through the acoustics of traditional drums, or the engineering behind mud-brick construction. Environmental science connected to farming practices that Yoruba communities have refined over generations. This is not a cosmetic change. When students see their own culture reflected in what they are studying, the material stops feeling foreign.</w:t>
      </w:r>
    </w:p>
    <w:p>
      <w:pPr>
        <w:spacing w:after="160"/>
      </w:pPr>
      <w:r>
        <w:t xml:space="preserve">This approach draws from culturally responsive pedagogy — the educational principle that learning sticks better when it connects to who the learner is, not just what subject is being taught. Gay (2018) and others have argued this for decades, but it remains underused in African classrooms still shaped by colonial curricula. SciYor takes the principle seriously.</w:t>
      </w:r>
    </w:p>
    <w:p>
      <w:pPr>
        <w:spacing w:after="160"/>
      </w:pPr>
      <w:r>
        <w:t xml:space="preserve">The other core element is Self-Directed Learning (SDL). On SciYor, students would not be handed a fixed syllabus and told to follow it. They would set their own learning goals, choose which STEM pathways to pursue, and track their progress through personal dashboards and reflective journals. Peer discussion forums would let learners debate ideas and troubleshoot problems together, while human mentors — facilitators rather than instructors — would step in when someone genuinely needs guidance, not to deliver content. Platforms like Moodle or Google Classroom could host this infrastructure without requiring anything custom-built.</w:t>
      </w:r>
    </w:p>
    <w:p>
      <w:pPr>
        <w:spacing w:after="160"/>
      </w:pPr>
      <w:r>
        <w:t xml:space="preserve">SDL matters here because it builds the skills that outlast any single course. When students learn to plan, monitor, and evaluate their own progress, they develop metacognitive habits — awareness of how they learn, not just what they have learned (Zimmerman, 2002). They also tend to stay more engaged, because the learning feels chosen rather than imposed. Albert Bandura's work on self-efficacy (1997) adds another layer: students who successfully manage their own learning gain confidence in their abilities, which feeds back into further effort and achievement.</w:t>
      </w:r>
    </w:p>
    <w:p>
      <w:pPr>
        <w:spacing w:after="160"/>
      </w:pPr>
      <w:r>
        <w:t xml:space="preserve">The language dimension compounds these benefits. Research from UNESCO (2016) shows consistently that learners grasp complex ideas more readily in their mother tongue. Cognitive load drops. Comprehension deepens. The energy spent decoding a second language can be redirected toward actually understanding physics, algebra, or programming logic. For many Yoruba-speaking students, that shift alone could be transformative.</w:t>
      </w:r>
    </w:p>
    <w:p>
      <w:pPr>
        <w:spacing w:after="160"/>
      </w:pPr>
      <w:r>
        <w:t xml:space="preserve">SciYor would also do something more quietly significant: it would expand the Yoruba language itself. Building a STEM curriculum in Yoruba requires developing scientific vocabulary that simply does not have well-established terms yet. That process is not a limitation — it is a contribution. It demonstrates that African languages are capable of carrying advanced knowledge, which matters for cultural confidence and educational equity in the long run. This connects to a broader movement toward decolonised education — recovering what Ngũgĩ wa Thiong'o (1986) called the right of African peoples to think and express themselves in their own languages.</w:t>
      </w:r>
    </w:p>
    <w:p>
      <w:pPr>
        <w:spacing w:after="160"/>
      </w:pPr>
      <w:r>
        <w:t xml:space="preserve">None of this means the challenges are small. Digital infrastructure across much of Nigeria remains uneven. Internet access, reliable electricity, and affordable devices are not givens, and any online programme that does not reckon with this risks reaching only those who already have advantages (World Bank, 2021). Developing quality Yoruba STEM materials from scratch requires sustained investment — in linguists, educators, curriculum designers, and technologists working together over years, not months.</w:t>
      </w:r>
    </w:p>
    <w:p>
      <w:pPr>
        <w:spacing w:after="160"/>
      </w:pPr>
      <w:r>
        <w:t xml:space="preserve">There is also the learner-readiness question. SDL does not suit every student automatically. Young people who have grown up in heavily teacher-directed classrooms may find the open-ended nature of self-paced learning disorienting at first. Scaffolding — structured support that gradually releases responsibility to the learner — would need to be built into the platform deliberately, not added as an afterthought.</w:t>
      </w:r>
    </w:p>
    <w:p>
      <w:pPr>
        <w:spacing w:after="160"/>
      </w:pPr>
      <w:r>
        <w:t xml:space="preserve">But these are solvable problems, not fundamental objections. With the right policy support, community involvement, and genuine investment in both the technology and the curriculum, SciYor could become a working model for something much bigger: STEM education that actually belongs to the students it is meant to serve. Not inherited from a colonial past, not translated awkwardly from another culture's assumptions, but built from the ground up in the language and with the knowledge that Yoruba learners already carry with them.</w:t>
      </w:r>
    </w:p>
    <w:p>
      <w:pPr>
        <w:pStyle w:val="Heading2"/>
      </w:pPr>
      <w:r>
        <w:t>References</w:t>
      </w:r>
    </w:p>
    <w:p>
      <w:pPr>
        <w:spacing w:after="160"/>
      </w:pPr>
      <w:r>
        <w:t xml:space="preserve">Bandura, A. (1997). Self-efficacy: The exercise of control. Freeman.</w:t>
      </w:r>
    </w:p>
    <w:p>
      <w:pPr>
        <w:spacing w:after="160"/>
      </w:pPr>
      <w:r>
        <w:t xml:space="preserve">Brock-Utne, B. (2016). Language and education in Africa: A comparative and transdisciplinary analysis. Symposium Books.</w:t>
      </w:r>
    </w:p>
    <w:p>
      <w:pPr>
        <w:spacing w:after="160"/>
      </w:pPr>
      <w:r>
        <w:t xml:space="preserve">Bruner, J. S. (1961). The act of discovery. Harvard Educational Review, 31(1), 21–32.</w:t>
      </w:r>
    </w:p>
    <w:p>
      <w:pPr>
        <w:spacing w:after="160"/>
      </w:pPr>
      <w:r>
        <w:t xml:space="preserve">Gay, G. (2018). Culturally responsive teaching: Theory, research, and practice (3rd ed.). Teachers College Press.</w:t>
      </w:r>
    </w:p>
    <w:p>
      <w:pPr>
        <w:spacing w:after="160"/>
      </w:pPr>
      <w:r>
        <w:t xml:space="preserve">Hiemstra, R. (1994). Self-directed learning. In T. Husen &amp; T. N. Postlethwaite (Eds.), The international encyclopaedia of education (2nd ed., pp. 5394–5399). Pergamon Press.</w:t>
      </w:r>
    </w:p>
    <w:p>
      <w:pPr>
        <w:spacing w:after="160"/>
      </w:pPr>
      <w:r>
        <w:t xml:space="preserve">Ngũgĩ wa Thiong'o. (1986). Decolonising the mind: The politics of language in African literature. James Currey.</w:t>
      </w:r>
    </w:p>
    <w:p>
      <w:pPr>
        <w:spacing w:after="160"/>
      </w:pPr>
      <w:r>
        <w:t xml:space="preserve">UNESCO. (2016). If you don't understand, how can you learn? UNESCO Global Education Monitoring Report. UNESCO Publishing.</w:t>
      </w:r>
    </w:p>
    <w:p>
      <w:pPr>
        <w:spacing w:after="160"/>
      </w:pPr>
      <w:r>
        <w:t xml:space="preserve">World Bank. (2021). The digital road to educational equity. World Bank Publications.</w:t>
      </w:r>
    </w:p>
    <w:p>
      <w:pPr>
        <w:spacing w:after="160"/>
      </w:pPr>
      <w:r>
        <w:t xml:space="preserve">Zimmerman, B. J. (2002). Becoming a self-regulated learner: An overview. Theory into Practice, 41(2), 64–70.</w:t>
      </w:r>
    </w:p>
    <w:sectPr>
      <w:pgSz w:w="12240" w:h="15840"/>
      <w:pgMar w:top="1440" w:right="1440" w:bottom="1440" w:left="1440" w:header="720" w:footer="720" w:gutter="0"/>
    </w:sectPr>
  </w:body>
</w:document>
</file>

<file path=word/styles.xml><?xml version="1.0" encoding="utf-8"?>
<w:styles xmlns:w="http://schemas.openxmlformats.org/wordprocessingml/2006/main" xmlns:r="http://schemas.openxmlformats.org/officeDocument/2006/relationships">
  <w:style w:type="paragraph" w:default="1" w:styleId="Normal">
    <w:name w:val="Normal"/>
    <w:rPr>
      <w:rFonts w:ascii="Times New Roman" w:hAnsi="Times New Roman"/>
      <w:sz w:val="24"/>
      <w:szCs w:val="24"/>
    </w:rPr>
    <w:pPr>
      <w:jc w:val="both"/>
      <w:spacing w:line="360" w:lineRule="auto" w:after="160"/>
    </w:pPr>
  </w:style>
  <w:style w:type="paragraph" w:styleId="Heading1">
    <w:name w:val="heading 1"/>
    <w:basedOn w:val="Normal"/>
    <w:pPr>
      <w:jc w:val="center"/>
      <w:spacing w:before="240" w:after="240"/>
    </w:pPr>
    <w:rPr>
      <w:rFonts w:ascii="Times New Roman" w:hAnsi="Times New Roman"/>
      <w:b/>
      <w:sz w:val="28"/>
      <w:szCs w:val="28"/>
    </w:rPr>
  </w:style>
  <w:style w:type="paragraph" w:styleId="Heading2">
    <w:name w:val="heading 2"/>
    <w:basedOn w:val="Normal"/>
    <w:pPr>
      <w:spacing w:before="240" w:after="120"/>
    </w:pPr>
    <w:rPr>
      <w:rFonts w:ascii="Times New Roman" w:hAnsi="Times New Roman"/>
      <w:b/>
      <w:sz w:val="24"/>
      <w:szCs w:val="24"/>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