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3d7dc4gz72y" w:id="0"/>
      <w:bookmarkEnd w:id="0"/>
      <w:r w:rsidDel="00000000" w:rsidR="00000000" w:rsidRPr="00000000">
        <w:rPr>
          <w:rtl w:val="0"/>
        </w:rPr>
        <w:t xml:space="preserve">Sobre a escolha de cores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 fator principal que influenciou a escolha das cores para cada uma das três paletas que temos nesse documento foi justamente a questão da acessibilidade, foco central do nosso projeto.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Fizemos três paletas para darmos opções a um possível usuário daltônico - cada uma das paletas aparece inalterada para ao menos um dos três tipos de daltonismo. Também conferimos que as três paletas não sejam impedimentos a um usuário daltônico pois as três são também diferenciáveis entre si com facilidade, e também fizemos o teste das cores com 0% saturação, para  garantir que as três opções de cores sejam acessíveis para todos os usuários, inclusive os que não enxergam cor.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Sendo assim, para cada uma das paletas, pensamos em ter ao menos uma cor de luminosidade e saturação média, uma alta, e uma baixa. As outras duas cores foram escolhidas pela harmonia visual ou para nos dar opções dentre as quais escolher.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Pintamos as colunas das tabelas em tons de cinza até o preto, e as linhas das cores que selecionamos, para que seja possível ter uma ideia sobre como as cores ficam sobre tons de luminosidade variável. Não foi usado o branco pois o cinza mais claro é muito próximo dele, e a cor à esquerda está sobre o branco também.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Nem todas as cores nas paletas estão na ordem “correta” em termos de preferência de uso, ou seja, não são em todas as paletas que a primeira cor é necessariamente a matiz principal. A justificativa será feita na ordem em que as paletas foram apresentadas, porém serão indicadas nas justificativas quando necessário se a cor tem alguma maior prioridade sobre outra na paleta. 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9rrv1chil86" w:id="1"/>
      <w:bookmarkEnd w:id="1"/>
      <w:r w:rsidDel="00000000" w:rsidR="00000000" w:rsidRPr="00000000">
        <w:rPr>
          <w:rtl w:val="0"/>
        </w:rPr>
        <w:t xml:space="preserve">Paleta 1</w:t>
      </w:r>
    </w:p>
    <w:tbl>
      <w:tblPr>
        <w:tblStyle w:val="Table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.25"/>
        <w:gridCol w:w="1200.25"/>
        <w:gridCol w:w="1200.25"/>
        <w:gridCol w:w="1200.25"/>
        <w:gridCol w:w="1200.25"/>
        <w:gridCol w:w="1200.25"/>
        <w:gridCol w:w="1200.25"/>
        <w:gridCol w:w="1200.25"/>
        <w:tblGridChange w:id="0">
          <w:tblGrid>
            <w:gridCol w:w="1200.25"/>
            <w:gridCol w:w="1200.25"/>
            <w:gridCol w:w="1200.25"/>
            <w:gridCol w:w="1200.25"/>
            <w:gridCol w:w="1200.25"/>
            <w:gridCol w:w="1200.25"/>
            <w:gridCol w:w="1200.25"/>
            <w:gridCol w:w="1200.2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604f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604FA3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96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79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163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252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34%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04fa3"/>
              </w:rPr>
            </w:pPr>
            <w:r w:rsidDel="00000000" w:rsidR="00000000" w:rsidRPr="00000000">
              <w:rPr>
                <w:color w:val="604fa3"/>
                <w:rtl w:val="0"/>
              </w:rPr>
              <w:t xml:space="preserve">47%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069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A069DE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160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105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222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268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63%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jc w:val="center"/>
              <w:rPr>
                <w:color w:val="a069de"/>
              </w:rPr>
            </w:pPr>
            <w:r w:rsidDel="00000000" w:rsidR="00000000" w:rsidRPr="00000000">
              <w:rPr>
                <w:color w:val="a069de"/>
                <w:rtl w:val="0"/>
              </w:rPr>
              <w:t xml:space="preserve">64%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bba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BBAEEB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187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174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235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252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60%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jc w:val="center"/>
              <w:rPr>
                <w:color w:val="bbaeeb"/>
              </w:rPr>
            </w:pPr>
            <w:r w:rsidDel="00000000" w:rsidR="00000000" w:rsidRPr="00000000">
              <w:rPr>
                <w:color w:val="bbaeeb"/>
                <w:rtl w:val="0"/>
              </w:rPr>
              <w:t xml:space="preserve">80%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8428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48428A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72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66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138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244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35%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8428a"/>
              </w:rPr>
            </w:pPr>
            <w:r w:rsidDel="00000000" w:rsidR="00000000" w:rsidRPr="00000000">
              <w:rPr>
                <w:color w:val="48428a"/>
                <w:rtl w:val="0"/>
              </w:rPr>
              <w:t xml:space="preserve">40%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7a88b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7A88B8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122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136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184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226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30%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7a88b8"/>
              </w:rPr>
            </w:pPr>
            <w:r w:rsidDel="00000000" w:rsidR="00000000" w:rsidRPr="00000000">
              <w:rPr>
                <w:color w:val="7a88b8"/>
                <w:rtl w:val="0"/>
              </w:rPr>
              <w:t xml:space="preserve">60%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en6awv41zmqo" w:id="2"/>
      <w:bookmarkEnd w:id="2"/>
      <w:r w:rsidDel="00000000" w:rsidR="00000000" w:rsidRPr="00000000">
        <w:rPr>
          <w:rtl w:val="0"/>
        </w:rPr>
        <w:t xml:space="preserve">Justificativas para as matizes da paleta</w:t>
      </w:r>
    </w:p>
    <w:p w:rsidR="00000000" w:rsidDel="00000000" w:rsidP="00000000" w:rsidRDefault="00000000" w:rsidRPr="00000000" w14:paraId="0000003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Justificativa para a matiz principal </w:t>
      </w:r>
      <w:r w:rsidDel="00000000" w:rsidR="00000000" w:rsidRPr="00000000">
        <w:rPr>
          <w:i w:val="1"/>
          <w:rtl w:val="0"/>
        </w:rPr>
        <w:t xml:space="preserve">(deve ser baseada no assunto do aplicativo ou em uma ideia que o grupo quer que o aplicativo transmita)</w:t>
      </w:r>
    </w:p>
    <w:tbl>
      <w:tblPr>
        <w:tblStyle w:val="Table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violeta menos saturado não é uma cor muito visualmente agressiva e além disto é uma cor mais neutra, a tornando uma boa escolha de cor base, e é parecida com a paleta original que tínhamos usado na primeira entrega dos fluxos de tela, o que queríamos manter.</w:t>
            </w:r>
          </w:p>
        </w:tc>
      </w:tr>
    </w:tbl>
    <w:p w:rsidR="00000000" w:rsidDel="00000000" w:rsidP="00000000" w:rsidRDefault="00000000" w:rsidRPr="00000000" w14:paraId="0000003C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segunda matiz </w:t>
      </w:r>
      <w:r w:rsidDel="00000000" w:rsidR="00000000" w:rsidRPr="00000000">
        <w:rPr>
          <w:i w:val="1"/>
          <w:rtl w:val="0"/>
        </w:rPr>
        <w:t xml:space="preserve">(se usou menos que duas matizes, deixe em branco)</w:t>
      </w:r>
      <w:r w:rsidDel="00000000" w:rsidR="00000000" w:rsidRPr="00000000">
        <w:rPr>
          <w:rtl w:val="0"/>
        </w:rPr>
      </w:r>
    </w:p>
    <w:tbl>
      <w:tblPr>
        <w:tblStyle w:val="Table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lilás mais fechado também não é uma cor que cansaria os olhos, e é parecida com a paleta original que tínhamos usado na primeira entrega dos fluxos de tela, o que queríamos manter.</w:t>
            </w:r>
          </w:p>
        </w:tc>
      </w:tr>
    </w:tbl>
    <w:p w:rsidR="00000000" w:rsidDel="00000000" w:rsidP="00000000" w:rsidRDefault="00000000" w:rsidRPr="00000000" w14:paraId="0000003E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terceira matiz </w:t>
      </w:r>
      <w:r w:rsidDel="00000000" w:rsidR="00000000" w:rsidRPr="00000000">
        <w:rPr>
          <w:i w:val="1"/>
          <w:rtl w:val="0"/>
        </w:rPr>
        <w:t xml:space="preserve">(se usou menos que três matizes, deixe em branco)</w:t>
      </w:r>
      <w:r w:rsidDel="00000000" w:rsidR="00000000" w:rsidRPr="00000000">
        <w:rPr>
          <w:rtl w:val="0"/>
        </w:rPr>
      </w:r>
    </w:p>
    <w:tbl>
      <w:tblPr>
        <w:tblStyle w:val="Table4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lilás menos saturado e mais claro é uma cor fácil de ver, permitindo uma opção de cor mais clara para dar contraste a alguma área do aplicativo sem romper com o tema visual das cores, e é parecida com a paleta original que tínhamos usado na primeira entrega dos fluxos de tela, o que queríamos manter.</w:t>
            </w:r>
          </w:p>
        </w:tc>
      </w:tr>
    </w:tbl>
    <w:p w:rsidR="00000000" w:rsidDel="00000000" w:rsidP="00000000" w:rsidRDefault="00000000" w:rsidRPr="00000000" w14:paraId="00000040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quarta matiz </w:t>
      </w:r>
      <w:r w:rsidDel="00000000" w:rsidR="00000000" w:rsidRPr="00000000">
        <w:rPr>
          <w:i w:val="1"/>
          <w:rtl w:val="0"/>
        </w:rPr>
        <w:t xml:space="preserve">(se usou menos que quatro matizes, deixe em branco)</w:t>
      </w:r>
      <w:r w:rsidDel="00000000" w:rsidR="00000000" w:rsidRPr="00000000">
        <w:rPr>
          <w:rtl w:val="0"/>
        </w:rPr>
      </w:r>
    </w:p>
    <w:tbl>
      <w:tblPr>
        <w:tblStyle w:val="Table5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azul meio-saturado e escuro é uma cor fácil de ver, permitindo uma opção de cor mais escura para dar contraste a alguma área do aplicativo sem romper com o tema visual das cores forçando o uso de preto, e é parecida com a paleta original que tínhamos usado na primeira entrega dos fluxos de tela, o que queríamos manter.</w:t>
            </w:r>
          </w:p>
        </w:tc>
      </w:tr>
    </w:tbl>
    <w:p w:rsidR="00000000" w:rsidDel="00000000" w:rsidP="00000000" w:rsidRDefault="00000000" w:rsidRPr="00000000" w14:paraId="00000042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quinta matiz </w:t>
      </w:r>
      <w:r w:rsidDel="00000000" w:rsidR="00000000" w:rsidRPr="00000000">
        <w:rPr>
          <w:i w:val="1"/>
          <w:rtl w:val="0"/>
        </w:rPr>
        <w:t xml:space="preserve">(se usou menos que cinco matizes, deixe em branco)</w:t>
      </w:r>
      <w:r w:rsidDel="00000000" w:rsidR="00000000" w:rsidRPr="00000000">
        <w:rPr>
          <w:rtl w:val="0"/>
        </w:rPr>
      </w:r>
    </w:p>
    <w:tbl>
      <w:tblPr>
        <w:tblStyle w:val="Table6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azul pouco saturado e claro é uma opção alternativa para a terceira matiz, para dar contraste a alguma área do aplicativo sem romper com o tema visual das cores, e é parecida com a paleta original que tínhamos usado na primeira entrega dos fluxos de tela, o que queríamos manter.</w:t>
            </w:r>
          </w:p>
        </w:tc>
      </w:tr>
    </w:tbl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kpe6qlt8b5uu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4366mqmabor5" w:id="4"/>
      <w:bookmarkEnd w:id="4"/>
      <w:r w:rsidDel="00000000" w:rsidR="00000000" w:rsidRPr="00000000">
        <w:rPr>
          <w:rtl w:val="0"/>
        </w:rPr>
        <w:t xml:space="preserve">Paleta alternativa (obrigatório para A)</w:t>
      </w:r>
    </w:p>
    <w:tbl>
      <w:tblPr>
        <w:tblStyle w:val="Table7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.25"/>
        <w:gridCol w:w="1200.25"/>
        <w:gridCol w:w="1200.25"/>
        <w:gridCol w:w="1200.25"/>
        <w:gridCol w:w="1200.25"/>
        <w:gridCol w:w="1200.25"/>
        <w:gridCol w:w="1200.25"/>
        <w:gridCol w:w="1200.25"/>
        <w:tblGridChange w:id="0">
          <w:tblGrid>
            <w:gridCol w:w="1200.25"/>
            <w:gridCol w:w="1200.25"/>
            <w:gridCol w:w="1200.25"/>
            <w:gridCol w:w="1200.25"/>
            <w:gridCol w:w="1200.25"/>
            <w:gridCol w:w="1200.25"/>
            <w:gridCol w:w="1200.25"/>
            <w:gridCol w:w="1200.2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7314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73142D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115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20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45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344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70%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>
                <w:color w:val="73142d"/>
              </w:rPr>
            </w:pPr>
            <w:r w:rsidDel="00000000" w:rsidR="00000000" w:rsidRPr="00000000">
              <w:rPr>
                <w:color w:val="73142d"/>
                <w:rtl w:val="0"/>
              </w:rPr>
              <w:t xml:space="preserve">26%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52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jc w:val="left"/>
              <w:rPr>
                <w:color w:val="d9527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D95276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217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82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118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344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63%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center"/>
              <w:rPr>
                <w:color w:val="d95276"/>
              </w:rPr>
            </w:pPr>
            <w:r w:rsidDel="00000000" w:rsidR="00000000" w:rsidRPr="00000000">
              <w:rPr>
                <w:color w:val="d95276"/>
                <w:rtl w:val="0"/>
              </w:rPr>
              <w:t xml:space="preserve">58%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f2ac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left"/>
              <w:rPr>
                <w:color w:val="f2acb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F2ACBF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242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172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191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343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72%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jc w:val="center"/>
              <w:rPr>
                <w:color w:val="f2acbf"/>
              </w:rPr>
            </w:pPr>
            <w:r w:rsidDel="00000000" w:rsidR="00000000" w:rsidRPr="00000000">
              <w:rPr>
                <w:color w:val="f2acbf"/>
                <w:rtl w:val="0"/>
              </w:rPr>
              <w:t xml:space="preserve">81%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ff70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jc w:val="left"/>
              <w:rPr>
                <w:color w:val="ff705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FF705D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255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112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93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7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100%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color w:val="ff705d"/>
              </w:rPr>
            </w:pPr>
            <w:r w:rsidDel="00000000" w:rsidR="00000000" w:rsidRPr="00000000">
              <w:rPr>
                <w:color w:val="ff705d"/>
                <w:rtl w:val="0"/>
              </w:rPr>
              <w:t xml:space="preserve">68%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f2050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left"/>
              <w:rPr>
                <w:color w:val="f2050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F20505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242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5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5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0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95%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color w:val="f20505"/>
              </w:rPr>
            </w:pPr>
            <w:r w:rsidDel="00000000" w:rsidR="00000000" w:rsidRPr="00000000">
              <w:rPr>
                <w:color w:val="f20505"/>
                <w:rtl w:val="0"/>
              </w:rPr>
              <w:t xml:space="preserve">48%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z9e52v59igxd" w:id="5"/>
      <w:bookmarkEnd w:id="5"/>
      <w:r w:rsidDel="00000000" w:rsidR="00000000" w:rsidRPr="00000000">
        <w:rPr>
          <w:rtl w:val="0"/>
        </w:rPr>
        <w:t xml:space="preserve">Justificativas para as matizes da paleta alternativa (para A)</w:t>
      </w:r>
    </w:p>
    <w:p w:rsidR="00000000" w:rsidDel="00000000" w:rsidP="00000000" w:rsidRDefault="00000000" w:rsidRPr="00000000" w14:paraId="00000078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Justificativa para a matiz principal </w:t>
      </w:r>
      <w:r w:rsidDel="00000000" w:rsidR="00000000" w:rsidRPr="00000000">
        <w:rPr>
          <w:i w:val="1"/>
          <w:rtl w:val="0"/>
        </w:rPr>
        <w:t xml:space="preserve">(deve ser baseada no assunto do aplicativo ou em uma ideia que o grupo quer que o aplicativo transmita)</w:t>
      </w:r>
    </w:p>
    <w:tbl>
      <w:tblPr>
        <w:tblStyle w:val="Table8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Optamos por um vermelho fechado como nossa cor principal por ser de um bom tom médio-escuro, não sendo muito cansativa ou agressiva à vista, e também ser próxima da cor original que havíamos escolhido na primeira apresentação de fluxos de tela. </w:t>
            </w:r>
          </w:p>
        </w:tc>
      </w:tr>
    </w:tbl>
    <w:p w:rsidR="00000000" w:rsidDel="00000000" w:rsidP="00000000" w:rsidRDefault="00000000" w:rsidRPr="00000000" w14:paraId="0000007A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segunda matiz </w:t>
      </w:r>
      <w:r w:rsidDel="00000000" w:rsidR="00000000" w:rsidRPr="00000000">
        <w:rPr>
          <w:i w:val="1"/>
          <w:rtl w:val="0"/>
        </w:rPr>
        <w:t xml:space="preserve">(se usou menos que duas matizes, deixe em branco)</w:t>
      </w:r>
      <w:r w:rsidDel="00000000" w:rsidR="00000000" w:rsidRPr="00000000">
        <w:rPr>
          <w:rtl w:val="0"/>
        </w:rPr>
      </w:r>
    </w:p>
    <w:tbl>
      <w:tblPr>
        <w:tblStyle w:val="Table9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rosa meio-saturado e meio-iluminado também foi uma escolha seguindo nossa “regra” de termos uma cor “clara”, uma “média” e uma “escura”. Não é cansativa de olhar, nem muito clara para ser vista com facilidade sobre os vários tons da tabela.</w:t>
            </w:r>
          </w:p>
        </w:tc>
      </w:tr>
    </w:tbl>
    <w:p w:rsidR="00000000" w:rsidDel="00000000" w:rsidP="00000000" w:rsidRDefault="00000000" w:rsidRPr="00000000" w14:paraId="0000007C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terceira matiz </w:t>
      </w:r>
      <w:r w:rsidDel="00000000" w:rsidR="00000000" w:rsidRPr="00000000">
        <w:rPr>
          <w:i w:val="1"/>
          <w:rtl w:val="0"/>
        </w:rPr>
        <w:t xml:space="preserve">(se usou menos que três matizes, deixe em branco)</w:t>
      </w:r>
      <w:r w:rsidDel="00000000" w:rsidR="00000000" w:rsidRPr="00000000">
        <w:rPr>
          <w:rtl w:val="0"/>
        </w:rPr>
      </w:r>
    </w:p>
    <w:tbl>
      <w:tblPr>
        <w:tblStyle w:val="Table10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Escolhemos um rosa claro para termos como opção de cor de destaque, e como nossa “cor clara” de escolha para essa paleta.</w:t>
            </w:r>
          </w:p>
        </w:tc>
      </w:tr>
    </w:tbl>
    <w:p w:rsidR="00000000" w:rsidDel="00000000" w:rsidP="00000000" w:rsidRDefault="00000000" w:rsidRPr="00000000" w14:paraId="0000007E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quarta matiz </w:t>
      </w:r>
      <w:r w:rsidDel="00000000" w:rsidR="00000000" w:rsidRPr="00000000">
        <w:rPr>
          <w:i w:val="1"/>
          <w:rtl w:val="0"/>
        </w:rPr>
        <w:t xml:space="preserve">(se usou menos que quatro matizes, deixe em branco)</w:t>
      </w:r>
      <w:r w:rsidDel="00000000" w:rsidR="00000000" w:rsidRPr="00000000">
        <w:rPr>
          <w:rtl w:val="0"/>
        </w:rPr>
      </w:r>
    </w:p>
    <w:tbl>
      <w:tblPr>
        <w:tblStyle w:val="Table1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coral, enquanto saturado tem luminosidade média, o tornando uma opção de “cor média” além do rosa (segunda matiz), que também é facilmente visível.</w:t>
            </w:r>
          </w:p>
        </w:tc>
      </w:tr>
    </w:tbl>
    <w:p w:rsidR="00000000" w:rsidDel="00000000" w:rsidP="00000000" w:rsidRDefault="00000000" w:rsidRPr="00000000" w14:paraId="00000080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quinta matiz </w:t>
      </w:r>
      <w:r w:rsidDel="00000000" w:rsidR="00000000" w:rsidRPr="00000000">
        <w:rPr>
          <w:i w:val="1"/>
          <w:rtl w:val="0"/>
        </w:rPr>
        <w:t xml:space="preserve">(se usou menos que cinco matizes, deixe em branco)</w:t>
      </w:r>
      <w:r w:rsidDel="00000000" w:rsidR="00000000" w:rsidRPr="00000000">
        <w:rPr>
          <w:rtl w:val="0"/>
        </w:rPr>
      </w:r>
    </w:p>
    <w:tbl>
      <w:tblPr>
        <w:tblStyle w:val="Table1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Escolhemos o vermelho por ter uma boa visibilidade para os usuários daltônicos, além de ser uma cor forte, o que temos pouco nesta paleta. </w:t>
            </w:r>
          </w:p>
        </w:tc>
      </w:tr>
    </w:tbl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wufmbfze0pfr" w:id="6"/>
      <w:bookmarkEnd w:id="6"/>
      <w:r w:rsidDel="00000000" w:rsidR="00000000" w:rsidRPr="00000000">
        <w:rPr>
          <w:rtl w:val="0"/>
        </w:rPr>
        <w:t xml:space="preserve">Paleta alternativa 2</w:t>
      </w:r>
    </w:p>
    <w:tbl>
      <w:tblPr>
        <w:tblStyle w:val="Table1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.25"/>
        <w:gridCol w:w="1200.25"/>
        <w:gridCol w:w="1200.25"/>
        <w:gridCol w:w="1200.25"/>
        <w:gridCol w:w="1200.25"/>
        <w:gridCol w:w="1200.25"/>
        <w:gridCol w:w="1200.25"/>
        <w:gridCol w:w="1200.25"/>
        <w:tblGridChange w:id="0">
          <w:tblGrid>
            <w:gridCol w:w="1200.25"/>
            <w:gridCol w:w="1200.25"/>
            <w:gridCol w:w="1200.25"/>
            <w:gridCol w:w="1200.25"/>
            <w:gridCol w:w="1200.25"/>
            <w:gridCol w:w="1200.25"/>
            <w:gridCol w:w="1200.25"/>
            <w:gridCol w:w="1200.2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b4fab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left"/>
              <w:rPr>
                <w:color w:val="b4fab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B4FAB1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180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250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177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117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87%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jc w:val="center"/>
              <w:rPr>
                <w:color w:val="b4fab1"/>
              </w:rPr>
            </w:pPr>
            <w:r w:rsidDel="00000000" w:rsidR="00000000" w:rsidRPr="00000000">
              <w:rPr>
                <w:color w:val="b4fab1"/>
                <w:rtl w:val="0"/>
              </w:rPr>
              <w:t xml:space="preserve">83%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78b5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78B536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120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181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54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88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54%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center"/>
              <w:rPr>
                <w:color w:val="78b536"/>
              </w:rPr>
            </w:pPr>
            <w:r w:rsidDel="00000000" w:rsidR="00000000" w:rsidRPr="00000000">
              <w:rPr>
                <w:color w:val="78b536"/>
                <w:rtl w:val="0"/>
              </w:rPr>
              <w:t xml:space="preserve">46%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7aff7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7AFF78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122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255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120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119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100%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center"/>
              <w:rPr>
                <w:color w:val="7aff78"/>
              </w:rPr>
            </w:pPr>
            <w:r w:rsidDel="00000000" w:rsidR="00000000" w:rsidRPr="00000000">
              <w:rPr>
                <w:color w:val="7aff78"/>
                <w:rtl w:val="0"/>
              </w:rPr>
              <w:t xml:space="preserve">73%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2b8a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2B8A28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43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138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40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118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55%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center"/>
              <w:rPr>
                <w:color w:val="2b8a28"/>
              </w:rPr>
            </w:pPr>
            <w:r w:rsidDel="00000000" w:rsidR="00000000" w:rsidRPr="00000000">
              <w:rPr>
                <w:color w:val="2b8a28"/>
                <w:rtl w:val="0"/>
              </w:rPr>
              <w:t xml:space="preserve">34%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87d15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87D150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135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209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80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94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58%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jc w:val="center"/>
              <w:rPr>
                <w:color w:val="87d150"/>
              </w:rPr>
            </w:pPr>
            <w:r w:rsidDel="00000000" w:rsidR="00000000" w:rsidRPr="00000000">
              <w:rPr>
                <w:color w:val="87d150"/>
                <w:rtl w:val="0"/>
              </w:rPr>
              <w:t xml:space="preserve">56%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btqnla4tz4fv" w:id="7"/>
      <w:bookmarkEnd w:id="7"/>
      <w:r w:rsidDel="00000000" w:rsidR="00000000" w:rsidRPr="00000000">
        <w:rPr>
          <w:rtl w:val="0"/>
        </w:rPr>
        <w:t xml:space="preserve">Justificativas para as matizes da paleta alternativa 2</w:t>
      </w:r>
    </w:p>
    <w:p w:rsidR="00000000" w:rsidDel="00000000" w:rsidP="00000000" w:rsidRDefault="00000000" w:rsidRPr="00000000" w14:paraId="000000B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Justificativa para a matiz principal </w:t>
      </w:r>
      <w:r w:rsidDel="00000000" w:rsidR="00000000" w:rsidRPr="00000000">
        <w:rPr>
          <w:i w:val="1"/>
          <w:rtl w:val="0"/>
        </w:rPr>
        <w:t xml:space="preserve">(deve ser baseada no assunto do aplicativo ou em uma ideia que o grupo quer que o aplicativo transmita)</w:t>
      </w:r>
    </w:p>
    <w:tbl>
      <w:tblPr>
        <w:tblStyle w:val="Table14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Este verde claro não seria a escolha de matiz principal, por ter valores de saturação e luminosidade muito altos, o tornando uma excelente cor de destaque, mas muito claro para ser a cor principal.</w:t>
            </w:r>
          </w:p>
        </w:tc>
      </w:tr>
    </w:tbl>
    <w:p w:rsidR="00000000" w:rsidDel="00000000" w:rsidP="00000000" w:rsidRDefault="00000000" w:rsidRPr="00000000" w14:paraId="000000B7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segunda matiz </w:t>
      </w:r>
      <w:r w:rsidDel="00000000" w:rsidR="00000000" w:rsidRPr="00000000">
        <w:rPr>
          <w:i w:val="1"/>
          <w:rtl w:val="0"/>
        </w:rPr>
        <w:t xml:space="preserve">(se usou menos que duas matizes, deixe em branco)</w:t>
      </w:r>
      <w:r w:rsidDel="00000000" w:rsidR="00000000" w:rsidRPr="00000000">
        <w:rPr>
          <w:rtl w:val="0"/>
        </w:rPr>
      </w:r>
    </w:p>
    <w:tbl>
      <w:tblPr>
        <w:tblStyle w:val="Table15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verde oliva foi escolhido como matiz principal, que tem um tom “médio” - seguindo nossas estipulações para as outras paletas, precisaríamos de um tom “médio” também.</w:t>
            </w:r>
          </w:p>
        </w:tc>
      </w:tr>
    </w:tbl>
    <w:p w:rsidR="00000000" w:rsidDel="00000000" w:rsidP="00000000" w:rsidRDefault="00000000" w:rsidRPr="00000000" w14:paraId="000000B9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terceira matiz </w:t>
      </w:r>
      <w:r w:rsidDel="00000000" w:rsidR="00000000" w:rsidRPr="00000000">
        <w:rPr>
          <w:i w:val="1"/>
          <w:rtl w:val="0"/>
        </w:rPr>
        <w:t xml:space="preserve">(se usou menos que três matizes, deixe em branco)</w:t>
      </w:r>
      <w:r w:rsidDel="00000000" w:rsidR="00000000" w:rsidRPr="00000000">
        <w:rPr>
          <w:rtl w:val="0"/>
        </w:rPr>
      </w:r>
    </w:p>
    <w:tbl>
      <w:tblPr>
        <w:tblStyle w:val="Table16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O verde claro foi escolhido como uma alternativa mais visível do primeiro tom da paleta, sendo uma “cor clara” alternativa.</w:t>
            </w:r>
          </w:p>
        </w:tc>
      </w:tr>
    </w:tbl>
    <w:p w:rsidR="00000000" w:rsidDel="00000000" w:rsidP="00000000" w:rsidRDefault="00000000" w:rsidRPr="00000000" w14:paraId="000000BB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quarta matiz </w:t>
      </w:r>
      <w:r w:rsidDel="00000000" w:rsidR="00000000" w:rsidRPr="00000000">
        <w:rPr>
          <w:i w:val="1"/>
          <w:rtl w:val="0"/>
        </w:rPr>
        <w:t xml:space="preserve">(se usou menos que quatro matizes, deixe em branco)</w:t>
      </w:r>
      <w:r w:rsidDel="00000000" w:rsidR="00000000" w:rsidRPr="00000000">
        <w:rPr>
          <w:rtl w:val="0"/>
        </w:rPr>
      </w:r>
    </w:p>
    <w:tbl>
      <w:tblPr>
        <w:tblStyle w:val="Table17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Este verde quase um verde-bandeira foi escolhido por ser mais escuro e fechado, para cumprir com nosso tema de “ao menos uma cor clara, uma média e uma escura”. Cor bem visível e pouco cansativa ao olhar.</w:t>
            </w:r>
          </w:p>
        </w:tc>
      </w:tr>
    </w:tbl>
    <w:p w:rsidR="00000000" w:rsidDel="00000000" w:rsidP="00000000" w:rsidRDefault="00000000" w:rsidRPr="00000000" w14:paraId="000000BD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Justificativa para a quinta matiz </w:t>
      </w:r>
      <w:r w:rsidDel="00000000" w:rsidR="00000000" w:rsidRPr="00000000">
        <w:rPr>
          <w:i w:val="1"/>
          <w:rtl w:val="0"/>
        </w:rPr>
        <w:t xml:space="preserve">(se usou menos que cinco matizes, deixe em branco)</w:t>
      </w:r>
      <w:r w:rsidDel="00000000" w:rsidR="00000000" w:rsidRPr="00000000">
        <w:rPr>
          <w:rtl w:val="0"/>
        </w:rPr>
      </w:r>
    </w:p>
    <w:tbl>
      <w:tblPr>
        <w:tblStyle w:val="Table18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cor foi escolhida para ter um contraste bom quanto às outras cores enquanto mantia a harmonia visual, mesmo para pessoas com os 3 tipos de daltonismo. Este verde foi escolhido como alternativa à cor que deveria ser a matiz principal, por ser um pouco menos saturado, o tornando mais fácil aos olhos.</w:t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/>
      <w:pgMar w:bottom="576" w:top="1152" w:left="1152" w:right="115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ource Serif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Extra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20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C8">
          <w:pPr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2020 Luiz Durão e Marcelo Hashimoto</w:t>
          </w:r>
        </w:p>
        <w:p w:rsidR="00000000" w:rsidDel="00000000" w:rsidP="00000000" w:rsidRDefault="00000000" w:rsidRPr="00000000" w14:paraId="000000CA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Co-Design de Aplicativos</w:t>
          </w:r>
        </w:p>
        <w:p w:rsidR="00000000" w:rsidDel="00000000" w:rsidP="00000000" w:rsidRDefault="00000000" w:rsidRPr="00000000" w14:paraId="000000CB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CC">
          <w:pPr>
            <w:widowControl w:val="0"/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D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21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D5">
          <w:pPr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2020 Luiz Durão e Marcelo Hashimoto</w:t>
          </w:r>
        </w:p>
        <w:p w:rsidR="00000000" w:rsidDel="00000000" w:rsidP="00000000" w:rsidRDefault="00000000" w:rsidRPr="00000000" w14:paraId="000000D7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Co-Design de Aplicativos</w:t>
          </w:r>
        </w:p>
        <w:p w:rsidR="00000000" w:rsidDel="00000000" w:rsidP="00000000" w:rsidRDefault="00000000" w:rsidRPr="00000000" w14:paraId="000000D8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D9">
          <w:pPr>
            <w:widowControl w:val="0"/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A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9"/>
      <w:tblW w:w="9602.0" w:type="dxa"/>
      <w:jc w:val="center"/>
      <w:tblLayout w:type="fixed"/>
      <w:tblLook w:val="0600"/>
    </w:tblPr>
    <w:tblGrid>
      <w:gridCol w:w="4801"/>
      <w:gridCol w:w="4801"/>
      <w:tblGridChange w:id="0">
        <w:tblGrid>
          <w:gridCol w:w="4801"/>
          <w:gridCol w:w="4801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C4">
          <w:pPr>
            <w:spacing w:after="0" w:line="240" w:lineRule="auto"/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rtl w:val="0"/>
            </w:rPr>
            <w:t xml:space="preserve">Escolha de Cores</w:t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C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6">
    <w:pPr>
      <w:spacing w:after="200" w:line="240" w:lineRule="auto"/>
      <w:rPr>
        <w:rFonts w:ascii="Georgia" w:cs="Georgia" w:eastAsia="Georgia" w:hAnsi="Georgia"/>
        <w:color w:val="b7b7b7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F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0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spacing w:after="0" w:line="240" w:lineRule="auto"/>
      <w:rPr>
        <w:rFonts w:ascii="Georgia" w:cs="Georgia" w:eastAsia="Georgia" w:hAnsi="Georgia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2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rPr>
        <w:rFonts w:ascii="Fira Sans Extra Condensed" w:cs="Fira Sans Extra Condensed" w:eastAsia="Fira Sans Extra Condensed" w:hAnsi="Fira Sans Extra Condensed"/>
        <w:b w:val="1"/>
        <w:sz w:val="96"/>
        <w:szCs w:val="96"/>
        <w:rtl w:val="0"/>
      </w:rPr>
      <w:t xml:space="preserve">Escolha de Cores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3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erif Pro" w:cs="Source Serif Pro" w:eastAsia="Source Serif Pro" w:hAnsi="Source Serif Pro"/>
        <w:sz w:val="22"/>
        <w:szCs w:val="22"/>
        <w:lang w:val="en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276" w:lineRule="auto"/>
    </w:pPr>
    <w:rPr>
      <w:rFonts w:ascii="Source Sans Pro" w:cs="Source Sans Pro" w:eastAsia="Source Sans Pro" w:hAnsi="Source Sans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erifPro-regular.ttf"/><Relationship Id="rId2" Type="http://schemas.openxmlformats.org/officeDocument/2006/relationships/font" Target="fonts/SourceSerifPro-bold.ttf"/><Relationship Id="rId3" Type="http://schemas.openxmlformats.org/officeDocument/2006/relationships/font" Target="fonts/SourceSerifPro-italic.ttf"/><Relationship Id="rId4" Type="http://schemas.openxmlformats.org/officeDocument/2006/relationships/font" Target="fonts/SourceSerifPro-boldItalic.ttf"/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2" Type="http://schemas.openxmlformats.org/officeDocument/2006/relationships/font" Target="fonts/SourceSansPro-boldItalic.ttf"/><Relationship Id="rId9" Type="http://schemas.openxmlformats.org/officeDocument/2006/relationships/font" Target="fonts/SourceSansPro-regular.ttf"/><Relationship Id="rId5" Type="http://schemas.openxmlformats.org/officeDocument/2006/relationships/font" Target="fonts/FiraSansExtraCondensed-regular.ttf"/><Relationship Id="rId6" Type="http://schemas.openxmlformats.org/officeDocument/2006/relationships/font" Target="fonts/FiraSansExtraCondensed-bold.ttf"/><Relationship Id="rId7" Type="http://schemas.openxmlformats.org/officeDocument/2006/relationships/font" Target="fonts/FiraSansExtraCondensed-italic.ttf"/><Relationship Id="rId8" Type="http://schemas.openxmlformats.org/officeDocument/2006/relationships/font" Target="fonts/FiraSansExtraCondense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