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CEPEDA edison  CAIZAGUANO bernabe</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192.168.1.10</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08:02:33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