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68" w:rsidRDefault="00F20F68" w:rsidP="00F20F68">
      <w:pPr>
        <w:jc w:val="center"/>
        <w:outlineLvl w:val="0"/>
        <w:rPr>
          <w:b/>
          <w:caps/>
        </w:rPr>
      </w:pPr>
      <w:r>
        <w:rPr>
          <w:b/>
          <w:caps/>
        </w:rPr>
        <w:t>Anexo A</w:t>
      </w:r>
    </w:p>
    <w:p w:rsidR="00F20F68" w:rsidRDefault="00F20F68" w:rsidP="00F20F68">
      <w:pPr>
        <w:jc w:val="center"/>
        <w:outlineLvl w:val="0"/>
        <w:rPr>
          <w:b/>
          <w:caps/>
        </w:rPr>
      </w:pPr>
      <w:r>
        <w:rPr>
          <w:b/>
          <w:caps/>
        </w:rPr>
        <w:t>Formato Matriz de Riesgo</w:t>
      </w:r>
    </w:p>
    <w:p w:rsidR="00F20F68" w:rsidRDefault="00F20F68" w:rsidP="00F20F68">
      <w:pPr>
        <w:jc w:val="center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3"/>
        <w:gridCol w:w="1160"/>
        <w:gridCol w:w="1209"/>
        <w:gridCol w:w="1084"/>
        <w:gridCol w:w="854"/>
        <w:gridCol w:w="854"/>
        <w:gridCol w:w="900"/>
        <w:gridCol w:w="854"/>
        <w:gridCol w:w="900"/>
      </w:tblGrid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rPr>
                <w:spacing w:val="-4"/>
                <w:sz w:val="18"/>
              </w:rPr>
            </w:pPr>
            <w:r>
              <w:rPr>
                <w:b/>
                <w:spacing w:val="-4"/>
                <w:sz w:val="18"/>
              </w:rPr>
              <w:t>Severidad</w:t>
            </w:r>
          </w:p>
        </w:tc>
        <w:tc>
          <w:tcPr>
            <w:tcW w:w="36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pStyle w:val="Ttulo6"/>
              <w:jc w:val="center"/>
            </w:pPr>
            <w:r>
              <w:t>Consecuencia para</w:t>
            </w:r>
          </w:p>
        </w:tc>
        <w:tc>
          <w:tcPr>
            <w:tcW w:w="46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b/>
                <w:spacing w:val="-4"/>
                <w:sz w:val="18"/>
              </w:rPr>
              <w:t>Probabilidad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rPr>
                <w:spacing w:val="-4"/>
                <w:sz w:val="18"/>
              </w:rPr>
            </w:pPr>
          </w:p>
        </w:tc>
        <w:tc>
          <w:tcPr>
            <w:tcW w:w="123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F68" w:rsidRDefault="00F20F68" w:rsidP="00C20B15">
            <w:pPr>
              <w:pStyle w:val="Ttulo5"/>
              <w:jc w:val="lef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Personas</w:t>
            </w:r>
          </w:p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</w:p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Personal y/o Clientes</w:t>
            </w:r>
          </w:p>
        </w:tc>
        <w:tc>
          <w:tcPr>
            <w:tcW w:w="12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F68" w:rsidRDefault="00F20F68" w:rsidP="00C20B15">
            <w:pPr>
              <w:pStyle w:val="Ttulo5"/>
              <w:jc w:val="lef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Propiedad</w:t>
            </w:r>
          </w:p>
          <w:p w:rsidR="00F20F68" w:rsidRDefault="00F20F68" w:rsidP="00C20B15"/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Activos de la empresa y/o de terceros.</w:t>
            </w:r>
          </w:p>
        </w:tc>
        <w:tc>
          <w:tcPr>
            <w:tcW w:w="11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F68" w:rsidRDefault="00F20F68" w:rsidP="00C20B15">
            <w:pPr>
              <w:jc w:val="left"/>
              <w:rPr>
                <w:b/>
                <w:spacing w:val="-4"/>
                <w:sz w:val="18"/>
                <w:szCs w:val="18"/>
              </w:rPr>
            </w:pPr>
            <w:r>
              <w:rPr>
                <w:b/>
                <w:spacing w:val="-4"/>
                <w:sz w:val="18"/>
                <w:szCs w:val="18"/>
              </w:rPr>
              <w:t>Reputación o Imagen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Pr="00431A24" w:rsidRDefault="00F20F68" w:rsidP="00C20B15">
            <w:pPr>
              <w:jc w:val="center"/>
              <w:rPr>
                <w:b/>
                <w:spacing w:val="-4"/>
                <w:sz w:val="18"/>
              </w:rPr>
            </w:pPr>
            <w:r w:rsidRPr="00431A24">
              <w:rPr>
                <w:b/>
                <w:spacing w:val="-4"/>
                <w:sz w:val="18"/>
              </w:rPr>
              <w:t>1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Pr="00431A24" w:rsidRDefault="00F20F68" w:rsidP="00C20B15">
            <w:pPr>
              <w:jc w:val="center"/>
              <w:rPr>
                <w:b/>
                <w:spacing w:val="-4"/>
                <w:sz w:val="18"/>
              </w:rPr>
            </w:pPr>
            <w:r w:rsidRPr="00431A24">
              <w:rPr>
                <w:b/>
                <w:spacing w:val="-4"/>
                <w:sz w:val="18"/>
              </w:rPr>
              <w:t>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Pr="00431A24" w:rsidRDefault="00F20F68" w:rsidP="00C20B15">
            <w:pPr>
              <w:jc w:val="center"/>
              <w:rPr>
                <w:b/>
                <w:spacing w:val="-4"/>
                <w:sz w:val="18"/>
              </w:rPr>
            </w:pPr>
            <w:r w:rsidRPr="00431A24">
              <w:rPr>
                <w:b/>
                <w:spacing w:val="-4"/>
                <w:sz w:val="18"/>
              </w:rPr>
              <w:t>3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Pr="00431A24" w:rsidRDefault="00F20F68" w:rsidP="00C20B15">
            <w:pPr>
              <w:jc w:val="center"/>
              <w:rPr>
                <w:b/>
                <w:spacing w:val="-4"/>
                <w:sz w:val="18"/>
              </w:rPr>
            </w:pPr>
            <w:r w:rsidRPr="00431A24">
              <w:rPr>
                <w:b/>
                <w:spacing w:val="-4"/>
                <w:sz w:val="18"/>
              </w:rPr>
              <w:t>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20F68" w:rsidRPr="00431A24" w:rsidRDefault="00F20F68" w:rsidP="00C20B15">
            <w:pPr>
              <w:jc w:val="center"/>
              <w:rPr>
                <w:b/>
                <w:spacing w:val="-4"/>
                <w:sz w:val="18"/>
              </w:rPr>
            </w:pPr>
            <w:r w:rsidRPr="00431A24">
              <w:rPr>
                <w:b/>
                <w:spacing w:val="-4"/>
                <w:sz w:val="18"/>
              </w:rPr>
              <w:t>5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rPr>
                <w:spacing w:val="-4"/>
                <w:sz w:val="18"/>
              </w:rPr>
            </w:pPr>
          </w:p>
        </w:tc>
        <w:tc>
          <w:tcPr>
            <w:tcW w:w="123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</w:p>
        </w:tc>
        <w:tc>
          <w:tcPr>
            <w:tcW w:w="12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</w:p>
        </w:tc>
        <w:tc>
          <w:tcPr>
            <w:tcW w:w="11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Nunca ha ocurrido en la industria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Ha ocurrido en la industria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Ha ocurrido en la compañía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Ha ocurrido muchas veces en la industria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Ha ocurrido muchas veces en la compañía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Sin heridos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Sin daños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Sin impacto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0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0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0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Lesión leve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Daño cat. E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Impacto leve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1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3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  <w:shd w:val="clear" w:color="auto" w:fill="FFFF00"/>
              </w:rPr>
              <w:t>5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2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Lesión mediana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Daño cat. D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Impacto limitado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2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6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10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3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Lesión grave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Daño cat. C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Impacto Nacional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3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9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12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15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4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Una Muerte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Daño cat. B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Impacto Grave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4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12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16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20</w:t>
            </w:r>
          </w:p>
        </w:tc>
      </w:tr>
      <w:tr w:rsidR="00F20F68" w:rsidTr="00C20B15">
        <w:trPr>
          <w:cantSplit/>
          <w:jc w:val="center"/>
        </w:trPr>
        <w:tc>
          <w:tcPr>
            <w:tcW w:w="106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Múltiples muertes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Daño cat. A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20F68" w:rsidRDefault="00F20F68" w:rsidP="00C20B15">
            <w:pPr>
              <w:jc w:val="lef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Impacto Internacional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5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20F68" w:rsidRPr="00256F88" w:rsidRDefault="00F20F68" w:rsidP="00C20B15">
            <w:pPr>
              <w:jc w:val="center"/>
              <w:rPr>
                <w:spacing w:val="-4"/>
                <w:sz w:val="18"/>
              </w:rPr>
            </w:pPr>
            <w:r w:rsidRPr="00256F88">
              <w:rPr>
                <w:spacing w:val="-4"/>
                <w:sz w:val="18"/>
              </w:rPr>
              <w:t>10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15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20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F20F68" w:rsidRPr="006B4EF0" w:rsidRDefault="00F20F68" w:rsidP="00C20B15">
            <w:pPr>
              <w:jc w:val="center"/>
              <w:rPr>
                <w:color w:val="FFFFFF" w:themeColor="background1"/>
                <w:spacing w:val="-4"/>
                <w:sz w:val="18"/>
              </w:rPr>
            </w:pPr>
            <w:r w:rsidRPr="006B4EF0">
              <w:rPr>
                <w:color w:val="FFFFFF" w:themeColor="background1"/>
                <w:spacing w:val="-4"/>
                <w:sz w:val="18"/>
              </w:rPr>
              <w:t>25</w:t>
            </w:r>
          </w:p>
        </w:tc>
      </w:tr>
    </w:tbl>
    <w:p w:rsidR="009250E6" w:rsidRDefault="009250E6"/>
    <w:p w:rsidR="00F20F68" w:rsidRDefault="00F20F68" w:rsidP="00F20F68">
      <w:pPr>
        <w:pStyle w:val="Textocomentari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0-4:</w:t>
      </w:r>
      <w:r>
        <w:rPr>
          <w:rFonts w:ascii="Arial" w:hAnsi="Arial"/>
          <w:lang w:val="es-ES_tradnl"/>
        </w:rPr>
        <w:tab/>
        <w:t>Riesgo Aceptable</w:t>
      </w:r>
    </w:p>
    <w:p w:rsidR="00F20F68" w:rsidRDefault="00F20F68" w:rsidP="00F20F68">
      <w:pPr>
        <w:jc w:val="left"/>
      </w:pPr>
      <w:r>
        <w:t>5-14:</w:t>
      </w:r>
      <w:r>
        <w:tab/>
        <w:t>Riesgo Tolerable</w:t>
      </w:r>
    </w:p>
    <w:p w:rsidR="00F20F68" w:rsidRDefault="00F20F68" w:rsidP="00F20F68">
      <w:r>
        <w:t>1</w:t>
      </w:r>
      <w:bookmarkStart w:id="0" w:name="_GoBack"/>
      <w:bookmarkEnd w:id="0"/>
      <w:r>
        <w:t>5-25:</w:t>
      </w:r>
      <w:r>
        <w:tab/>
        <w:t>Riesgo Inaceptable</w:t>
      </w:r>
    </w:p>
    <w:sectPr w:rsidR="00F20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68"/>
    <w:rsid w:val="009250E6"/>
    <w:rsid w:val="00F2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7A22-2384-4BCB-B387-39F8A6D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6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F20F68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F20F68"/>
    <w:pPr>
      <w:keepNext/>
      <w:outlineLvl w:val="5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20F68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F20F68"/>
    <w:rPr>
      <w:rFonts w:ascii="Arial" w:eastAsia="Times New Roman" w:hAnsi="Arial" w:cs="Times New Roman"/>
      <w:b/>
      <w:sz w:val="16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semiHidden/>
    <w:rsid w:val="00F20F68"/>
    <w:pPr>
      <w:jc w:val="left"/>
    </w:pPr>
    <w:rPr>
      <w:rFonts w:ascii="Times New Roman" w:hAnsi="Times New Roman"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20F6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Carrasco</dc:creator>
  <cp:keywords/>
  <dc:description/>
  <cp:lastModifiedBy>Jimmy Carrasco</cp:lastModifiedBy>
  <cp:revision>1</cp:revision>
  <dcterms:created xsi:type="dcterms:W3CDTF">2015-03-06T20:10:00Z</dcterms:created>
  <dcterms:modified xsi:type="dcterms:W3CDTF">2015-03-06T20:13:00Z</dcterms:modified>
</cp:coreProperties>
</file>