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B79E4" w14:textId="77777777" w:rsidR="00B406A0" w:rsidRDefault="00000000">
      <w:pPr>
        <w:pStyle w:val="Heading1"/>
      </w:pPr>
      <w:bookmarkStart w:id="0" w:name="open-data-requirements"/>
      <w:r>
        <w:t>Open Data Requirements</w:t>
      </w:r>
      <w:bookmarkEnd w:id="0"/>
    </w:p>
    <w:p w14:paraId="532FF0D3" w14:textId="77777777" w:rsidR="00B406A0" w:rsidRDefault="00000000">
      <w:pPr>
        <w:pStyle w:val="FirstParagraph"/>
      </w:pPr>
      <w:r>
        <w:t>Last updated 2025-08-24 by Peter Kraska</w:t>
      </w:r>
    </w:p>
    <w:p w14:paraId="7136B60D" w14:textId="77777777" w:rsidR="00B406A0" w:rsidRDefault="00000000">
      <w:pPr>
        <w:pStyle w:val="Compact"/>
        <w:numPr>
          <w:ilvl w:val="0"/>
          <w:numId w:val="3"/>
        </w:numPr>
      </w:pPr>
      <w:hyperlink w:anchor="open-data-requirements">
        <w:r>
          <w:rPr>
            <w:rStyle w:val="Hyperlink"/>
          </w:rPr>
          <w:t>Open Data Requirements</w:t>
        </w:r>
      </w:hyperlink>
    </w:p>
    <w:p w14:paraId="5AF30409" w14:textId="77777777" w:rsidR="00B406A0" w:rsidRDefault="00000000">
      <w:pPr>
        <w:pStyle w:val="Compact"/>
        <w:numPr>
          <w:ilvl w:val="1"/>
          <w:numId w:val="4"/>
        </w:numPr>
      </w:pPr>
      <w:hyperlink w:anchor="glossary">
        <w:r>
          <w:rPr>
            <w:rStyle w:val="Hyperlink"/>
          </w:rPr>
          <w:t>Glossary</w:t>
        </w:r>
      </w:hyperlink>
    </w:p>
    <w:p w14:paraId="37EEBC17" w14:textId="77777777" w:rsidR="00B406A0" w:rsidRDefault="00000000">
      <w:pPr>
        <w:pStyle w:val="Compact"/>
        <w:numPr>
          <w:ilvl w:val="1"/>
          <w:numId w:val="4"/>
        </w:numPr>
      </w:pPr>
      <w:hyperlink w:anchor="X19eb71a229b1784e43c233545a57bde902adf40">
        <w:r>
          <w:rPr>
            <w:rStyle w:val="Hyperlink"/>
          </w:rPr>
          <w:t>Minimum required metadata to publish to EDH/OGP</w:t>
        </w:r>
      </w:hyperlink>
    </w:p>
    <w:p w14:paraId="5CB28AA2" w14:textId="77777777" w:rsidR="00B406A0" w:rsidRDefault="00000000">
      <w:pPr>
        <w:pStyle w:val="Compact"/>
        <w:numPr>
          <w:ilvl w:val="1"/>
          <w:numId w:val="4"/>
        </w:numPr>
      </w:pPr>
      <w:hyperlink w:anchor="other-requirements">
        <w:r>
          <w:rPr>
            <w:rStyle w:val="Hyperlink"/>
          </w:rPr>
          <w:t>Other requirements</w:t>
        </w:r>
      </w:hyperlink>
    </w:p>
    <w:p w14:paraId="487D3F3E" w14:textId="77777777" w:rsidR="00B406A0" w:rsidRDefault="00000000">
      <w:pPr>
        <w:pStyle w:val="Compact"/>
        <w:numPr>
          <w:ilvl w:val="2"/>
          <w:numId w:val="5"/>
        </w:numPr>
      </w:pPr>
      <w:hyperlink w:anchor="translations">
        <w:r>
          <w:rPr>
            <w:rStyle w:val="Hyperlink"/>
          </w:rPr>
          <w:t>Translations</w:t>
        </w:r>
      </w:hyperlink>
    </w:p>
    <w:p w14:paraId="07F017ED" w14:textId="77777777" w:rsidR="00B406A0" w:rsidRDefault="00000000">
      <w:pPr>
        <w:pStyle w:val="Compact"/>
        <w:numPr>
          <w:ilvl w:val="2"/>
          <w:numId w:val="5"/>
        </w:numPr>
      </w:pPr>
      <w:hyperlink w:anchor="title">
        <w:r>
          <w:rPr>
            <w:rStyle w:val="Hyperlink"/>
          </w:rPr>
          <w:t>Title</w:t>
        </w:r>
      </w:hyperlink>
    </w:p>
    <w:p w14:paraId="20D28FE1" w14:textId="77777777" w:rsidR="00B406A0" w:rsidRDefault="00000000">
      <w:pPr>
        <w:pStyle w:val="Compact"/>
        <w:numPr>
          <w:ilvl w:val="2"/>
          <w:numId w:val="5"/>
        </w:numPr>
      </w:pPr>
      <w:hyperlink w:anchor="descriptionabstract">
        <w:r>
          <w:rPr>
            <w:rStyle w:val="Hyperlink"/>
          </w:rPr>
          <w:t>Description/Abstract</w:t>
        </w:r>
      </w:hyperlink>
    </w:p>
    <w:p w14:paraId="48E667BB" w14:textId="77777777" w:rsidR="00B406A0" w:rsidRDefault="00000000">
      <w:pPr>
        <w:pStyle w:val="Compact"/>
        <w:numPr>
          <w:ilvl w:val="2"/>
          <w:numId w:val="5"/>
        </w:numPr>
      </w:pPr>
      <w:hyperlink w:anchor="dataset">
        <w:r>
          <w:rPr>
            <w:rStyle w:val="Hyperlink"/>
          </w:rPr>
          <w:t>Dataset</w:t>
        </w:r>
      </w:hyperlink>
    </w:p>
    <w:p w14:paraId="4A26453A" w14:textId="77777777" w:rsidR="00B406A0" w:rsidRDefault="00000000">
      <w:pPr>
        <w:pStyle w:val="Compact"/>
        <w:numPr>
          <w:ilvl w:val="3"/>
          <w:numId w:val="6"/>
        </w:numPr>
      </w:pPr>
      <w:hyperlink w:anchor="file-types">
        <w:r>
          <w:rPr>
            <w:rStyle w:val="Hyperlink"/>
          </w:rPr>
          <w:t>File types</w:t>
        </w:r>
      </w:hyperlink>
    </w:p>
    <w:p w14:paraId="393AA92C" w14:textId="77777777" w:rsidR="00B406A0" w:rsidRDefault="00000000">
      <w:pPr>
        <w:pStyle w:val="Compact"/>
        <w:numPr>
          <w:ilvl w:val="3"/>
          <w:numId w:val="6"/>
        </w:numPr>
      </w:pPr>
      <w:hyperlink w:anchor="encodings">
        <w:r>
          <w:rPr>
            <w:rStyle w:val="Hyperlink"/>
          </w:rPr>
          <w:t>Encodings</w:t>
        </w:r>
      </w:hyperlink>
    </w:p>
    <w:p w14:paraId="1A78D46E" w14:textId="77777777" w:rsidR="00B406A0" w:rsidRDefault="00000000">
      <w:pPr>
        <w:pStyle w:val="Compact"/>
        <w:numPr>
          <w:ilvl w:val="3"/>
          <w:numId w:val="6"/>
        </w:numPr>
      </w:pPr>
      <w:hyperlink w:anchor="naming-conventions---variable-names">
        <w:r>
          <w:rPr>
            <w:rStyle w:val="Hyperlink"/>
          </w:rPr>
          <w:t>Naming Conventions - variable names</w:t>
        </w:r>
      </w:hyperlink>
    </w:p>
    <w:p w14:paraId="287A3277" w14:textId="77777777" w:rsidR="00B406A0" w:rsidRDefault="00000000">
      <w:pPr>
        <w:pStyle w:val="Compact"/>
        <w:numPr>
          <w:ilvl w:val="3"/>
          <w:numId w:val="6"/>
        </w:numPr>
      </w:pPr>
      <w:hyperlink w:anchor="naming-conventions---file-names">
        <w:r>
          <w:rPr>
            <w:rStyle w:val="Hyperlink"/>
          </w:rPr>
          <w:t>Naming Conventions - file names</w:t>
        </w:r>
      </w:hyperlink>
    </w:p>
    <w:p w14:paraId="72EEC30A" w14:textId="77777777" w:rsidR="00B406A0" w:rsidRDefault="00000000">
      <w:pPr>
        <w:pStyle w:val="Compact"/>
        <w:numPr>
          <w:ilvl w:val="2"/>
          <w:numId w:val="5"/>
        </w:numPr>
      </w:pPr>
      <w:hyperlink w:anchor="geospatial-data">
        <w:r>
          <w:rPr>
            <w:rStyle w:val="Hyperlink"/>
          </w:rPr>
          <w:t>Geospatial data</w:t>
        </w:r>
      </w:hyperlink>
    </w:p>
    <w:p w14:paraId="4CBD3F3B" w14:textId="77777777" w:rsidR="00B406A0" w:rsidRDefault="00000000">
      <w:pPr>
        <w:pStyle w:val="Compact"/>
        <w:numPr>
          <w:ilvl w:val="1"/>
          <w:numId w:val="4"/>
        </w:numPr>
      </w:pPr>
      <w:hyperlink w:anchor="data-dictionary-template">
        <w:r>
          <w:rPr>
            <w:rStyle w:val="Hyperlink"/>
          </w:rPr>
          <w:t>Data dictionary template</w:t>
        </w:r>
      </w:hyperlink>
    </w:p>
    <w:p w14:paraId="132FAA28" w14:textId="77777777" w:rsidR="00B406A0" w:rsidRDefault="00000000">
      <w:pPr>
        <w:pStyle w:val="Heading2"/>
      </w:pPr>
      <w:bookmarkStart w:id="1" w:name="glossary"/>
      <w:r>
        <w:t>Glossary</w:t>
      </w:r>
      <w:bookmarkEnd w:id="1"/>
    </w:p>
    <w:tbl>
      <w:tblPr>
        <w:tblStyle w:val="Table"/>
        <w:tblW w:w="0" w:type="pct"/>
        <w:tblLook w:val="07E0" w:firstRow="1" w:lastRow="1" w:firstColumn="1" w:lastColumn="1" w:noHBand="1" w:noVBand="1"/>
      </w:tblPr>
      <w:tblGrid>
        <w:gridCol w:w="1283"/>
        <w:gridCol w:w="3098"/>
      </w:tblGrid>
      <w:tr w:rsidR="00B406A0" w14:paraId="22AF4C2D" w14:textId="77777777">
        <w:tc>
          <w:tcPr>
            <w:tcW w:w="0" w:type="auto"/>
            <w:tcBorders>
              <w:bottom w:val="single" w:sz="0" w:space="0" w:color="auto"/>
            </w:tcBorders>
            <w:vAlign w:val="bottom"/>
          </w:tcPr>
          <w:p w14:paraId="269F6D57" w14:textId="77777777" w:rsidR="00B406A0" w:rsidRDefault="00000000">
            <w:pPr>
              <w:pStyle w:val="Compact"/>
            </w:pPr>
            <w:r>
              <w:t>Accronym</w:t>
            </w:r>
          </w:p>
        </w:tc>
        <w:tc>
          <w:tcPr>
            <w:tcW w:w="0" w:type="auto"/>
            <w:tcBorders>
              <w:bottom w:val="single" w:sz="0" w:space="0" w:color="auto"/>
            </w:tcBorders>
            <w:vAlign w:val="bottom"/>
          </w:tcPr>
          <w:p w14:paraId="4D326DE8" w14:textId="77777777" w:rsidR="00B406A0" w:rsidRDefault="00000000">
            <w:pPr>
              <w:pStyle w:val="Compact"/>
            </w:pPr>
            <w:r>
              <w:t>Description</w:t>
            </w:r>
          </w:p>
        </w:tc>
      </w:tr>
      <w:tr w:rsidR="00B406A0" w14:paraId="67FA902E" w14:textId="77777777">
        <w:tc>
          <w:tcPr>
            <w:tcW w:w="0" w:type="auto"/>
          </w:tcPr>
          <w:p w14:paraId="3A0A2D98" w14:textId="77777777" w:rsidR="00B406A0" w:rsidRDefault="00000000">
            <w:pPr>
              <w:pStyle w:val="Compact"/>
            </w:pPr>
            <w:r>
              <w:t>EDH</w:t>
            </w:r>
          </w:p>
        </w:tc>
        <w:tc>
          <w:tcPr>
            <w:tcW w:w="0" w:type="auto"/>
          </w:tcPr>
          <w:p w14:paraId="3383F27E" w14:textId="77777777" w:rsidR="00B406A0" w:rsidRDefault="00000000">
            <w:pPr>
              <w:pStyle w:val="Compact"/>
            </w:pPr>
            <w:r>
              <w:t>Enterprise Data Hub</w:t>
            </w:r>
          </w:p>
        </w:tc>
      </w:tr>
      <w:tr w:rsidR="00B406A0" w14:paraId="5C9A85AD" w14:textId="77777777">
        <w:tc>
          <w:tcPr>
            <w:tcW w:w="0" w:type="auto"/>
          </w:tcPr>
          <w:p w14:paraId="127A2EB3" w14:textId="77777777" w:rsidR="00B406A0" w:rsidRDefault="00000000">
            <w:pPr>
              <w:pStyle w:val="Compact"/>
            </w:pPr>
            <w:r>
              <w:t>ODP</w:t>
            </w:r>
          </w:p>
        </w:tc>
        <w:tc>
          <w:tcPr>
            <w:tcW w:w="0" w:type="auto"/>
          </w:tcPr>
          <w:p w14:paraId="745E3169" w14:textId="77777777" w:rsidR="00B406A0" w:rsidRDefault="00000000">
            <w:pPr>
              <w:pStyle w:val="Compact"/>
            </w:pPr>
            <w:r>
              <w:t>Open Data Portal</w:t>
            </w:r>
          </w:p>
        </w:tc>
      </w:tr>
      <w:tr w:rsidR="00B406A0" w14:paraId="7BCBEC2E" w14:textId="77777777">
        <w:tc>
          <w:tcPr>
            <w:tcW w:w="0" w:type="auto"/>
          </w:tcPr>
          <w:p w14:paraId="2F07137E" w14:textId="77777777" w:rsidR="00B406A0" w:rsidRDefault="00000000">
            <w:pPr>
              <w:pStyle w:val="Compact"/>
            </w:pPr>
            <w:r>
              <w:t>OGP</w:t>
            </w:r>
          </w:p>
        </w:tc>
        <w:tc>
          <w:tcPr>
            <w:tcW w:w="0" w:type="auto"/>
          </w:tcPr>
          <w:p w14:paraId="3D8393DA" w14:textId="77777777" w:rsidR="00B406A0" w:rsidRDefault="00000000">
            <w:pPr>
              <w:pStyle w:val="Compact"/>
            </w:pPr>
            <w:r>
              <w:t>Open Government Portal</w:t>
            </w:r>
          </w:p>
        </w:tc>
      </w:tr>
      <w:tr w:rsidR="00B406A0" w14:paraId="0F93802F" w14:textId="77777777">
        <w:tc>
          <w:tcPr>
            <w:tcW w:w="0" w:type="auto"/>
          </w:tcPr>
          <w:p w14:paraId="5930A6AE" w14:textId="77777777" w:rsidR="00B406A0" w:rsidRDefault="00000000">
            <w:pPr>
              <w:pStyle w:val="Compact"/>
            </w:pPr>
            <w:r>
              <w:t>TBS</w:t>
            </w:r>
          </w:p>
        </w:tc>
        <w:tc>
          <w:tcPr>
            <w:tcW w:w="0" w:type="auto"/>
          </w:tcPr>
          <w:p w14:paraId="3A7758B9" w14:textId="77777777" w:rsidR="00B406A0" w:rsidRDefault="00000000">
            <w:pPr>
              <w:pStyle w:val="Compact"/>
            </w:pPr>
            <w:r>
              <w:t>Treasury Board Secretariat</w:t>
            </w:r>
          </w:p>
        </w:tc>
      </w:tr>
    </w:tbl>
    <w:p w14:paraId="28A94FC9" w14:textId="77777777" w:rsidR="00B406A0" w:rsidRDefault="00000000">
      <w:pPr>
        <w:pStyle w:val="Heading2"/>
      </w:pPr>
      <w:bookmarkStart w:id="2" w:name="X19eb71a229b1784e43c233545a57bde902adf40"/>
      <w:r>
        <w:t>Minimum required metadata to publish to EDH/OGP</w:t>
      </w:r>
      <w:bookmarkEnd w:id="2"/>
    </w:p>
    <w:p w14:paraId="02669B27" w14:textId="77777777" w:rsidR="00B406A0" w:rsidRDefault="00000000">
      <w:pPr>
        <w:pStyle w:val="FirstParagraph"/>
      </w:pPr>
      <w:r>
        <w:t>There are several required fields for the project/dataset level metadata (Level 1 ISO 19115) within the Government of Canada, these are:</w:t>
      </w:r>
    </w:p>
    <w:p w14:paraId="355AE56F" w14:textId="77777777" w:rsidR="00B406A0" w:rsidRDefault="00000000">
      <w:pPr>
        <w:pStyle w:val="Compact"/>
        <w:numPr>
          <w:ilvl w:val="0"/>
          <w:numId w:val="7"/>
        </w:numPr>
      </w:pPr>
      <w:r>
        <w:t>Title*</w:t>
      </w:r>
    </w:p>
    <w:p w14:paraId="7B20AAFD" w14:textId="77777777" w:rsidR="00B406A0" w:rsidRDefault="00000000">
      <w:pPr>
        <w:pStyle w:val="Compact"/>
        <w:numPr>
          <w:ilvl w:val="0"/>
          <w:numId w:val="7"/>
        </w:numPr>
      </w:pPr>
      <w:r>
        <w:t>Description/Abstract*</w:t>
      </w:r>
    </w:p>
    <w:p w14:paraId="2F4CB0AF" w14:textId="77777777" w:rsidR="00B406A0" w:rsidRDefault="00000000">
      <w:pPr>
        <w:pStyle w:val="Compact"/>
        <w:numPr>
          <w:ilvl w:val="0"/>
          <w:numId w:val="7"/>
        </w:numPr>
      </w:pPr>
      <w:r>
        <w:t>Temporal extents (start/end time)</w:t>
      </w:r>
    </w:p>
    <w:p w14:paraId="2C22FE52" w14:textId="77777777" w:rsidR="00B406A0" w:rsidRDefault="00000000">
      <w:pPr>
        <w:pStyle w:val="Compact"/>
        <w:numPr>
          <w:ilvl w:val="0"/>
          <w:numId w:val="7"/>
        </w:numPr>
      </w:pPr>
      <w:r>
        <w:t>Geographic extents (North, South, East, West)</w:t>
      </w:r>
    </w:p>
    <w:p w14:paraId="558353F9" w14:textId="77777777" w:rsidR="00B406A0" w:rsidRDefault="00000000">
      <w:pPr>
        <w:pStyle w:val="Compact"/>
        <w:numPr>
          <w:ilvl w:val="0"/>
          <w:numId w:val="7"/>
        </w:numPr>
      </w:pPr>
      <w:r>
        <w:t>Dataset attribution (Author, Owner, Custodian, etc…)</w:t>
      </w:r>
    </w:p>
    <w:p w14:paraId="2A395C89" w14:textId="77777777" w:rsidR="00B406A0" w:rsidRDefault="00000000">
      <w:pPr>
        <w:pStyle w:val="Compact"/>
        <w:numPr>
          <w:ilvl w:val="0"/>
          <w:numId w:val="7"/>
        </w:numPr>
      </w:pPr>
      <w:r>
        <w:t>Data Dictionary*</w:t>
      </w:r>
    </w:p>
    <w:p w14:paraId="759FCEE1" w14:textId="77777777" w:rsidR="00B406A0" w:rsidRDefault="00000000">
      <w:pPr>
        <w:pStyle w:val="Compact"/>
        <w:numPr>
          <w:ilvl w:val="0"/>
          <w:numId w:val="7"/>
        </w:numPr>
      </w:pPr>
      <w:r>
        <w:t>Dataset</w:t>
      </w:r>
    </w:p>
    <w:p w14:paraId="0ED08926" w14:textId="77777777" w:rsidR="00B406A0" w:rsidRDefault="00000000">
      <w:pPr>
        <w:pStyle w:val="FirstParagraph"/>
      </w:pPr>
      <w:r>
        <w:t>Of these seven required fields, only three require translation. These are the Title, Description/Abstract, and the Data Dictionary.</w:t>
      </w:r>
    </w:p>
    <w:p w14:paraId="712A3092" w14:textId="77777777" w:rsidR="00B406A0" w:rsidRDefault="00000000">
      <w:pPr>
        <w:pStyle w:val="Heading2"/>
      </w:pPr>
      <w:bookmarkStart w:id="3" w:name="other-requirements"/>
      <w:r>
        <w:lastRenderedPageBreak/>
        <w:t>Other requirements</w:t>
      </w:r>
      <w:bookmarkEnd w:id="3"/>
    </w:p>
    <w:p w14:paraId="7A9652F6" w14:textId="77777777" w:rsidR="00B406A0" w:rsidRDefault="00000000">
      <w:pPr>
        <w:pStyle w:val="Heading3"/>
      </w:pPr>
      <w:bookmarkStart w:id="4" w:name="translations"/>
      <w:r>
        <w:t>Translations</w:t>
      </w:r>
      <w:bookmarkEnd w:id="4"/>
    </w:p>
    <w:p w14:paraId="73F9A65E" w14:textId="77777777" w:rsidR="00B406A0" w:rsidRDefault="00000000">
      <w:pPr>
        <w:pStyle w:val="FirstParagraph"/>
      </w:pPr>
      <w:r>
        <w:t>Programs/projects are responsible for translating their datasets and should budget for this in their project proposals. Online translation services (i.e. DeepL, Google Translate, etc.) are not an approved method for these technical translations, but have been approved for generating a draft which can then be sent to the translation bureau for final review and revision.</w:t>
      </w:r>
    </w:p>
    <w:p w14:paraId="4B705FDB" w14:textId="77777777" w:rsidR="00B406A0" w:rsidRDefault="00000000">
      <w:pPr>
        <w:pStyle w:val="BlockText"/>
      </w:pPr>
      <w:r>
        <w:t>The translation bureau charges $84/hour for offical languages translations, and $129/hour for revisions. There is a minimum charge of one hour for both of these services and at this point there is practically no difference in cost between the strategies as translations take approx. 1.5 hours for a Title, Description, and Data Dictionary.</w:t>
      </w:r>
    </w:p>
    <w:p w14:paraId="311A2A34" w14:textId="77777777" w:rsidR="00B406A0" w:rsidRDefault="00000000">
      <w:pPr>
        <w:pStyle w:val="FirstParagraph"/>
      </w:pPr>
      <w:r>
        <w:t>If a program can’t afford to translate their metadata for EDH, the expectation is that the program lead would then request funds from their section head in case there were funds available at the section level, and if nofunds were available there, they would then approach their division manager to cover the cost of translation.</w:t>
      </w:r>
    </w:p>
    <w:p w14:paraId="53D1D7F8" w14:textId="77777777" w:rsidR="00B406A0" w:rsidRDefault="00000000">
      <w:pPr>
        <w:pStyle w:val="BlockText"/>
      </w:pPr>
      <w:r>
        <w:t>This should not be the normal avenue of paying of translations for new projects, but only a method of translating older project metadata and datasets. There are no central funding sources for translations regionally or nationally and these funds come from O&amp;M funds that are budgetted for other things.</w:t>
      </w:r>
    </w:p>
    <w:p w14:paraId="34571F15" w14:textId="77777777" w:rsidR="00B406A0" w:rsidRDefault="00000000">
      <w:pPr>
        <w:pStyle w:val="Heading3"/>
      </w:pPr>
      <w:bookmarkStart w:id="5" w:name="title"/>
      <w:r>
        <w:t>Title</w:t>
      </w:r>
      <w:bookmarkEnd w:id="5"/>
    </w:p>
    <w:p w14:paraId="0D50483E" w14:textId="77777777" w:rsidR="00B406A0" w:rsidRDefault="00000000">
      <w:pPr>
        <w:pStyle w:val="FirstParagraph"/>
      </w:pPr>
      <w:r>
        <w:t>A clear and concise title that gives an idea of what the dataset contains (e.g. “</w:t>
      </w:r>
      <w:r>
        <w:rPr>
          <w:i/>
        </w:rPr>
        <w:t>Conductivity, Temperature, and Depth (CTD) profiles collected in Passamquoddy Bay from 1990 - 2025"</w:t>
      </w:r>
      <w:r>
        <w:t xml:space="preserve"> instead of”</w:t>
      </w:r>
      <w:r>
        <w:rPr>
          <w:i/>
        </w:rPr>
        <w:t>CSRF1234 - Studying the Ocean</w:t>
      </w:r>
      <w:r>
        <w:t>"). If in doubt, reach out to your data manager for input.</w:t>
      </w:r>
    </w:p>
    <w:p w14:paraId="5BF01D4E" w14:textId="77777777" w:rsidR="00B406A0" w:rsidRDefault="00000000">
      <w:pPr>
        <w:pStyle w:val="Heading3"/>
      </w:pPr>
      <w:bookmarkStart w:id="6" w:name="descriptionabstract"/>
      <w:r>
        <w:t>Description/Abstract</w:t>
      </w:r>
      <w:bookmarkEnd w:id="6"/>
    </w:p>
    <w:p w14:paraId="25A12EAD" w14:textId="77777777" w:rsidR="00B406A0" w:rsidRDefault="00000000">
      <w:pPr>
        <w:pStyle w:val="FirstParagraph"/>
      </w:pPr>
      <w:r>
        <w:t>This should be a clear and concise section which quickly describes the attached data. It is a place to list associated publications, reference other datasets, and/or list any caveats or usage notes regarding the dataset.</w:t>
      </w:r>
    </w:p>
    <w:p w14:paraId="3388678F" w14:textId="77777777" w:rsidR="00B406A0" w:rsidRDefault="00000000">
      <w:pPr>
        <w:pStyle w:val="BlockText"/>
      </w:pPr>
      <w:r>
        <w:t>As this section is required by TBS to be bilingual, it should be kept to a paragraph or two as translations can become expensive. If more information is required to interpret the dataset, technical reports, primary publications, or other documents can be attached for context.</w:t>
      </w:r>
    </w:p>
    <w:p w14:paraId="12F9A215" w14:textId="77777777" w:rsidR="00B406A0" w:rsidRDefault="00000000">
      <w:pPr>
        <w:pStyle w:val="Heading3"/>
      </w:pPr>
      <w:bookmarkStart w:id="7" w:name="dataset"/>
      <w:r>
        <w:lastRenderedPageBreak/>
        <w:t>Dataset</w:t>
      </w:r>
      <w:bookmarkEnd w:id="7"/>
    </w:p>
    <w:p w14:paraId="0DCBBDE6" w14:textId="77777777" w:rsidR="00B406A0" w:rsidRDefault="00000000">
      <w:pPr>
        <w:pStyle w:val="Heading4"/>
      </w:pPr>
      <w:bookmarkStart w:id="8" w:name="file-types"/>
      <w:r>
        <w:t>File types</w:t>
      </w:r>
      <w:bookmarkEnd w:id="8"/>
    </w:p>
    <w:p w14:paraId="5C40D1DB" w14:textId="77777777" w:rsidR="00B406A0" w:rsidRDefault="00000000">
      <w:pPr>
        <w:pStyle w:val="FirstParagraph"/>
      </w:pPr>
      <w:r>
        <w:t>Files should be machine readable and not require additional software to read.</w:t>
      </w:r>
    </w:p>
    <w:p w14:paraId="3DBFAC54" w14:textId="77777777" w:rsidR="00B406A0" w:rsidRDefault="00000000">
      <w:pPr>
        <w:pStyle w:val="BodyText"/>
      </w:pPr>
      <w:r>
        <w:t>Common file types are:</w:t>
      </w:r>
    </w:p>
    <w:p w14:paraId="7D42F053" w14:textId="77777777" w:rsidR="00B406A0" w:rsidRDefault="00000000">
      <w:pPr>
        <w:pStyle w:val="Compact"/>
        <w:numPr>
          <w:ilvl w:val="0"/>
          <w:numId w:val="8"/>
        </w:numPr>
      </w:pPr>
      <w:r>
        <w:t xml:space="preserve">Delimited text: </w:t>
      </w:r>
      <w:r>
        <w:rPr>
          <w:rStyle w:val="VerbatimChar"/>
        </w:rPr>
        <w:t>.csv</w:t>
      </w:r>
      <w:r>
        <w:t xml:space="preserve">, </w:t>
      </w:r>
      <w:r>
        <w:rPr>
          <w:rStyle w:val="VerbatimChar"/>
        </w:rPr>
        <w:t>.txt</w:t>
      </w:r>
      <w:r>
        <w:t xml:space="preserve">, </w:t>
      </w:r>
      <w:r>
        <w:rPr>
          <w:rStyle w:val="VerbatimChar"/>
        </w:rPr>
        <w:t>.asc</w:t>
      </w:r>
    </w:p>
    <w:p w14:paraId="0C0A89E1" w14:textId="77777777" w:rsidR="00B406A0" w:rsidRDefault="00000000">
      <w:pPr>
        <w:pStyle w:val="Compact"/>
        <w:numPr>
          <w:ilvl w:val="0"/>
          <w:numId w:val="8"/>
        </w:numPr>
      </w:pPr>
      <w:r>
        <w:t xml:space="preserve">Scripts: </w:t>
      </w:r>
      <w:r>
        <w:rPr>
          <w:rStyle w:val="VerbatimChar"/>
        </w:rPr>
        <w:t>.R</w:t>
      </w:r>
      <w:r>
        <w:t xml:space="preserve">, </w:t>
      </w:r>
      <w:r>
        <w:rPr>
          <w:rStyle w:val="VerbatimChar"/>
        </w:rPr>
        <w:t>.py</w:t>
      </w:r>
      <w:r>
        <w:t xml:space="preserve">, </w:t>
      </w:r>
      <w:r>
        <w:rPr>
          <w:rStyle w:val="VerbatimChar"/>
        </w:rPr>
        <w:t>.mat</w:t>
      </w:r>
    </w:p>
    <w:p w14:paraId="0B583B9B" w14:textId="77777777" w:rsidR="00B406A0" w:rsidRDefault="00000000">
      <w:pPr>
        <w:pStyle w:val="Compact"/>
        <w:numPr>
          <w:ilvl w:val="0"/>
          <w:numId w:val="8"/>
        </w:numPr>
      </w:pPr>
      <w:r>
        <w:t xml:space="preserve">Proprietary format instrument data files: </w:t>
      </w:r>
      <w:r>
        <w:rPr>
          <w:rStyle w:val="VerbatimChar"/>
        </w:rPr>
        <w:t>.cnv</w:t>
      </w:r>
      <w:r>
        <w:t xml:space="preserve">, </w:t>
      </w:r>
      <w:r>
        <w:rPr>
          <w:rStyle w:val="VerbatimChar"/>
        </w:rPr>
        <w:t>.000</w:t>
      </w:r>
      <w:r>
        <w:t xml:space="preserve">, </w:t>
      </w:r>
      <w:r>
        <w:rPr>
          <w:rStyle w:val="VerbatimChar"/>
        </w:rPr>
        <w:t>.hex</w:t>
      </w:r>
    </w:p>
    <w:p w14:paraId="52F36BFE" w14:textId="77777777" w:rsidR="00B406A0" w:rsidRDefault="00000000">
      <w:pPr>
        <w:pStyle w:val="Heading4"/>
      </w:pPr>
      <w:bookmarkStart w:id="9" w:name="encodings"/>
      <w:r>
        <w:t>Encodings</w:t>
      </w:r>
      <w:bookmarkEnd w:id="9"/>
    </w:p>
    <w:p w14:paraId="5F82E270" w14:textId="77777777" w:rsidR="00B406A0" w:rsidRDefault="00000000">
      <w:pPr>
        <w:pStyle w:val="FirstParagraph"/>
      </w:pPr>
      <w:r>
        <w:t xml:space="preserve">Unless you have a good reason not to, use </w:t>
      </w:r>
      <w:r>
        <w:rPr>
          <w:rStyle w:val="VerbatimChar"/>
        </w:rPr>
        <w:t>UTF-8</w:t>
      </w:r>
      <w:r>
        <w:t xml:space="preserve"> encoding for your files as it will allow for clear representation of most special characters and text in English and French. Microsoft Excel will attempt to use </w:t>
      </w:r>
      <w:r>
        <w:rPr>
          <w:rStyle w:val="VerbatimChar"/>
        </w:rPr>
        <w:t>Windows125x</w:t>
      </w:r>
      <w:r>
        <w:t xml:space="preserve"> as it is the default when saving files, but you should make sure to choose </w:t>
      </w:r>
      <w:r>
        <w:rPr>
          <w:rStyle w:val="VerbatimChar"/>
        </w:rPr>
        <w:t>UTF-8</w:t>
      </w:r>
      <w:r>
        <w:t xml:space="preserve"> where possible to avoid future headaches. Most programming languages allow you to specify the encoding of their outputs, and R and Python default to UTF-8 unless specified to output somethign else.</w:t>
      </w:r>
    </w:p>
    <w:p w14:paraId="3B35C37F" w14:textId="77777777" w:rsidR="00B406A0" w:rsidRDefault="00000000">
      <w:pPr>
        <w:pStyle w:val="BlockText"/>
      </w:pPr>
      <w:r>
        <w:t>If you’ve ever received a CSV file with garbled characters for certain french characters (i.e. è, é showing up as &amp;#232; and &amp;#233; ), it is likely due to a mismatch between encodings.</w:t>
      </w:r>
    </w:p>
    <w:p w14:paraId="1899ACB1" w14:textId="77777777" w:rsidR="00B406A0" w:rsidRDefault="00000000">
      <w:pPr>
        <w:pStyle w:val="Heading4"/>
      </w:pPr>
      <w:bookmarkStart w:id="10" w:name="naming-conventions---variable-names"/>
      <w:r>
        <w:t>Naming Conventions - variable names</w:t>
      </w:r>
      <w:bookmarkEnd w:id="10"/>
    </w:p>
    <w:p w14:paraId="5A82B5B3" w14:textId="77777777" w:rsidR="00B406A0" w:rsidRDefault="00000000">
      <w:pPr>
        <w:pStyle w:val="FirstParagraph"/>
      </w:pPr>
      <w:r>
        <w:t>Proposed DFO application coding style guide will be for variable names to be all lower snakecase for consistency and ease of typing (e.g. </w:t>
      </w:r>
      <w:r>
        <w:rPr>
          <w:rStyle w:val="VerbatimChar"/>
        </w:rPr>
        <w:t>a_clear_and_concise_name</w:t>
      </w:r>
      <w:r>
        <w:t>).</w:t>
      </w:r>
    </w:p>
    <w:p w14:paraId="63818518" w14:textId="77777777" w:rsidR="00B406A0" w:rsidRDefault="00000000">
      <w:pPr>
        <w:pStyle w:val="BodyText"/>
      </w:pPr>
      <w:r>
        <w:t>While EDH does not explicitely specify a naming convention for dataset field names, They are now requiring field names in a bilingual, easily interpreted field names in lower snakecase (e.g. </w:t>
      </w:r>
      <w:r>
        <w:rPr>
          <w:rStyle w:val="VerbatimChar"/>
        </w:rPr>
        <w:t>[english]_[french]</w:t>
      </w:r>
      <w:r>
        <w:t xml:space="preserve">, </w:t>
      </w:r>
      <w:r>
        <w:rPr>
          <w:rStyle w:val="VerbatimChar"/>
        </w:rPr>
        <w:t>depth_profondeur_m</w:t>
      </w:r>
      <w:r>
        <w:t xml:space="preserve">, </w:t>
      </w:r>
      <w:r>
        <w:rPr>
          <w:rStyle w:val="VerbatimChar"/>
        </w:rPr>
        <w:t>diameter_mm</w:t>
      </w:r>
      <w:r>
        <w:t xml:space="preserve">, </w:t>
      </w:r>
      <w:r>
        <w:rPr>
          <w:rStyle w:val="VerbatimChar"/>
        </w:rPr>
        <w:t>navire_vessel</w:t>
      </w:r>
      <w:r>
        <w:t>, etc.).</w:t>
      </w:r>
    </w:p>
    <w:p w14:paraId="7ADBC73A" w14:textId="77777777" w:rsidR="00B406A0" w:rsidRDefault="00000000">
      <w:pPr>
        <w:pStyle w:val="BlockText"/>
      </w:pPr>
      <w:r>
        <w:t>EDH is not currently requesting that preexisting datasets follow this format, but new datasets will need to be formatted correctly</w:t>
      </w:r>
    </w:p>
    <w:p w14:paraId="5C76F048" w14:textId="77777777" w:rsidR="00B406A0" w:rsidRDefault="00000000">
      <w:pPr>
        <w:pStyle w:val="Heading4"/>
      </w:pPr>
      <w:bookmarkStart w:id="11" w:name="naming-conventions---file-names"/>
      <w:r>
        <w:t>Naming Conventions - file names</w:t>
      </w:r>
      <w:bookmarkEnd w:id="11"/>
    </w:p>
    <w:p w14:paraId="59ECEFDE" w14:textId="77777777" w:rsidR="00B406A0" w:rsidRDefault="00000000">
      <w:pPr>
        <w:pStyle w:val="FirstParagraph"/>
      </w:pPr>
      <w:r>
        <w:t>Files should be named so that they make sense in the context of the dataset, not necessarily how they were named on your computer.</w:t>
      </w:r>
    </w:p>
    <w:p w14:paraId="71BAFF32" w14:textId="77777777" w:rsidR="00B406A0" w:rsidRDefault="00000000">
      <w:pPr>
        <w:pStyle w:val="Compact"/>
        <w:numPr>
          <w:ilvl w:val="0"/>
          <w:numId w:val="9"/>
        </w:numPr>
      </w:pPr>
      <w:r>
        <w:rPr>
          <w:rStyle w:val="VerbatimChar"/>
        </w:rPr>
        <w:t>data_dictionary_dictionnaire_des_donnees.csv</w:t>
      </w:r>
      <w:r>
        <w:t xml:space="preserve">: Your data dictionary which contains information explaining your data (template included below). this is where each file and column of your data needs to be referenced and have a description in both English and French - </w:t>
      </w:r>
      <w:r>
        <w:rPr>
          <w:b/>
        </w:rPr>
        <w:t>MANDATORY</w:t>
      </w:r>
    </w:p>
    <w:p w14:paraId="2DDD226B" w14:textId="77777777" w:rsidR="00B406A0" w:rsidRDefault="00000000">
      <w:pPr>
        <w:pStyle w:val="Compact"/>
        <w:numPr>
          <w:ilvl w:val="0"/>
          <w:numId w:val="9"/>
        </w:numPr>
      </w:pPr>
      <w:r>
        <w:lastRenderedPageBreak/>
        <w:t xml:space="preserve">Instead of creating a single, large data file, it may make sense to split your data up into a </w:t>
      </w:r>
      <w:r>
        <w:rPr>
          <w:rStyle w:val="VerbatimChar"/>
        </w:rPr>
        <w:t>samples_echantillion.csv</w:t>
      </w:r>
      <w:r>
        <w:t xml:space="preserve"> for the sample level information (e.g. </w:t>
      </w:r>
      <w:r>
        <w:rPr>
          <w:rStyle w:val="VerbatimChar"/>
        </w:rPr>
        <w:t>sample_id</w:t>
      </w:r>
      <w:r>
        <w:t xml:space="preserve">, </w:t>
      </w:r>
      <w:r>
        <w:rPr>
          <w:rStyle w:val="VerbatimChar"/>
        </w:rPr>
        <w:t>latitude</w:t>
      </w:r>
      <w:r>
        <w:t xml:space="preserve">, </w:t>
      </w:r>
      <w:r>
        <w:rPr>
          <w:rStyle w:val="VerbatimChar"/>
        </w:rPr>
        <w:t>longitude</w:t>
      </w:r>
      <w:r>
        <w:t xml:space="preserve">, </w:t>
      </w:r>
      <w:r>
        <w:rPr>
          <w:rStyle w:val="VerbatimChar"/>
        </w:rPr>
        <w:t>vessel_navire</w:t>
      </w:r>
      <w:r>
        <w:t xml:space="preserve">, </w:t>
      </w:r>
      <w:r>
        <w:rPr>
          <w:rStyle w:val="VerbatimChar"/>
        </w:rPr>
        <w:t>station</w:t>
      </w:r>
      <w:r>
        <w:t xml:space="preserve">) and a separate </w:t>
      </w:r>
      <w:r>
        <w:rPr>
          <w:rStyle w:val="VerbatimChar"/>
        </w:rPr>
        <w:t>data_donnees.csv</w:t>
      </w:r>
      <w:r>
        <w:t xml:space="preserve"> file which contains the observed/measured data without repeating information unnecessarily and inflating file sizes (e.g. </w:t>
      </w:r>
      <w:r>
        <w:rPr>
          <w:rStyle w:val="VerbatimChar"/>
        </w:rPr>
        <w:t>sample_id</w:t>
      </w:r>
      <w:r>
        <w:t xml:space="preserve">, </w:t>
      </w:r>
      <w:r>
        <w:rPr>
          <w:rStyle w:val="VerbatimChar"/>
        </w:rPr>
        <w:t>depth_profondeur_m</w:t>
      </w:r>
      <w:r>
        <w:t xml:space="preserve">, </w:t>
      </w:r>
      <w:r>
        <w:rPr>
          <w:rStyle w:val="VerbatimChar"/>
        </w:rPr>
        <w:t>key</w:t>
      </w:r>
      <w:r>
        <w:t xml:space="preserve">, </w:t>
      </w:r>
      <w:r>
        <w:rPr>
          <w:rStyle w:val="VerbatimChar"/>
        </w:rPr>
        <w:t>value</w:t>
      </w:r>
      <w:r>
        <w:t>)</w:t>
      </w:r>
    </w:p>
    <w:p w14:paraId="177E2316" w14:textId="77777777" w:rsidR="00B406A0" w:rsidRDefault="00000000">
      <w:pPr>
        <w:pStyle w:val="Heading3"/>
      </w:pPr>
      <w:bookmarkStart w:id="12" w:name="geospatial-data"/>
      <w:r>
        <w:t>Geospatial data</w:t>
      </w:r>
      <w:bookmarkEnd w:id="12"/>
    </w:p>
    <w:p w14:paraId="5D14D004" w14:textId="77777777" w:rsidR="00B406A0" w:rsidRDefault="00000000">
      <w:pPr>
        <w:pStyle w:val="FirstParagraph"/>
      </w:pPr>
      <w:r>
        <w:t>If your dataset contains geospatial data (i.e. if you have data that can have geographic coordinates associated with it), you will need to have an ESRI REST service created for it. For the data owner, this is simply an online version of an ESRI arcMAP layer or project that is hosted on the DFO EDH servers for public access.</w:t>
      </w:r>
    </w:p>
    <w:p w14:paraId="027D1F2B" w14:textId="77777777" w:rsidR="00B406A0" w:rsidRDefault="00000000">
      <w:pPr>
        <w:pStyle w:val="Heading2"/>
      </w:pPr>
      <w:bookmarkStart w:id="13" w:name="data-dictionary-template"/>
      <w:r>
        <w:t>Data dictionary template</w:t>
      </w:r>
      <w:bookmarkEnd w:id="13"/>
    </w:p>
    <w:tbl>
      <w:tblPr>
        <w:tblStyle w:val="Table"/>
        <w:tblW w:w="5492" w:type="pct"/>
        <w:jc w:val="center"/>
        <w:tblLayout w:type="fixed"/>
        <w:tblLook w:val="07E0" w:firstRow="1" w:lastRow="1" w:firstColumn="1" w:lastColumn="1" w:noHBand="1" w:noVBand="1"/>
      </w:tblPr>
      <w:tblGrid>
        <w:gridCol w:w="2966"/>
        <w:gridCol w:w="2560"/>
        <w:gridCol w:w="2255"/>
        <w:gridCol w:w="2737"/>
      </w:tblGrid>
      <w:tr w:rsidR="00B406A0" w14:paraId="34874B12" w14:textId="77777777" w:rsidTr="00724B26">
        <w:trPr>
          <w:jc w:val="center"/>
        </w:trPr>
        <w:tc>
          <w:tcPr>
            <w:tcW w:w="1410" w:type="pct"/>
            <w:tcBorders>
              <w:bottom w:val="single" w:sz="0" w:space="0" w:color="auto"/>
            </w:tcBorders>
            <w:vAlign w:val="bottom"/>
          </w:tcPr>
          <w:p w14:paraId="152175D0" w14:textId="77777777" w:rsidR="00B406A0" w:rsidRDefault="00000000">
            <w:pPr>
              <w:pStyle w:val="Compact"/>
            </w:pPr>
            <w:r>
              <w:t xml:space="preserve">layer_couche </w:t>
            </w:r>
            <w:r>
              <w:rPr>
                <w:rStyle w:val="FootnoteReference"/>
              </w:rPr>
              <w:footnoteReference w:id="1"/>
            </w:r>
          </w:p>
        </w:tc>
        <w:tc>
          <w:tcPr>
            <w:tcW w:w="1217" w:type="pct"/>
            <w:tcBorders>
              <w:bottom w:val="single" w:sz="0" w:space="0" w:color="auto"/>
            </w:tcBorders>
            <w:vAlign w:val="bottom"/>
          </w:tcPr>
          <w:p w14:paraId="3FB16117" w14:textId="77777777" w:rsidR="00B406A0" w:rsidRDefault="00000000">
            <w:pPr>
              <w:pStyle w:val="Compact"/>
            </w:pPr>
            <w:r>
              <w:t>field_champ</w:t>
            </w:r>
          </w:p>
        </w:tc>
        <w:tc>
          <w:tcPr>
            <w:tcW w:w="1072" w:type="pct"/>
            <w:tcBorders>
              <w:bottom w:val="single" w:sz="0" w:space="0" w:color="auto"/>
            </w:tcBorders>
            <w:vAlign w:val="bottom"/>
          </w:tcPr>
          <w:p w14:paraId="12E68680" w14:textId="77777777" w:rsidR="00B406A0" w:rsidRDefault="00000000">
            <w:pPr>
              <w:pStyle w:val="Compact"/>
            </w:pPr>
            <w:r>
              <w:t>field_description</w:t>
            </w:r>
          </w:p>
        </w:tc>
        <w:tc>
          <w:tcPr>
            <w:tcW w:w="1301" w:type="pct"/>
            <w:tcBorders>
              <w:bottom w:val="single" w:sz="0" w:space="0" w:color="auto"/>
            </w:tcBorders>
            <w:vAlign w:val="bottom"/>
          </w:tcPr>
          <w:p w14:paraId="30C2997E" w14:textId="77777777" w:rsidR="00B406A0" w:rsidRDefault="00000000">
            <w:pPr>
              <w:pStyle w:val="Compact"/>
            </w:pPr>
            <w:r>
              <w:t>description_du_champ</w:t>
            </w:r>
          </w:p>
        </w:tc>
      </w:tr>
      <w:tr w:rsidR="00B406A0" w14:paraId="17FB8B5A" w14:textId="77777777" w:rsidTr="00724B26">
        <w:trPr>
          <w:jc w:val="center"/>
        </w:trPr>
        <w:tc>
          <w:tcPr>
            <w:tcW w:w="1410" w:type="pct"/>
          </w:tcPr>
          <w:p w14:paraId="4557B247" w14:textId="77777777" w:rsidR="00B406A0" w:rsidRDefault="00000000">
            <w:pPr>
              <w:pStyle w:val="Compact"/>
            </w:pPr>
            <w:r>
              <w:t>[ESRI REST Service layer name]</w:t>
            </w:r>
          </w:p>
        </w:tc>
        <w:tc>
          <w:tcPr>
            <w:tcW w:w="1217" w:type="pct"/>
          </w:tcPr>
          <w:p w14:paraId="505F253C" w14:textId="77777777" w:rsidR="00B406A0" w:rsidRDefault="00000000">
            <w:pPr>
              <w:pStyle w:val="Compact"/>
            </w:pPr>
            <w:r>
              <w:t>OBJECTID</w:t>
            </w:r>
          </w:p>
        </w:tc>
        <w:tc>
          <w:tcPr>
            <w:tcW w:w="1072" w:type="pct"/>
          </w:tcPr>
          <w:p w14:paraId="6D2447A9" w14:textId="77777777" w:rsidR="00B406A0" w:rsidRDefault="00000000">
            <w:pPr>
              <w:pStyle w:val="Compact"/>
            </w:pPr>
            <w:r>
              <w:t>ArcGIS Field</w:t>
            </w:r>
          </w:p>
        </w:tc>
        <w:tc>
          <w:tcPr>
            <w:tcW w:w="1301" w:type="pct"/>
          </w:tcPr>
          <w:p w14:paraId="23DE0892" w14:textId="77777777" w:rsidR="00B406A0" w:rsidRDefault="00000000">
            <w:pPr>
              <w:pStyle w:val="Compact"/>
            </w:pPr>
            <w:r>
              <w:t>Identifiant ArcGIS</w:t>
            </w:r>
          </w:p>
        </w:tc>
      </w:tr>
      <w:tr w:rsidR="00B406A0" w14:paraId="656EEAAE" w14:textId="77777777" w:rsidTr="00724B26">
        <w:trPr>
          <w:jc w:val="center"/>
        </w:trPr>
        <w:tc>
          <w:tcPr>
            <w:tcW w:w="1410" w:type="pct"/>
          </w:tcPr>
          <w:p w14:paraId="281DCC05" w14:textId="77777777" w:rsidR="00B406A0" w:rsidRDefault="00000000">
            <w:pPr>
              <w:pStyle w:val="Compact"/>
            </w:pPr>
            <w:r>
              <w:t>[ESRI REST Service layer name]</w:t>
            </w:r>
          </w:p>
        </w:tc>
        <w:tc>
          <w:tcPr>
            <w:tcW w:w="1217" w:type="pct"/>
          </w:tcPr>
          <w:p w14:paraId="1A28AADE" w14:textId="77777777" w:rsidR="00B406A0" w:rsidRDefault="00000000">
            <w:pPr>
              <w:pStyle w:val="Compact"/>
            </w:pPr>
            <w:r>
              <w:t>sample_id</w:t>
            </w:r>
          </w:p>
        </w:tc>
        <w:tc>
          <w:tcPr>
            <w:tcW w:w="1072" w:type="pct"/>
          </w:tcPr>
          <w:p w14:paraId="252FD254" w14:textId="77777777" w:rsidR="00B406A0" w:rsidRDefault="00000000">
            <w:pPr>
              <w:pStyle w:val="Compact"/>
            </w:pPr>
            <w:r>
              <w:t>ArcGIS Field</w:t>
            </w:r>
          </w:p>
        </w:tc>
        <w:tc>
          <w:tcPr>
            <w:tcW w:w="1301" w:type="pct"/>
          </w:tcPr>
          <w:p w14:paraId="36A4A587" w14:textId="77777777" w:rsidR="00B406A0" w:rsidRDefault="00000000">
            <w:pPr>
              <w:pStyle w:val="Compact"/>
            </w:pPr>
            <w:r>
              <w:t>Identifiant ArcGIS</w:t>
            </w:r>
          </w:p>
        </w:tc>
      </w:tr>
      <w:tr w:rsidR="00B406A0" w14:paraId="629E53F9" w14:textId="77777777" w:rsidTr="00724B26">
        <w:trPr>
          <w:jc w:val="center"/>
        </w:trPr>
        <w:tc>
          <w:tcPr>
            <w:tcW w:w="1410" w:type="pct"/>
          </w:tcPr>
          <w:p w14:paraId="6B2E0FB7" w14:textId="77777777" w:rsidR="00B406A0" w:rsidRDefault="00000000">
            <w:pPr>
              <w:pStyle w:val="Compact"/>
            </w:pPr>
            <w:r>
              <w:t>samples_echantillion.csv</w:t>
            </w:r>
          </w:p>
        </w:tc>
        <w:tc>
          <w:tcPr>
            <w:tcW w:w="1217" w:type="pct"/>
          </w:tcPr>
          <w:p w14:paraId="611DDF02" w14:textId="77777777" w:rsidR="00B406A0" w:rsidRDefault="00000000">
            <w:pPr>
              <w:pStyle w:val="Compact"/>
            </w:pPr>
            <w:r>
              <w:t>sample_id</w:t>
            </w:r>
          </w:p>
        </w:tc>
        <w:tc>
          <w:tcPr>
            <w:tcW w:w="1072" w:type="pct"/>
          </w:tcPr>
          <w:p w14:paraId="52012F8F" w14:textId="77777777" w:rsidR="00B406A0" w:rsidRDefault="00000000">
            <w:pPr>
              <w:pStyle w:val="Compact"/>
            </w:pPr>
            <w:r>
              <w:t>unique sample identifer, Primary Key</w:t>
            </w:r>
          </w:p>
        </w:tc>
        <w:tc>
          <w:tcPr>
            <w:tcW w:w="1301" w:type="pct"/>
          </w:tcPr>
          <w:p w14:paraId="128A6701" w14:textId="77777777" w:rsidR="00B406A0" w:rsidRDefault="00000000">
            <w:pPr>
              <w:pStyle w:val="Compact"/>
            </w:pPr>
            <w:r>
              <w:t>Identificateur unique de l’ensemble, Clé Primaire</w:t>
            </w:r>
          </w:p>
        </w:tc>
      </w:tr>
      <w:tr w:rsidR="00B406A0" w14:paraId="5488C90A" w14:textId="77777777" w:rsidTr="00724B26">
        <w:trPr>
          <w:jc w:val="center"/>
        </w:trPr>
        <w:tc>
          <w:tcPr>
            <w:tcW w:w="1410" w:type="pct"/>
          </w:tcPr>
          <w:p w14:paraId="6F0863A7" w14:textId="77777777" w:rsidR="00B406A0" w:rsidRDefault="00000000">
            <w:pPr>
              <w:pStyle w:val="Compact"/>
            </w:pPr>
            <w:r>
              <w:t>samples_echantillion.csv</w:t>
            </w:r>
          </w:p>
        </w:tc>
        <w:tc>
          <w:tcPr>
            <w:tcW w:w="1217" w:type="pct"/>
          </w:tcPr>
          <w:p w14:paraId="2FE3E299" w14:textId="77777777" w:rsidR="00B406A0" w:rsidRDefault="00000000">
            <w:pPr>
              <w:pStyle w:val="Compact"/>
            </w:pPr>
            <w:r>
              <w:t>latitude</w:t>
            </w:r>
          </w:p>
        </w:tc>
        <w:tc>
          <w:tcPr>
            <w:tcW w:w="1072" w:type="pct"/>
          </w:tcPr>
          <w:p w14:paraId="5478D4D5" w14:textId="77777777" w:rsidR="00B406A0" w:rsidRDefault="00000000">
            <w:pPr>
              <w:pStyle w:val="Compact"/>
            </w:pPr>
            <w:r>
              <w:t>Latitude in decimal degrees (dd.dddd WGS84)</w:t>
            </w:r>
          </w:p>
        </w:tc>
        <w:tc>
          <w:tcPr>
            <w:tcW w:w="1301" w:type="pct"/>
          </w:tcPr>
          <w:p w14:paraId="3A89D3A2" w14:textId="77777777" w:rsidR="00B406A0" w:rsidRDefault="00000000">
            <w:pPr>
              <w:pStyle w:val="Compact"/>
            </w:pPr>
            <w:r>
              <w:t>Latitude en degrés décimaux (dd.dddd WGS84)</w:t>
            </w:r>
          </w:p>
        </w:tc>
      </w:tr>
      <w:tr w:rsidR="00B406A0" w14:paraId="55218442" w14:textId="77777777" w:rsidTr="00724B26">
        <w:trPr>
          <w:jc w:val="center"/>
        </w:trPr>
        <w:tc>
          <w:tcPr>
            <w:tcW w:w="1410" w:type="pct"/>
          </w:tcPr>
          <w:p w14:paraId="1E9560A6" w14:textId="77777777" w:rsidR="00B406A0" w:rsidRDefault="00000000">
            <w:pPr>
              <w:pStyle w:val="Compact"/>
            </w:pPr>
            <w:r>
              <w:t>samples_echantillion.csv</w:t>
            </w:r>
          </w:p>
        </w:tc>
        <w:tc>
          <w:tcPr>
            <w:tcW w:w="1217" w:type="pct"/>
          </w:tcPr>
          <w:p w14:paraId="63A975E0" w14:textId="77777777" w:rsidR="00B406A0" w:rsidRDefault="00000000">
            <w:pPr>
              <w:pStyle w:val="Compact"/>
            </w:pPr>
            <w:r>
              <w:t>longitude</w:t>
            </w:r>
          </w:p>
        </w:tc>
        <w:tc>
          <w:tcPr>
            <w:tcW w:w="1072" w:type="pct"/>
          </w:tcPr>
          <w:p w14:paraId="771C0DB4" w14:textId="77777777" w:rsidR="00B406A0" w:rsidRDefault="00000000">
            <w:pPr>
              <w:pStyle w:val="Compact"/>
            </w:pPr>
            <w:r>
              <w:t>Longitude in decimal degrees (-ddd.dddd WGS84)</w:t>
            </w:r>
          </w:p>
        </w:tc>
        <w:tc>
          <w:tcPr>
            <w:tcW w:w="1301" w:type="pct"/>
          </w:tcPr>
          <w:p w14:paraId="0A46B1D9" w14:textId="77777777" w:rsidR="00B406A0" w:rsidRDefault="00000000">
            <w:pPr>
              <w:pStyle w:val="Compact"/>
            </w:pPr>
            <w:r>
              <w:t>Longitude en degrés décimaux (-ddd.dddd WGS84)</w:t>
            </w:r>
          </w:p>
        </w:tc>
      </w:tr>
      <w:tr w:rsidR="00B406A0" w14:paraId="03D732C1" w14:textId="77777777" w:rsidTr="00724B26">
        <w:trPr>
          <w:jc w:val="center"/>
        </w:trPr>
        <w:tc>
          <w:tcPr>
            <w:tcW w:w="1410" w:type="pct"/>
          </w:tcPr>
          <w:p w14:paraId="01DBBB30" w14:textId="77777777" w:rsidR="00B406A0" w:rsidRDefault="00000000">
            <w:pPr>
              <w:pStyle w:val="Compact"/>
            </w:pPr>
            <w:r>
              <w:t>samples_echantillion.csv</w:t>
            </w:r>
          </w:p>
        </w:tc>
        <w:tc>
          <w:tcPr>
            <w:tcW w:w="1217" w:type="pct"/>
          </w:tcPr>
          <w:p w14:paraId="65A8C06E" w14:textId="77777777" w:rsidR="00B406A0" w:rsidRDefault="00000000">
            <w:pPr>
              <w:pStyle w:val="Compact"/>
            </w:pPr>
            <w:r>
              <w:t>[…]</w:t>
            </w:r>
          </w:p>
        </w:tc>
        <w:tc>
          <w:tcPr>
            <w:tcW w:w="1072" w:type="pct"/>
          </w:tcPr>
          <w:p w14:paraId="15EB2B4F" w14:textId="77777777" w:rsidR="00B406A0" w:rsidRDefault="00000000">
            <w:pPr>
              <w:pStyle w:val="Compact"/>
            </w:pPr>
            <w:r>
              <w:t>[…]</w:t>
            </w:r>
          </w:p>
        </w:tc>
        <w:tc>
          <w:tcPr>
            <w:tcW w:w="1301" w:type="pct"/>
          </w:tcPr>
          <w:p w14:paraId="79E93D07" w14:textId="77777777" w:rsidR="00B406A0" w:rsidRDefault="00000000">
            <w:pPr>
              <w:pStyle w:val="Compact"/>
            </w:pPr>
            <w:r>
              <w:t>[…]</w:t>
            </w:r>
          </w:p>
        </w:tc>
      </w:tr>
      <w:tr w:rsidR="00B406A0" w14:paraId="111631BA" w14:textId="77777777" w:rsidTr="00724B26">
        <w:trPr>
          <w:jc w:val="center"/>
        </w:trPr>
        <w:tc>
          <w:tcPr>
            <w:tcW w:w="1410" w:type="pct"/>
          </w:tcPr>
          <w:p w14:paraId="71C2B74E" w14:textId="77777777" w:rsidR="00B406A0" w:rsidRDefault="00000000">
            <w:pPr>
              <w:pStyle w:val="Compact"/>
            </w:pPr>
            <w:r>
              <w:t>data_donnees.csv</w:t>
            </w:r>
          </w:p>
        </w:tc>
        <w:tc>
          <w:tcPr>
            <w:tcW w:w="1217" w:type="pct"/>
          </w:tcPr>
          <w:p w14:paraId="55FF1715" w14:textId="77777777" w:rsidR="00B406A0" w:rsidRDefault="00000000">
            <w:pPr>
              <w:pStyle w:val="Compact"/>
            </w:pPr>
            <w:r>
              <w:t>sample_id</w:t>
            </w:r>
          </w:p>
        </w:tc>
        <w:tc>
          <w:tcPr>
            <w:tcW w:w="1072" w:type="pct"/>
          </w:tcPr>
          <w:p w14:paraId="36256243" w14:textId="77777777" w:rsidR="00B406A0" w:rsidRDefault="00000000">
            <w:pPr>
              <w:pStyle w:val="Compact"/>
            </w:pPr>
            <w:r>
              <w:t>unique sample identifer, Foreign Key</w:t>
            </w:r>
          </w:p>
        </w:tc>
        <w:tc>
          <w:tcPr>
            <w:tcW w:w="1301" w:type="pct"/>
          </w:tcPr>
          <w:p w14:paraId="533771D1" w14:textId="77777777" w:rsidR="00B406A0" w:rsidRDefault="00000000">
            <w:pPr>
              <w:pStyle w:val="Compact"/>
            </w:pPr>
            <w:r>
              <w:t>Identificateur unique de l’ensemble, Clé étrangère</w:t>
            </w:r>
          </w:p>
        </w:tc>
      </w:tr>
      <w:tr w:rsidR="00B406A0" w14:paraId="4449E141" w14:textId="77777777" w:rsidTr="00724B26">
        <w:trPr>
          <w:jc w:val="center"/>
        </w:trPr>
        <w:tc>
          <w:tcPr>
            <w:tcW w:w="1410" w:type="pct"/>
          </w:tcPr>
          <w:p w14:paraId="1B7E5509" w14:textId="77777777" w:rsidR="00B406A0" w:rsidRDefault="00000000">
            <w:pPr>
              <w:pStyle w:val="Compact"/>
            </w:pPr>
            <w:r>
              <w:t>data_donnees.csv</w:t>
            </w:r>
          </w:p>
        </w:tc>
        <w:tc>
          <w:tcPr>
            <w:tcW w:w="1217" w:type="pct"/>
          </w:tcPr>
          <w:p w14:paraId="5890F10A" w14:textId="77777777" w:rsidR="00B406A0" w:rsidRDefault="00000000">
            <w:pPr>
              <w:pStyle w:val="Compact"/>
            </w:pPr>
            <w:r>
              <w:t>depth_profondeur_m</w:t>
            </w:r>
          </w:p>
        </w:tc>
        <w:tc>
          <w:tcPr>
            <w:tcW w:w="1072" w:type="pct"/>
          </w:tcPr>
          <w:p w14:paraId="4B7C045E" w14:textId="77777777" w:rsidR="00B406A0" w:rsidRDefault="00000000">
            <w:pPr>
              <w:pStyle w:val="Compact"/>
            </w:pPr>
            <w:r>
              <w:t>Vessel sounder depth in meters</w:t>
            </w:r>
          </w:p>
        </w:tc>
        <w:tc>
          <w:tcPr>
            <w:tcW w:w="1301" w:type="pct"/>
          </w:tcPr>
          <w:p w14:paraId="6FC06E06" w14:textId="77777777" w:rsidR="00B406A0" w:rsidRDefault="00000000">
            <w:pPr>
              <w:pStyle w:val="Compact"/>
            </w:pPr>
            <w:r>
              <w:t>Profondeur du sondeur du navire en mètres</w:t>
            </w:r>
          </w:p>
        </w:tc>
      </w:tr>
      <w:tr w:rsidR="00B406A0" w14:paraId="6227F0A6" w14:textId="77777777" w:rsidTr="00724B26">
        <w:trPr>
          <w:jc w:val="center"/>
        </w:trPr>
        <w:tc>
          <w:tcPr>
            <w:tcW w:w="1410" w:type="pct"/>
          </w:tcPr>
          <w:p w14:paraId="615344DE" w14:textId="77777777" w:rsidR="00B406A0" w:rsidRDefault="00000000">
            <w:pPr>
              <w:pStyle w:val="Compact"/>
            </w:pPr>
            <w:r>
              <w:t>data_donnees.csv</w:t>
            </w:r>
          </w:p>
        </w:tc>
        <w:tc>
          <w:tcPr>
            <w:tcW w:w="1217" w:type="pct"/>
          </w:tcPr>
          <w:p w14:paraId="5285D2B6" w14:textId="77777777" w:rsidR="00B406A0" w:rsidRDefault="00000000">
            <w:pPr>
              <w:pStyle w:val="Compact"/>
            </w:pPr>
            <w:r>
              <w:t>key</w:t>
            </w:r>
          </w:p>
        </w:tc>
        <w:tc>
          <w:tcPr>
            <w:tcW w:w="1072" w:type="pct"/>
          </w:tcPr>
          <w:p w14:paraId="72F176B1" w14:textId="77777777" w:rsidR="00B406A0" w:rsidRDefault="00000000">
            <w:pPr>
              <w:pStyle w:val="Compact"/>
            </w:pPr>
            <w:r>
              <w:t>Type of measurement (i.e. Temperature, salinity, Pressure)</w:t>
            </w:r>
          </w:p>
        </w:tc>
        <w:tc>
          <w:tcPr>
            <w:tcW w:w="1301" w:type="pct"/>
          </w:tcPr>
          <w:p w14:paraId="346357B1" w14:textId="77777777" w:rsidR="00B406A0" w:rsidRDefault="00000000">
            <w:pPr>
              <w:pStyle w:val="Compact"/>
            </w:pPr>
            <w:r>
              <w:t>Type de mesure (par exemple, température, salinité, pression)</w:t>
            </w:r>
          </w:p>
        </w:tc>
      </w:tr>
      <w:tr w:rsidR="00B406A0" w14:paraId="57594E6E" w14:textId="77777777" w:rsidTr="00724B26">
        <w:trPr>
          <w:jc w:val="center"/>
        </w:trPr>
        <w:tc>
          <w:tcPr>
            <w:tcW w:w="1410" w:type="pct"/>
          </w:tcPr>
          <w:p w14:paraId="3147F7DB" w14:textId="77777777" w:rsidR="00B406A0" w:rsidRDefault="00000000">
            <w:pPr>
              <w:pStyle w:val="Compact"/>
            </w:pPr>
            <w:r>
              <w:lastRenderedPageBreak/>
              <w:t>data_donnees.csv</w:t>
            </w:r>
          </w:p>
        </w:tc>
        <w:tc>
          <w:tcPr>
            <w:tcW w:w="1217" w:type="pct"/>
          </w:tcPr>
          <w:p w14:paraId="30FC6773" w14:textId="77777777" w:rsidR="00B406A0" w:rsidRDefault="00000000">
            <w:pPr>
              <w:pStyle w:val="Compact"/>
            </w:pPr>
            <w:r>
              <w:t>value</w:t>
            </w:r>
          </w:p>
        </w:tc>
        <w:tc>
          <w:tcPr>
            <w:tcW w:w="1072" w:type="pct"/>
          </w:tcPr>
          <w:p w14:paraId="5E1966EA" w14:textId="77777777" w:rsidR="00B406A0" w:rsidRDefault="00000000">
            <w:pPr>
              <w:pStyle w:val="Compact"/>
            </w:pPr>
            <w:r>
              <w:t>measurement value</w:t>
            </w:r>
          </w:p>
        </w:tc>
        <w:tc>
          <w:tcPr>
            <w:tcW w:w="1301" w:type="pct"/>
          </w:tcPr>
          <w:p w14:paraId="0F8E0B6F" w14:textId="77777777" w:rsidR="00B406A0" w:rsidRDefault="00000000">
            <w:pPr>
              <w:pStyle w:val="Compact"/>
            </w:pPr>
            <w:r>
              <w:t>Valeur de mesure</w:t>
            </w:r>
          </w:p>
        </w:tc>
      </w:tr>
    </w:tbl>
    <w:p w14:paraId="1822B924" w14:textId="77777777" w:rsidR="005F7146" w:rsidRDefault="005F7146"/>
    <w:sectPr w:rsidR="005F7146">
      <w:headerReference w:type="even" r:id="rId7"/>
      <w:headerReference w:type="default" r:id="rId8"/>
      <w:headerReference w:type="firs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43FCA4" w14:textId="77777777" w:rsidR="005F7146" w:rsidRDefault="005F7146">
      <w:pPr>
        <w:spacing w:after="0"/>
      </w:pPr>
      <w:r>
        <w:separator/>
      </w:r>
    </w:p>
  </w:endnote>
  <w:endnote w:type="continuationSeparator" w:id="0">
    <w:p w14:paraId="0DD86E87" w14:textId="77777777" w:rsidR="005F7146" w:rsidRDefault="005F714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20B0604020202020204"/>
    <w:charset w:val="00"/>
    <w:family w:val="swiss"/>
    <w:pitch w:val="variable"/>
    <w:sig w:usb0="E0002AFF" w:usb1="5000785B" w:usb2="00000000"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35765A" w14:textId="77777777" w:rsidR="005F7146" w:rsidRDefault="005F7146">
      <w:r>
        <w:separator/>
      </w:r>
    </w:p>
  </w:footnote>
  <w:footnote w:type="continuationSeparator" w:id="0">
    <w:p w14:paraId="6E571D5E" w14:textId="77777777" w:rsidR="005F7146" w:rsidRDefault="005F7146">
      <w:r>
        <w:continuationSeparator/>
      </w:r>
    </w:p>
  </w:footnote>
  <w:footnote w:id="1">
    <w:p w14:paraId="39168677" w14:textId="77777777" w:rsidR="00B406A0" w:rsidRDefault="00000000">
      <w:pPr>
        <w:pStyle w:val="FootnoteText"/>
      </w:pPr>
      <w:r>
        <w:rPr>
          <w:rStyle w:val="FootnoteReference"/>
        </w:rPr>
        <w:footnoteRef/>
      </w:r>
      <w:r>
        <w:t xml:space="preserve"> </w:t>
      </w:r>
      <w:r>
        <w:rPr>
          <w:rStyle w:val="VerbatimChar"/>
        </w:rPr>
        <w:t>layer_couche</w:t>
      </w:r>
      <w:r>
        <w:t xml:space="preserve"> should really be changed to something like </w:t>
      </w:r>
      <w:r>
        <w:rPr>
          <w:rStyle w:val="VerbatimChar"/>
        </w:rPr>
        <w:t>object_objet</w:t>
      </w:r>
      <w:r>
        <w:t xml:space="preserve"> as </w:t>
      </w:r>
      <w:r>
        <w:rPr>
          <w:rStyle w:val="VerbatimChar"/>
        </w:rPr>
        <w:t>layer_couche</w:t>
      </w:r>
      <w:r>
        <w:t xml:space="preserve"> refers to the ESRI REST service layers, and we’re using this for a more general objective.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BBAA5" w14:textId="77777777" w:rsidR="00724B26" w:rsidRDefault="00724B2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11C78" w14:textId="77777777" w:rsidR="00000000" w:rsidRDefault="00000000">
    <w:pPr>
      <w:pStyle w:val="Header"/>
    </w:pPr>
    <w:r>
      <w:rPr>
        <w:noProof/>
      </w:rPr>
      <w:drawing>
        <wp:anchor distT="0" distB="0" distL="114300" distR="114300" simplePos="0" relativeHeight="251659264" behindDoc="0" locked="0" layoutInCell="1" allowOverlap="1" wp14:anchorId="1C9BA382" wp14:editId="19DC7238">
          <wp:simplePos x="0" y="0"/>
          <wp:positionH relativeFrom="margin">
            <wp:posOffset>-476250</wp:posOffset>
          </wp:positionH>
          <wp:positionV relativeFrom="margin">
            <wp:posOffset>-692150</wp:posOffset>
          </wp:positionV>
          <wp:extent cx="3312675" cy="548640"/>
          <wp:effectExtent l="0" t="0" r="0" b="0"/>
          <wp:wrapTopAndBottom/>
          <wp:docPr id="2088863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12675" cy="54864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3C123" w14:textId="77777777" w:rsidR="00724B26" w:rsidRDefault="00724B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2B50EF5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8468FA0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B6FEDF4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71315DCA"/>
    <w:multiLevelType w:val="multilevel"/>
    <w:tmpl w:val="5052CE4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16cid:durableId="55249236">
    <w:abstractNumId w:val="1"/>
  </w:num>
  <w:num w:numId="2" w16cid:durableId="1273126684">
    <w:abstractNumId w:val="2"/>
  </w:num>
  <w:num w:numId="3" w16cid:durableId="913587574">
    <w:abstractNumId w:val="0"/>
  </w:num>
  <w:num w:numId="4" w16cid:durableId="1562131528">
    <w:abstractNumId w:val="0"/>
  </w:num>
  <w:num w:numId="5" w16cid:durableId="760183679">
    <w:abstractNumId w:val="0"/>
  </w:num>
  <w:num w:numId="6" w16cid:durableId="865211662">
    <w:abstractNumId w:val="0"/>
  </w:num>
  <w:num w:numId="7" w16cid:durableId="23127985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668404748">
    <w:abstractNumId w:val="0"/>
  </w:num>
  <w:num w:numId="9" w16cid:durableId="15864508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5F7146"/>
    <w:rsid w:val="00724B26"/>
    <w:rsid w:val="00784D58"/>
    <w:rsid w:val="008D6863"/>
    <w:rsid w:val="00B406A0"/>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B4146"/>
  <w15:docId w15:val="{B7C38CF5-D014-4B64-AAC9-F962977C1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6125AB"/>
    <w:pPr>
      <w:keepNext/>
      <w:keepLines/>
      <w:pBdr>
        <w:bottom w:val="single" w:sz="8" w:space="1" w:color="000000" w:themeColor="text1"/>
      </w:pBdr>
      <w:spacing w:before="480" w:after="0"/>
      <w:outlineLvl w:val="0"/>
    </w:pPr>
    <w:rPr>
      <w:rFonts w:asciiTheme="majorHAnsi" w:eastAsiaTheme="majorEastAsia" w:hAnsiTheme="majorHAnsi" w:cstheme="majorBidi"/>
      <w:b/>
      <w:bCs/>
      <w:sz w:val="32"/>
      <w:szCs w:val="32"/>
    </w:rPr>
  </w:style>
  <w:style w:type="paragraph" w:styleId="Heading2">
    <w:name w:val="heading 2"/>
    <w:basedOn w:val="Normal"/>
    <w:next w:val="BodyText"/>
    <w:uiPriority w:val="9"/>
    <w:unhideWhenUsed/>
    <w:qFormat/>
    <w:rsid w:val="006125AB"/>
    <w:pPr>
      <w:keepNext/>
      <w:keepLines/>
      <w:pBdr>
        <w:bottom w:val="single" w:sz="4" w:space="1" w:color="auto"/>
      </w:pBdr>
      <w:spacing w:before="200" w:after="0"/>
      <w:outlineLvl w:val="1"/>
    </w:pPr>
    <w:rPr>
      <w:rFonts w:asciiTheme="majorHAnsi" w:eastAsiaTheme="majorEastAsia" w:hAnsiTheme="majorHAnsi" w:cstheme="majorBidi"/>
      <w:b/>
      <w:bCs/>
      <w:color w:val="000000" w:themeColor="text1"/>
      <w:sz w:val="28"/>
      <w:szCs w:val="28"/>
    </w:rPr>
  </w:style>
  <w:style w:type="paragraph" w:styleId="Heading3">
    <w:name w:val="heading 3"/>
    <w:basedOn w:val="Normal"/>
    <w:next w:val="BodyText"/>
    <w:uiPriority w:val="9"/>
    <w:unhideWhenUsed/>
    <w:qFormat/>
    <w:rsid w:val="006125AB"/>
    <w:pPr>
      <w:keepNext/>
      <w:keepLines/>
      <w:pBdr>
        <w:bottom w:val="single" w:sz="2" w:space="1" w:color="auto"/>
      </w:pBd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BodyText"/>
    <w:uiPriority w:val="9"/>
    <w:unhideWhenUsed/>
    <w:qFormat/>
    <w:rsid w:val="006125AB"/>
    <w:pPr>
      <w:keepNext/>
      <w:keepLines/>
      <w:spacing w:before="200" w:after="0"/>
      <w:outlineLvl w:val="3"/>
    </w:pPr>
    <w:rPr>
      <w:rFonts w:asciiTheme="majorHAnsi" w:eastAsiaTheme="majorEastAsia" w:hAnsiTheme="majorHAnsi" w:cstheme="majorBidi"/>
      <w:bCs/>
      <w:i/>
      <w:color w:val="000000" w:themeColor="text1"/>
    </w:rPr>
  </w:style>
  <w:style w:type="paragraph" w:styleId="Heading5">
    <w:name w:val="heading 5"/>
    <w:basedOn w:val="Normal"/>
    <w:next w:val="BodyText"/>
    <w:uiPriority w:val="9"/>
    <w:unhideWhenUsed/>
    <w:qFormat/>
    <w:rsid w:val="006125AB"/>
    <w:pPr>
      <w:keepNext/>
      <w:keepLines/>
      <w:spacing w:before="200" w:after="0"/>
      <w:outlineLvl w:val="4"/>
    </w:pPr>
    <w:rPr>
      <w:rFonts w:asciiTheme="majorHAnsi" w:eastAsiaTheme="majorEastAsia" w:hAnsiTheme="majorHAnsi" w:cstheme="majorBidi"/>
      <w:iCs/>
      <w:color w:val="000000" w:themeColor="text1"/>
    </w:rPr>
  </w:style>
  <w:style w:type="paragraph" w:styleId="Heading6">
    <w:name w:val="heading 6"/>
    <w:basedOn w:val="Normal"/>
    <w:next w:val="BodyText"/>
    <w:uiPriority w:val="9"/>
    <w:unhideWhenUsed/>
    <w:qFormat/>
    <w:rsid w:val="006125AB"/>
    <w:pPr>
      <w:keepNext/>
      <w:keepLines/>
      <w:spacing w:before="200" w:after="0"/>
      <w:outlineLvl w:val="5"/>
    </w:pPr>
    <w:rPr>
      <w:rFonts w:asciiTheme="majorHAnsi" w:eastAsiaTheme="majorEastAsia" w:hAnsiTheme="majorHAnsi" w:cstheme="majorBidi"/>
      <w:color w:val="000000" w:themeColor="text1"/>
    </w:rPr>
  </w:style>
  <w:style w:type="paragraph" w:styleId="Heading7">
    <w:name w:val="heading 7"/>
    <w:basedOn w:val="Normal"/>
    <w:next w:val="BodyText"/>
    <w:uiPriority w:val="9"/>
    <w:unhideWhenUsed/>
    <w:qFormat/>
    <w:rsid w:val="006125AB"/>
    <w:pPr>
      <w:keepNext/>
      <w:keepLines/>
      <w:spacing w:before="200" w:after="0"/>
      <w:outlineLvl w:val="6"/>
    </w:pPr>
    <w:rPr>
      <w:rFonts w:asciiTheme="majorHAnsi" w:eastAsiaTheme="majorEastAsia" w:hAnsiTheme="majorHAnsi" w:cstheme="majorBidi"/>
      <w:color w:val="000000" w:themeColor="text1"/>
    </w:rPr>
  </w:style>
  <w:style w:type="paragraph" w:styleId="Heading8">
    <w:name w:val="heading 8"/>
    <w:basedOn w:val="Normal"/>
    <w:next w:val="BodyText"/>
    <w:uiPriority w:val="9"/>
    <w:unhideWhenUsed/>
    <w:qFormat/>
    <w:rsid w:val="006125AB"/>
    <w:pPr>
      <w:keepNext/>
      <w:keepLines/>
      <w:spacing w:before="200" w:after="0"/>
      <w:outlineLvl w:val="7"/>
    </w:pPr>
    <w:rPr>
      <w:rFonts w:asciiTheme="majorHAnsi" w:eastAsiaTheme="majorEastAsia" w:hAnsiTheme="majorHAnsi" w:cstheme="majorBidi"/>
      <w:color w:val="000000" w:themeColor="text1"/>
    </w:rPr>
  </w:style>
  <w:style w:type="paragraph" w:styleId="Heading9">
    <w:name w:val="heading 9"/>
    <w:basedOn w:val="Normal"/>
    <w:next w:val="BodyText"/>
    <w:uiPriority w:val="9"/>
    <w:unhideWhenUsed/>
    <w:qFormat/>
    <w:rsid w:val="006125AB"/>
    <w:pPr>
      <w:keepNext/>
      <w:keepLines/>
      <w:spacing w:before="200" w:after="0"/>
      <w:outlineLvl w:val="8"/>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4C6C3A"/>
    <w:pPr>
      <w:keepNext/>
      <w:keepLines/>
      <w:spacing w:before="480" w:after="240"/>
      <w:jc w:val="center"/>
    </w:pPr>
    <w:rPr>
      <w:rFonts w:asciiTheme="majorHAnsi" w:eastAsiaTheme="majorEastAsia" w:hAnsiTheme="majorHAnsi" w:cstheme="majorBidi"/>
      <w:b/>
      <w:bCs/>
      <w:sz w:val="36"/>
      <w:szCs w:val="36"/>
    </w:rPr>
  </w:style>
  <w:style w:type="paragraph" w:styleId="Subtitle">
    <w:name w:val="Subtitle"/>
    <w:basedOn w:val="Title"/>
    <w:next w:val="BodyText"/>
    <w:qFormat/>
    <w:rsid w:val="004C6C3A"/>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840266"/>
    <w:pPr>
      <w:pBdr>
        <w:top w:val="single" w:sz="4" w:space="12" w:color="DDDDDD" w:themeColor="accent1"/>
        <w:left w:val="single" w:sz="4" w:space="12" w:color="DDDDDD" w:themeColor="accent1"/>
        <w:bottom w:val="single" w:sz="4" w:space="12" w:color="DDDDDD" w:themeColor="accent1"/>
        <w:right w:val="single" w:sz="4" w:space="12" w:color="DDDDDD" w:themeColor="accent1"/>
      </w:pBdr>
      <w:shd w:val="clear" w:color="auto" w:fill="DDDDDD" w:themeFill="accent1"/>
      <w:spacing w:before="100" w:after="100"/>
      <w:ind w:left="720" w:right="72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sid w:val="004C6C3A"/>
    <w:rPr>
      <w:color w:val="0000EE"/>
    </w:rPr>
  </w:style>
  <w:style w:type="paragraph" w:styleId="TOCHeading">
    <w:name w:val="TOC Heading"/>
    <w:basedOn w:val="Heading1"/>
    <w:next w:val="BodyText"/>
    <w:uiPriority w:val="39"/>
    <w:unhideWhenUsed/>
    <w:qFormat/>
    <w:pPr>
      <w:spacing w:before="240" w:line="259" w:lineRule="auto"/>
      <w:outlineLvl w:val="9"/>
    </w:pPr>
    <w:rPr>
      <w:b w:val="0"/>
      <w:bCs w:val="0"/>
      <w:color w:val="A5A5A5" w:themeColor="accent1" w:themeShade="BF"/>
    </w:rPr>
  </w:style>
  <w:style w:type="paragraph" w:styleId="Header">
    <w:name w:val="header"/>
    <w:basedOn w:val="Normal"/>
    <w:link w:val="HeaderChar"/>
    <w:rsid w:val="006125AB"/>
    <w:pPr>
      <w:tabs>
        <w:tab w:val="center" w:pos="4680"/>
        <w:tab w:val="right" w:pos="9360"/>
      </w:tabs>
      <w:spacing w:after="0"/>
    </w:pPr>
  </w:style>
  <w:style w:type="character" w:customStyle="1" w:styleId="HeaderChar">
    <w:name w:val="Header Char"/>
    <w:basedOn w:val="DefaultParagraphFont"/>
    <w:link w:val="Header"/>
    <w:rsid w:val="006125AB"/>
  </w:style>
  <w:style w:type="paragraph" w:styleId="Footer">
    <w:name w:val="footer"/>
    <w:basedOn w:val="Normal"/>
    <w:link w:val="FooterChar"/>
    <w:rsid w:val="00782987"/>
    <w:pPr>
      <w:tabs>
        <w:tab w:val="center" w:pos="4680"/>
        <w:tab w:val="right" w:pos="9360"/>
      </w:tabs>
      <w:spacing w:after="0"/>
    </w:pPr>
  </w:style>
  <w:style w:type="character" w:customStyle="1" w:styleId="FooterChar">
    <w:name w:val="Footer Char"/>
    <w:basedOn w:val="DefaultParagraphFont"/>
    <w:link w:val="Footer"/>
    <w:rsid w:val="00782987"/>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Helvetica">
      <a:majorFont>
        <a:latin typeface="Helvetica"/>
        <a:ea typeface=""/>
        <a:cs typeface=""/>
      </a:majorFont>
      <a:minorFont>
        <a:latin typeface="Helvetic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5</Pages>
  <Words>1123</Words>
  <Characters>6404</Characters>
  <Application>Microsoft Office Word</Application>
  <DocSecurity>0</DocSecurity>
  <Lines>53</Lines>
  <Paragraphs>15</Paragraphs>
  <ScaleCrop>false</ScaleCrop>
  <Company>DFO MPO</Company>
  <LinksUpToDate>false</LinksUpToDate>
  <CharactersWithSpaces>7512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Kraska, Peter (DFO/MPO)</cp:lastModifiedBy>
  <cp:revision>2</cp:revision>
  <dcterms:created xsi:type="dcterms:W3CDTF">2025-07-29T10:52:00Z</dcterms:created>
  <dcterms:modified xsi:type="dcterms:W3CDTF">2025-07-29T10:54:00Z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e6cdb53-fd15-486d-84de-c510e3a62203_Enabled">
    <vt:lpwstr>true</vt:lpwstr>
  </property>
  <property fmtid="{D5CDD505-2E9C-101B-9397-08002B2CF9AE}" pid="3" name="MSIP_Label_4e6cdb53-fd15-486d-84de-c510e3a62203_SetDate">
    <vt:lpwstr>2025-07-29T10:54:08Z</vt:lpwstr>
  </property>
  <property fmtid="{D5CDD505-2E9C-101B-9397-08002B2CF9AE}" pid="4" name="MSIP_Label_4e6cdb53-fd15-486d-84de-c510e3a62203_Method">
    <vt:lpwstr>Standard</vt:lpwstr>
  </property>
  <property fmtid="{D5CDD505-2E9C-101B-9397-08002B2CF9AE}" pid="5" name="MSIP_Label_4e6cdb53-fd15-486d-84de-c510e3a62203_Name">
    <vt:lpwstr>UNCLASSIFIED - NON-CLASSIFIÉ</vt:lpwstr>
  </property>
  <property fmtid="{D5CDD505-2E9C-101B-9397-08002B2CF9AE}" pid="6" name="MSIP_Label_4e6cdb53-fd15-486d-84de-c510e3a62203_SiteId">
    <vt:lpwstr>1594fdae-a1d9-4405-915d-011467234338</vt:lpwstr>
  </property>
  <property fmtid="{D5CDD505-2E9C-101B-9397-08002B2CF9AE}" pid="7" name="MSIP_Label_4e6cdb53-fd15-486d-84de-c510e3a62203_ActionId">
    <vt:lpwstr>95a610df-b49c-4dc8-9382-2a43db290d87</vt:lpwstr>
  </property>
  <property fmtid="{D5CDD505-2E9C-101B-9397-08002B2CF9AE}" pid="8" name="MSIP_Label_4e6cdb53-fd15-486d-84de-c510e3a62203_ContentBits">
    <vt:lpwstr>1</vt:lpwstr>
  </property>
</Properties>
</file>