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Ericsson Ottawa’s in-kind contribution will be substantial. The main point of contact will be &lt;Chris’s title&gt; Griffiths’s. Engineers on Griffiths’s team will have to introduce the research team, especially the onsite masters student, to the test and development processes. They will also help the masters student to extract appropriate attributes and interpret them in context.  Rigby and Rahman will visit Ericsson at least twice a month to meet with Griffiths’s team and to help the masters student with data mining and modeling. Further, McKenna, &lt;insert Gary’s title&gt; will help in evaluating the results and ensuring that they have an impact on Ericsson’s continuous integration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 the six month period of the grant, we expect the teams to contribute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Griffiths’s team: hours and approximate dollars</w:t>
      </w:r>
    </w:p>
    <w:p w:rsidR="00000000" w:rsidDel="00000000" w:rsidP="00000000" w:rsidRDefault="00000000" w:rsidRPr="00000000">
      <w:pPr>
        <w:contextualSpacing w:val="0"/>
      </w:pPr>
      <w:r w:rsidDel="00000000" w:rsidR="00000000" w:rsidRPr="00000000">
        <w:rPr>
          <w:rtl w:val="0"/>
        </w:rPr>
        <w:t xml:space="preserve">McKenna’s team: hours and approximate dollars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