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DC15A" w14:textId="6E0402D5" w:rsidR="008B5C4B" w:rsidRPr="00E32736" w:rsidRDefault="008B5C4B" w:rsidP="00E32736">
      <w:pPr>
        <w:jc w:val="center"/>
        <w:rPr>
          <w:rFonts w:ascii="Baskerville Old Face" w:hAnsi="Baskerville Old Face"/>
          <w:b/>
          <w:bCs/>
          <w:sz w:val="96"/>
          <w:szCs w:val="96"/>
        </w:rPr>
      </w:pPr>
      <w:r w:rsidRPr="00E32736">
        <w:rPr>
          <w:rFonts w:ascii="Baskerville Old Face" w:hAnsi="Baskerville Old Face"/>
          <w:b/>
          <w:bCs/>
          <w:sz w:val="96"/>
          <w:szCs w:val="96"/>
        </w:rPr>
        <w:t xml:space="preserve">Livrable </w:t>
      </w:r>
      <w:r w:rsidRPr="00E32736">
        <w:rPr>
          <w:rFonts w:ascii="Baskerville Old Face" w:hAnsi="Baskerville Old Face"/>
          <w:b/>
          <w:bCs/>
          <w:sz w:val="96"/>
          <w:szCs w:val="96"/>
        </w:rPr>
        <w:t>2</w:t>
      </w:r>
    </w:p>
    <w:p w14:paraId="5EDD3858" w14:textId="7C2DA241" w:rsidR="00121A2A" w:rsidRPr="00E32736" w:rsidRDefault="008B5C4B" w:rsidP="00E32736">
      <w:pPr>
        <w:jc w:val="center"/>
        <w:rPr>
          <w:rFonts w:ascii="Baskerville Old Face" w:hAnsi="Baskerville Old Face"/>
          <w:b/>
          <w:bCs/>
          <w:sz w:val="72"/>
          <w:szCs w:val="72"/>
        </w:rPr>
      </w:pPr>
      <w:r w:rsidRPr="00E32736">
        <w:rPr>
          <w:rFonts w:ascii="Baskerville Old Face" w:hAnsi="Baskerville Old Face"/>
          <w:b/>
          <w:bCs/>
          <w:sz w:val="72"/>
          <w:szCs w:val="72"/>
        </w:rPr>
        <w:t>Bibliographie</w:t>
      </w:r>
    </w:p>
    <w:p w14:paraId="4883D773" w14:textId="77777777" w:rsidR="008B5C4B" w:rsidRDefault="008B5C4B" w:rsidP="00F71BA3"/>
    <w:p w14:paraId="32D70AB0" w14:textId="5B6AE153" w:rsidR="008B5C4B" w:rsidRDefault="008B5C4B" w:rsidP="00F71BA3">
      <w:r>
        <w:rPr>
          <w:noProof/>
        </w:rPr>
        <w:drawing>
          <wp:inline distT="0" distB="0" distL="0" distR="0" wp14:anchorId="03159493" wp14:editId="67417F43">
            <wp:extent cx="5760720" cy="3836670"/>
            <wp:effectExtent l="0" t="0" r="0" b="0"/>
            <wp:docPr id="1355178963" name="Image 1" descr="10 règles à connaitre concernant la bibliographie d’un mémo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règles à connaitre concernant la bibliographie d’un mémoi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p>
    <w:p w14:paraId="7EC1D5C7" w14:textId="77777777" w:rsidR="008B5C4B" w:rsidRDefault="008B5C4B" w:rsidP="00F71BA3"/>
    <w:p w14:paraId="6D333D4F" w14:textId="77777777" w:rsidR="008B5C4B" w:rsidRDefault="008B5C4B" w:rsidP="00F71BA3"/>
    <w:p w14:paraId="61C3F004" w14:textId="77777777" w:rsidR="008B5C4B" w:rsidRPr="00353839" w:rsidRDefault="008B5C4B" w:rsidP="00E32736">
      <w:pPr>
        <w:jc w:val="center"/>
      </w:pPr>
      <w:r w:rsidRPr="00353839">
        <w:t xml:space="preserve">Rédigé par </w:t>
      </w:r>
      <w:r w:rsidRPr="00E32736">
        <w:rPr>
          <w:b/>
          <w:bCs/>
        </w:rPr>
        <w:t>BEROUD Dylan</w:t>
      </w:r>
      <w:r w:rsidRPr="00353839">
        <w:t xml:space="preserve">, </w:t>
      </w:r>
      <w:r w:rsidRPr="00E32736">
        <w:rPr>
          <w:b/>
          <w:bCs/>
        </w:rPr>
        <w:t>REPELLIN Benjamin</w:t>
      </w:r>
      <w:r>
        <w:t xml:space="preserve"> &amp;</w:t>
      </w:r>
      <w:r w:rsidRPr="00353839">
        <w:t xml:space="preserve"> </w:t>
      </w:r>
      <w:r w:rsidRPr="00E32736">
        <w:rPr>
          <w:b/>
          <w:bCs/>
        </w:rPr>
        <w:t>SERRE Loïc</w:t>
      </w:r>
    </w:p>
    <w:p w14:paraId="34DBAE15" w14:textId="7DCF0625" w:rsidR="008B5C4B" w:rsidRPr="00E32736" w:rsidRDefault="008B5C4B" w:rsidP="00E32736">
      <w:pPr>
        <w:jc w:val="center"/>
        <w:rPr>
          <w:i/>
          <w:iCs/>
        </w:rPr>
      </w:pPr>
      <w:r w:rsidRPr="00E32736">
        <w:rPr>
          <w:i/>
          <w:iCs/>
        </w:rPr>
        <w:t>08</w:t>
      </w:r>
      <w:r w:rsidRPr="00E32736">
        <w:rPr>
          <w:i/>
          <w:iCs/>
        </w:rPr>
        <w:t>/0</w:t>
      </w:r>
      <w:r w:rsidRPr="00E32736">
        <w:rPr>
          <w:i/>
          <w:iCs/>
        </w:rPr>
        <w:t>4</w:t>
      </w:r>
      <w:r w:rsidRPr="00E32736">
        <w:rPr>
          <w:i/>
          <w:iCs/>
        </w:rPr>
        <w:t>/2026</w:t>
      </w:r>
    </w:p>
    <w:p w14:paraId="6AB2334B" w14:textId="77777777" w:rsidR="008B5C4B" w:rsidRDefault="008B5C4B" w:rsidP="00F71BA3"/>
    <w:p w14:paraId="5166B204" w14:textId="77777777" w:rsidR="008B5C4B" w:rsidRDefault="008B5C4B" w:rsidP="00F71BA3">
      <w:r>
        <w:rPr>
          <w:noProof/>
        </w:rPr>
        <w:drawing>
          <wp:anchor distT="0" distB="0" distL="114300" distR="114300" simplePos="0" relativeHeight="251659264" behindDoc="0" locked="0" layoutInCell="1" allowOverlap="1" wp14:anchorId="1F98E0C2" wp14:editId="46F3463F">
            <wp:simplePos x="0" y="0"/>
            <wp:positionH relativeFrom="margin">
              <wp:align>right</wp:align>
            </wp:positionH>
            <wp:positionV relativeFrom="paragraph">
              <wp:posOffset>17145</wp:posOffset>
            </wp:positionV>
            <wp:extent cx="906780" cy="906780"/>
            <wp:effectExtent l="0" t="0" r="7620" b="7620"/>
            <wp:wrapSquare wrapText="bothSides"/>
            <wp:docPr id="1986156953" name="Image 3" descr="logo C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CES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anchor>
        </w:drawing>
      </w:r>
      <w:r>
        <w:tab/>
      </w:r>
      <w:r>
        <w:tab/>
      </w:r>
      <w:r>
        <w:tab/>
      </w:r>
      <w:r>
        <w:tab/>
      </w:r>
      <w:r>
        <w:tab/>
      </w:r>
    </w:p>
    <w:p w14:paraId="16255FC0" w14:textId="5EEAC660" w:rsidR="00F71BA3" w:rsidRDefault="008B5C4B" w:rsidP="00C24E93">
      <w:pPr>
        <w:pStyle w:val="Titre1"/>
        <w:rPr>
          <w:b w:val="0"/>
          <w:bCs w:val="0"/>
        </w:rPr>
      </w:pPr>
      <w:r>
        <w:br w:type="page"/>
      </w:r>
    </w:p>
    <w:p w14:paraId="3048EBF1" w14:textId="08C03CE8" w:rsidR="008B5C4B" w:rsidRDefault="00F71BA3" w:rsidP="00F71BA3">
      <w:pPr>
        <w:pStyle w:val="Titre1"/>
      </w:pPr>
      <w:r>
        <w:lastRenderedPageBreak/>
        <w:t>Introduction</w:t>
      </w:r>
    </w:p>
    <w:p w14:paraId="195B17F9" w14:textId="77777777" w:rsidR="00F71BA3" w:rsidRDefault="00F71BA3" w:rsidP="00F71BA3"/>
    <w:p w14:paraId="3EBA558B" w14:textId="05AA1AA8" w:rsidR="00F71BA3" w:rsidRDefault="00F71BA3" w:rsidP="00F71BA3">
      <w:r>
        <w:tab/>
      </w:r>
      <w:r w:rsidRPr="00F71BA3">
        <w:t xml:space="preserve">Notre société CesIA, experte dans la création de modèle prédictif depuis maintenant 15 ans, </w:t>
      </w:r>
      <w:r>
        <w:t>a nécessité la lecture de plusieurs ressources pour la mise en œuvre du projet.</w:t>
      </w:r>
      <w:r w:rsidR="00897421">
        <w:t xml:space="preserve"> </w:t>
      </w:r>
      <w:r w:rsidR="00A35DC6">
        <w:t>Ces ressources sont organisées par thématique. Pour chacune d’elle, une annotation précise son rôle dans le projet. Les sources sont librement accessibles ou publiées sous licence académique ouverte, sauf mention contraire.</w:t>
      </w:r>
    </w:p>
    <w:p w14:paraId="3DFA7A74" w14:textId="26F39024" w:rsidR="00C24E93" w:rsidRDefault="00C24E93" w:rsidP="00C24E93">
      <w:pPr>
        <w:jc w:val="left"/>
      </w:pPr>
    </w:p>
    <w:p w14:paraId="30022139" w14:textId="15AEA79C" w:rsidR="00C24E93" w:rsidRDefault="00C24E93" w:rsidP="00C24E93">
      <w:pPr>
        <w:pStyle w:val="Titre1"/>
      </w:pPr>
      <w:r>
        <w:t>Liste des Ressources</w:t>
      </w:r>
    </w:p>
    <w:p w14:paraId="66D4D169" w14:textId="77777777" w:rsidR="00B5352A" w:rsidRPr="00B5352A" w:rsidRDefault="00B5352A" w:rsidP="00B5352A"/>
    <w:tbl>
      <w:tblPr>
        <w:tblStyle w:val="Grilledutableau"/>
        <w:tblW w:w="9356" w:type="dxa"/>
        <w:tblInd w:w="-147" w:type="dxa"/>
        <w:tblLayout w:type="fixed"/>
        <w:tblLook w:val="04A0" w:firstRow="1" w:lastRow="0" w:firstColumn="1" w:lastColumn="0" w:noHBand="0" w:noVBand="1"/>
      </w:tblPr>
      <w:tblGrid>
        <w:gridCol w:w="1077"/>
        <w:gridCol w:w="1759"/>
        <w:gridCol w:w="1701"/>
        <w:gridCol w:w="4819"/>
      </w:tblGrid>
      <w:tr w:rsidR="00C24E93" w14:paraId="2545FE38" w14:textId="77777777" w:rsidTr="00B5352A">
        <w:trPr>
          <w:trHeight w:val="580"/>
        </w:trPr>
        <w:tc>
          <w:tcPr>
            <w:tcW w:w="1077" w:type="dxa"/>
          </w:tcPr>
          <w:p w14:paraId="4FB20ED8" w14:textId="7A4A9204" w:rsidR="00C24E93" w:rsidRPr="00B5352A" w:rsidRDefault="00C24E93" w:rsidP="00C24E93">
            <w:pPr>
              <w:jc w:val="center"/>
              <w:rPr>
                <w:b/>
                <w:bCs/>
              </w:rPr>
            </w:pPr>
            <w:r w:rsidRPr="00B5352A">
              <w:rPr>
                <w:b/>
                <w:bCs/>
              </w:rPr>
              <w:t>Type</w:t>
            </w:r>
          </w:p>
        </w:tc>
        <w:tc>
          <w:tcPr>
            <w:tcW w:w="1759" w:type="dxa"/>
          </w:tcPr>
          <w:p w14:paraId="7CF05127" w14:textId="47DB1A11" w:rsidR="00C24E93" w:rsidRPr="00B5352A" w:rsidRDefault="00C24E93" w:rsidP="00C24E93">
            <w:pPr>
              <w:jc w:val="center"/>
              <w:rPr>
                <w:b/>
                <w:bCs/>
              </w:rPr>
            </w:pPr>
            <w:r w:rsidRPr="00B5352A">
              <w:rPr>
                <w:b/>
                <w:bCs/>
              </w:rPr>
              <w:t>Auteur &amp; Date</w:t>
            </w:r>
          </w:p>
        </w:tc>
        <w:tc>
          <w:tcPr>
            <w:tcW w:w="1701" w:type="dxa"/>
          </w:tcPr>
          <w:p w14:paraId="2A663975" w14:textId="604B3680" w:rsidR="00C24E93" w:rsidRPr="00B5352A" w:rsidRDefault="00C24E93" w:rsidP="00C24E93">
            <w:pPr>
              <w:jc w:val="center"/>
              <w:rPr>
                <w:b/>
                <w:bCs/>
              </w:rPr>
            </w:pPr>
            <w:r w:rsidRPr="00B5352A">
              <w:rPr>
                <w:b/>
                <w:bCs/>
              </w:rPr>
              <w:t>Titre</w:t>
            </w:r>
          </w:p>
        </w:tc>
        <w:tc>
          <w:tcPr>
            <w:tcW w:w="4819" w:type="dxa"/>
          </w:tcPr>
          <w:p w14:paraId="407D62D9" w14:textId="32A1EF55" w:rsidR="00C24E93" w:rsidRPr="00B5352A" w:rsidRDefault="00C24E93" w:rsidP="00C24E93">
            <w:pPr>
              <w:jc w:val="center"/>
              <w:rPr>
                <w:b/>
                <w:bCs/>
              </w:rPr>
            </w:pPr>
            <w:r w:rsidRPr="00B5352A">
              <w:rPr>
                <w:b/>
                <w:bCs/>
              </w:rPr>
              <w:t>Description</w:t>
            </w:r>
          </w:p>
        </w:tc>
      </w:tr>
      <w:tr w:rsidR="00C24E93" w14:paraId="79BFAEF3" w14:textId="77777777" w:rsidTr="00790473">
        <w:trPr>
          <w:trHeight w:val="903"/>
        </w:trPr>
        <w:tc>
          <w:tcPr>
            <w:tcW w:w="1077" w:type="dxa"/>
          </w:tcPr>
          <w:p w14:paraId="12CD8B5C" w14:textId="47259C4E" w:rsidR="00C24E93" w:rsidRDefault="00790473" w:rsidP="00C24E93">
            <w:pPr>
              <w:jc w:val="center"/>
            </w:pPr>
            <w:r>
              <w:t>Page web</w:t>
            </w:r>
          </w:p>
        </w:tc>
        <w:tc>
          <w:tcPr>
            <w:tcW w:w="1759" w:type="dxa"/>
          </w:tcPr>
          <w:p w14:paraId="72681380" w14:textId="5EED5BA4" w:rsidR="00C24E93" w:rsidRDefault="00790473" w:rsidP="00C24E93">
            <w:pPr>
              <w:jc w:val="center"/>
            </w:pPr>
            <w:r>
              <w:t>CNIL</w:t>
            </w:r>
          </w:p>
        </w:tc>
        <w:tc>
          <w:tcPr>
            <w:tcW w:w="1701" w:type="dxa"/>
          </w:tcPr>
          <w:p w14:paraId="1DC1067F" w14:textId="5C68263A" w:rsidR="00C24E93" w:rsidRPr="00C24E93" w:rsidRDefault="00790473" w:rsidP="00C24E93">
            <w:pPr>
              <w:jc w:val="center"/>
              <w:rPr>
                <w:lang w:val="en-US"/>
              </w:rPr>
            </w:pPr>
            <w:hyperlink r:id="rId7" w:history="1">
              <w:r w:rsidRPr="00790473">
                <w:rPr>
                  <w:rStyle w:val="Lienhypertexte"/>
                  <w:lang w:val="en-US"/>
                </w:rPr>
                <w:t xml:space="preserve">Données </w:t>
              </w:r>
              <w:proofErr w:type="spellStart"/>
              <w:r w:rsidRPr="00790473">
                <w:rPr>
                  <w:rStyle w:val="Lienhypertexte"/>
                  <w:lang w:val="en-US"/>
                </w:rPr>
                <w:t>Personnelles</w:t>
              </w:r>
              <w:proofErr w:type="spellEnd"/>
            </w:hyperlink>
          </w:p>
        </w:tc>
        <w:tc>
          <w:tcPr>
            <w:tcW w:w="4819" w:type="dxa"/>
          </w:tcPr>
          <w:p w14:paraId="02EA8367" w14:textId="00113F16" w:rsidR="00C24E93" w:rsidRDefault="00790473" w:rsidP="00C24E93">
            <w:r>
              <w:t>Définition de la notion de données personnelles dans le contexte de création d’un modèle de prédiction éthique.</w:t>
            </w:r>
          </w:p>
        </w:tc>
      </w:tr>
      <w:tr w:rsidR="00790473" w14:paraId="2104917F" w14:textId="77777777" w:rsidTr="00790473">
        <w:trPr>
          <w:trHeight w:val="845"/>
        </w:trPr>
        <w:tc>
          <w:tcPr>
            <w:tcW w:w="1077" w:type="dxa"/>
          </w:tcPr>
          <w:p w14:paraId="538F2A36" w14:textId="289403BD" w:rsidR="00790473" w:rsidRDefault="00790473" w:rsidP="00C24E93">
            <w:pPr>
              <w:jc w:val="center"/>
            </w:pPr>
            <w:r>
              <w:t>Page web</w:t>
            </w:r>
          </w:p>
        </w:tc>
        <w:tc>
          <w:tcPr>
            <w:tcW w:w="1759" w:type="dxa"/>
          </w:tcPr>
          <w:p w14:paraId="365343F1" w14:textId="2554C0E6" w:rsidR="00790473" w:rsidRDefault="00790473" w:rsidP="00C24E93">
            <w:pPr>
              <w:jc w:val="center"/>
            </w:pPr>
            <w:r>
              <w:t>CNIL</w:t>
            </w:r>
          </w:p>
        </w:tc>
        <w:tc>
          <w:tcPr>
            <w:tcW w:w="1701" w:type="dxa"/>
          </w:tcPr>
          <w:p w14:paraId="336244BA" w14:textId="58445BA9" w:rsidR="00790473" w:rsidRPr="00C24E93" w:rsidRDefault="00790473" w:rsidP="00C24E93">
            <w:pPr>
              <w:jc w:val="center"/>
              <w:rPr>
                <w:lang w:val="en-US"/>
              </w:rPr>
            </w:pPr>
            <w:hyperlink r:id="rId8" w:history="1">
              <w:r w:rsidRPr="00790473">
                <w:rPr>
                  <w:rStyle w:val="Lienhypertexte"/>
                  <w:lang w:val="en-US"/>
                </w:rPr>
                <w:t xml:space="preserve">Données </w:t>
              </w:r>
              <w:proofErr w:type="spellStart"/>
              <w:r w:rsidRPr="00790473">
                <w:rPr>
                  <w:rStyle w:val="Lienhypertexte"/>
                  <w:lang w:val="en-US"/>
                </w:rPr>
                <w:t>Sensibles</w:t>
              </w:r>
              <w:proofErr w:type="spellEnd"/>
            </w:hyperlink>
          </w:p>
        </w:tc>
        <w:tc>
          <w:tcPr>
            <w:tcW w:w="4819" w:type="dxa"/>
          </w:tcPr>
          <w:p w14:paraId="5BF354AE" w14:textId="37A3F373" w:rsidR="00790473" w:rsidRDefault="00790473" w:rsidP="00C24E93">
            <w:r>
              <w:t>Définition de la notion de données sensibles dans le contexte de création d’un modèle de prédiction éthique.</w:t>
            </w:r>
          </w:p>
        </w:tc>
      </w:tr>
      <w:tr w:rsidR="00790473" w14:paraId="64EEA846" w14:textId="77777777" w:rsidTr="00160F73">
        <w:trPr>
          <w:trHeight w:val="1268"/>
        </w:trPr>
        <w:tc>
          <w:tcPr>
            <w:tcW w:w="1077" w:type="dxa"/>
          </w:tcPr>
          <w:p w14:paraId="7F36D20B" w14:textId="32BA6A5C" w:rsidR="00790473" w:rsidRDefault="00790473" w:rsidP="00C24E93">
            <w:pPr>
              <w:jc w:val="center"/>
            </w:pPr>
            <w:r>
              <w:t>Page web</w:t>
            </w:r>
          </w:p>
        </w:tc>
        <w:tc>
          <w:tcPr>
            <w:tcW w:w="1759" w:type="dxa"/>
          </w:tcPr>
          <w:p w14:paraId="7524EDF3" w14:textId="0A0BBE06" w:rsidR="00790473" w:rsidRDefault="00790473" w:rsidP="00C24E93">
            <w:pPr>
              <w:jc w:val="center"/>
            </w:pPr>
            <w:r>
              <w:t>CNIL</w:t>
            </w:r>
            <w:r>
              <w:t xml:space="preserve"> (2016)</w:t>
            </w:r>
          </w:p>
        </w:tc>
        <w:tc>
          <w:tcPr>
            <w:tcW w:w="1701" w:type="dxa"/>
          </w:tcPr>
          <w:p w14:paraId="24C96A28" w14:textId="67E4EB27" w:rsidR="00790473" w:rsidRPr="00C24E93" w:rsidRDefault="00790473" w:rsidP="00C24E93">
            <w:pPr>
              <w:jc w:val="center"/>
              <w:rPr>
                <w:lang w:val="en-US"/>
              </w:rPr>
            </w:pPr>
            <w:hyperlink r:id="rId9" w:history="1">
              <w:r w:rsidRPr="00790473">
                <w:rPr>
                  <w:rStyle w:val="Lienhypertexte"/>
                  <w:lang w:val="en-US"/>
                </w:rPr>
                <w:t>RGPD</w:t>
              </w:r>
            </w:hyperlink>
          </w:p>
        </w:tc>
        <w:tc>
          <w:tcPr>
            <w:tcW w:w="4819" w:type="dxa"/>
          </w:tcPr>
          <w:p w14:paraId="5DFA4324" w14:textId="4E4C43EB" w:rsidR="00790473" w:rsidRDefault="00790473" w:rsidP="00C24E93">
            <w:r>
              <w:t>Article définissant l’ensemble des réglementations européennes concernant les données pour la mise en place d’un modèle qui s’aligne sur ces valeurs légales.</w:t>
            </w:r>
          </w:p>
        </w:tc>
      </w:tr>
      <w:tr w:rsidR="00F31B47" w14:paraId="325CD3D4" w14:textId="77777777" w:rsidTr="00790473">
        <w:trPr>
          <w:trHeight w:val="1772"/>
        </w:trPr>
        <w:tc>
          <w:tcPr>
            <w:tcW w:w="1077" w:type="dxa"/>
          </w:tcPr>
          <w:p w14:paraId="6AE8BFEB" w14:textId="414540C8" w:rsidR="00F31B47" w:rsidRDefault="00F31B47" w:rsidP="00F31B47">
            <w:pPr>
              <w:jc w:val="center"/>
            </w:pPr>
            <w:r>
              <w:t>Page Web</w:t>
            </w:r>
          </w:p>
        </w:tc>
        <w:tc>
          <w:tcPr>
            <w:tcW w:w="1759" w:type="dxa"/>
          </w:tcPr>
          <w:p w14:paraId="7E17872A" w14:textId="18D319FE" w:rsidR="00F31B47" w:rsidRDefault="00F31B47" w:rsidP="00F31B47">
            <w:pPr>
              <w:jc w:val="center"/>
            </w:pPr>
            <w:r w:rsidRPr="00F31B47">
              <w:t xml:space="preserve">Zoumana Keita </w:t>
            </w:r>
            <w:r>
              <w:t>(2024)</w:t>
            </w:r>
          </w:p>
        </w:tc>
        <w:tc>
          <w:tcPr>
            <w:tcW w:w="1701" w:type="dxa"/>
          </w:tcPr>
          <w:p w14:paraId="67A94C91" w14:textId="7598D6DF" w:rsidR="00F31B47" w:rsidRPr="00F31B47" w:rsidRDefault="00F31B47" w:rsidP="00F31B47">
            <w:pPr>
              <w:jc w:val="center"/>
            </w:pPr>
            <w:hyperlink r:id="rId10" w:history="1">
              <w:r w:rsidRPr="00F31B47">
                <w:rPr>
                  <w:rStyle w:val="Lienhypertexte"/>
                </w:rPr>
                <w:t>Classification dans l'apprentissage automatique : An Introduction</w:t>
              </w:r>
            </w:hyperlink>
          </w:p>
        </w:tc>
        <w:tc>
          <w:tcPr>
            <w:tcW w:w="4819" w:type="dxa"/>
          </w:tcPr>
          <w:p w14:paraId="2FA9E10E" w14:textId="77777777" w:rsidR="00F31B47" w:rsidRDefault="00F31B47" w:rsidP="00F31B47">
            <w:r>
              <w:t>Article listant un ensemble non-exhaustif de modèles utiles pour la classification.</w:t>
            </w:r>
          </w:p>
          <w:p w14:paraId="64EB4FAF" w14:textId="05B7C642" w:rsidR="00BE637D" w:rsidRDefault="00BE637D" w:rsidP="00F31B47">
            <w:r>
              <w:t>Celui-ci sert de base dans notre sélection des modèles candidats pour notre projet.</w:t>
            </w:r>
          </w:p>
        </w:tc>
      </w:tr>
      <w:tr w:rsidR="00F31B47" w14:paraId="47C24C1A" w14:textId="77777777" w:rsidTr="00790473">
        <w:trPr>
          <w:trHeight w:val="1772"/>
        </w:trPr>
        <w:tc>
          <w:tcPr>
            <w:tcW w:w="1077" w:type="dxa"/>
          </w:tcPr>
          <w:p w14:paraId="1E1206D7" w14:textId="5C86D930" w:rsidR="00F31B47" w:rsidRDefault="00F31B47" w:rsidP="00F31B47">
            <w:pPr>
              <w:jc w:val="center"/>
            </w:pPr>
            <w:r>
              <w:t>PDF</w:t>
            </w:r>
          </w:p>
        </w:tc>
        <w:tc>
          <w:tcPr>
            <w:tcW w:w="1759" w:type="dxa"/>
          </w:tcPr>
          <w:p w14:paraId="349D3468" w14:textId="3C46FF4C" w:rsidR="00F31B47" w:rsidRPr="00F31B47" w:rsidRDefault="00F31B47" w:rsidP="00F31B47">
            <w:pPr>
              <w:jc w:val="center"/>
            </w:pPr>
            <w:r>
              <w:t>Cox, D.R. (1958)</w:t>
            </w:r>
          </w:p>
        </w:tc>
        <w:tc>
          <w:tcPr>
            <w:tcW w:w="1701" w:type="dxa"/>
          </w:tcPr>
          <w:p w14:paraId="0DF04C81" w14:textId="0ABCDFED" w:rsidR="00F31B47" w:rsidRPr="00F31B47" w:rsidRDefault="00F31B47" w:rsidP="00F31B47">
            <w:pPr>
              <w:jc w:val="center"/>
              <w:rPr>
                <w:lang w:val="en-US"/>
              </w:rPr>
            </w:pPr>
            <w:hyperlink r:id="rId11" w:history="1">
              <w:r w:rsidRPr="00C24E93">
                <w:rPr>
                  <w:rStyle w:val="Lienhypertexte"/>
                  <w:lang w:val="en-US"/>
                </w:rPr>
                <w:t>Journal of the Royal Statistical Society: Series B</w:t>
              </w:r>
            </w:hyperlink>
          </w:p>
        </w:tc>
        <w:tc>
          <w:tcPr>
            <w:tcW w:w="4819" w:type="dxa"/>
          </w:tcPr>
          <w:p w14:paraId="0AE74E5C" w14:textId="77777777" w:rsidR="00F31B47" w:rsidRDefault="00F31B47" w:rsidP="00F31B47">
            <w:r>
              <w:t>Article fondateur de la régression logistique, utilisée comme modèle de référence (</w:t>
            </w:r>
            <w:proofErr w:type="spellStart"/>
            <w:r>
              <w:t>baseline</w:t>
            </w:r>
            <w:proofErr w:type="spellEnd"/>
            <w:r>
              <w:t xml:space="preserve">) dans le notebook 05. </w:t>
            </w:r>
          </w:p>
          <w:p w14:paraId="56B3B8B8" w14:textId="66B5C8EE" w:rsidR="00F31B47" w:rsidRDefault="00F31B47" w:rsidP="00F31B47">
            <w:r>
              <w:t>Sa lisibilité via les coefficients en fait le modèle le plus conforme aux exigences d'interprétabilité.</w:t>
            </w:r>
          </w:p>
        </w:tc>
      </w:tr>
      <w:tr w:rsidR="00E6319F" w14:paraId="1790687D" w14:textId="77777777" w:rsidTr="00E6319F">
        <w:trPr>
          <w:trHeight w:val="671"/>
        </w:trPr>
        <w:tc>
          <w:tcPr>
            <w:tcW w:w="1077" w:type="dxa"/>
          </w:tcPr>
          <w:p w14:paraId="0AEC801B" w14:textId="18BBE893" w:rsidR="00E6319F" w:rsidRDefault="00E6319F" w:rsidP="00F31B47">
            <w:pPr>
              <w:jc w:val="center"/>
            </w:pPr>
            <w:r>
              <w:t>PDF</w:t>
            </w:r>
          </w:p>
        </w:tc>
        <w:tc>
          <w:tcPr>
            <w:tcW w:w="1759" w:type="dxa"/>
          </w:tcPr>
          <w:p w14:paraId="2DFB30AD" w14:textId="6AAEA58D" w:rsidR="00E6319F" w:rsidRDefault="00E6319F" w:rsidP="00F31B47">
            <w:pPr>
              <w:jc w:val="center"/>
            </w:pPr>
            <w:proofErr w:type="spellStart"/>
            <w:r w:rsidRPr="00E6319F">
              <w:t>Breiman</w:t>
            </w:r>
            <w:proofErr w:type="spellEnd"/>
            <w:r w:rsidRPr="00E6319F">
              <w:t>, L. (2001)</w:t>
            </w:r>
          </w:p>
        </w:tc>
        <w:tc>
          <w:tcPr>
            <w:tcW w:w="1701" w:type="dxa"/>
          </w:tcPr>
          <w:p w14:paraId="18871E6A" w14:textId="78AAB09A" w:rsidR="00E6319F" w:rsidRDefault="00E6319F" w:rsidP="00F31B47">
            <w:pPr>
              <w:jc w:val="center"/>
              <w:rPr>
                <w:lang w:val="en-US"/>
              </w:rPr>
            </w:pPr>
            <w:hyperlink r:id="rId12" w:history="1">
              <w:r w:rsidRPr="00E6319F">
                <w:rPr>
                  <w:rStyle w:val="Lienhypertexte"/>
                  <w:lang w:val="en-US"/>
                </w:rPr>
                <w:t>Random Forests</w:t>
              </w:r>
            </w:hyperlink>
          </w:p>
        </w:tc>
        <w:tc>
          <w:tcPr>
            <w:tcW w:w="4819" w:type="dxa"/>
          </w:tcPr>
          <w:p w14:paraId="12A67984" w14:textId="0788BD95" w:rsidR="00E6319F" w:rsidRDefault="00E6319F" w:rsidP="00F31B47">
            <w:r w:rsidRPr="00E6319F">
              <w:t xml:space="preserve">Article original du </w:t>
            </w:r>
            <w:proofErr w:type="spellStart"/>
            <w:r w:rsidRPr="00E6319F">
              <w:t>RandomForest</w:t>
            </w:r>
            <w:proofErr w:type="spellEnd"/>
            <w:r w:rsidRPr="00E6319F">
              <w:t>, algorithme ensembliste utilisé dans le notebook 05.</w:t>
            </w:r>
          </w:p>
        </w:tc>
      </w:tr>
      <w:tr w:rsidR="00E6319F" w14:paraId="5F160FCE" w14:textId="77777777" w:rsidTr="00E6319F">
        <w:trPr>
          <w:trHeight w:val="671"/>
        </w:trPr>
        <w:tc>
          <w:tcPr>
            <w:tcW w:w="1077" w:type="dxa"/>
          </w:tcPr>
          <w:p w14:paraId="2CEF820E" w14:textId="16AC771D" w:rsidR="00E6319F" w:rsidRDefault="00E6319F" w:rsidP="00F31B47">
            <w:pPr>
              <w:jc w:val="center"/>
            </w:pPr>
            <w:r>
              <w:t>PDF</w:t>
            </w:r>
          </w:p>
        </w:tc>
        <w:tc>
          <w:tcPr>
            <w:tcW w:w="1759" w:type="dxa"/>
          </w:tcPr>
          <w:p w14:paraId="7B5D1F82" w14:textId="63A33DDB" w:rsidR="00E6319F" w:rsidRPr="00E6319F" w:rsidRDefault="00E6319F" w:rsidP="00F31B47">
            <w:pPr>
              <w:jc w:val="center"/>
              <w:rPr>
                <w:lang w:val="en-US"/>
              </w:rPr>
            </w:pPr>
            <w:r w:rsidRPr="00E6319F">
              <w:rPr>
                <w:lang w:val="en-US"/>
              </w:rPr>
              <w:t xml:space="preserve">Geurts, P., Ernst, D., &amp; </w:t>
            </w:r>
            <w:proofErr w:type="spellStart"/>
            <w:r w:rsidRPr="00E6319F">
              <w:rPr>
                <w:lang w:val="en-US"/>
              </w:rPr>
              <w:t>Wehenkel</w:t>
            </w:r>
            <w:proofErr w:type="spellEnd"/>
            <w:r w:rsidRPr="00E6319F">
              <w:rPr>
                <w:lang w:val="en-US"/>
              </w:rPr>
              <w:t>, L. (2006)</w:t>
            </w:r>
          </w:p>
        </w:tc>
        <w:tc>
          <w:tcPr>
            <w:tcW w:w="1701" w:type="dxa"/>
          </w:tcPr>
          <w:p w14:paraId="3E8EC8EB" w14:textId="1E750E48" w:rsidR="00E6319F" w:rsidRDefault="00E6319F" w:rsidP="00F31B47">
            <w:pPr>
              <w:jc w:val="center"/>
              <w:rPr>
                <w:lang w:val="en-US"/>
              </w:rPr>
            </w:pPr>
            <w:hyperlink r:id="rId13" w:history="1">
              <w:r w:rsidRPr="00E6319F">
                <w:rPr>
                  <w:rStyle w:val="Lienhypertexte"/>
                </w:rPr>
                <w:t xml:space="preserve">Extremely </w:t>
              </w:r>
              <w:proofErr w:type="spellStart"/>
              <w:r w:rsidRPr="00E6319F">
                <w:rPr>
                  <w:rStyle w:val="Lienhypertexte"/>
                </w:rPr>
                <w:t>randomized</w:t>
              </w:r>
              <w:proofErr w:type="spellEnd"/>
              <w:r w:rsidRPr="00E6319F">
                <w:rPr>
                  <w:rStyle w:val="Lienhypertexte"/>
                </w:rPr>
                <w:t xml:space="preserve"> </w:t>
              </w:r>
              <w:proofErr w:type="spellStart"/>
              <w:r w:rsidRPr="00E6319F">
                <w:rPr>
                  <w:rStyle w:val="Lienhypertexte"/>
                </w:rPr>
                <w:t>trees</w:t>
              </w:r>
              <w:proofErr w:type="spellEnd"/>
            </w:hyperlink>
          </w:p>
        </w:tc>
        <w:tc>
          <w:tcPr>
            <w:tcW w:w="4819" w:type="dxa"/>
          </w:tcPr>
          <w:p w14:paraId="601DDE96" w14:textId="77777777" w:rsidR="00E6319F" w:rsidRDefault="00E6319F" w:rsidP="00F31B47">
            <w:r w:rsidRPr="00E6319F">
              <w:t>Article original de l'</w:t>
            </w:r>
            <w:proofErr w:type="spellStart"/>
            <w:r w:rsidRPr="00E6319F">
              <w:t>ExtraTreesClassifier</w:t>
            </w:r>
            <w:proofErr w:type="spellEnd"/>
            <w:r>
              <w:t xml:space="preserve">. </w:t>
            </w:r>
          </w:p>
          <w:p w14:paraId="06BEC19B" w14:textId="70D01659" w:rsidR="00E6319F" w:rsidRPr="00E6319F" w:rsidRDefault="00E6319F" w:rsidP="00F31B47">
            <w:r w:rsidRPr="00E6319F">
              <w:t xml:space="preserve">Les </w:t>
            </w:r>
            <w:proofErr w:type="spellStart"/>
            <w:r w:rsidRPr="00E6319F">
              <w:t>splits</w:t>
            </w:r>
            <w:proofErr w:type="spellEnd"/>
            <w:r w:rsidRPr="00E6319F">
              <w:t xml:space="preserve"> totalement aléatoires réduisent la variance par rapport au </w:t>
            </w:r>
            <w:proofErr w:type="spellStart"/>
            <w:r w:rsidRPr="00E6319F">
              <w:t>RandomForest</w:t>
            </w:r>
            <w:proofErr w:type="spellEnd"/>
            <w:r w:rsidRPr="00E6319F">
              <w:t xml:space="preserve"> standard et améliorent le </w:t>
            </w:r>
            <w:proofErr w:type="spellStart"/>
            <w:r w:rsidRPr="00E6319F">
              <w:t>recall</w:t>
            </w:r>
            <w:proofErr w:type="spellEnd"/>
            <w:r w:rsidRPr="00E6319F">
              <w:t xml:space="preserve"> sur des classes </w:t>
            </w:r>
            <w:r w:rsidRPr="00E6319F">
              <w:lastRenderedPageBreak/>
              <w:t>minoritaires, ce qui en fait un candidat naturel sur notre cible déséquilibrée</w:t>
            </w:r>
            <w:r>
              <w:t>.</w:t>
            </w:r>
          </w:p>
        </w:tc>
      </w:tr>
      <w:tr w:rsidR="00245468" w:rsidRPr="00245468" w14:paraId="4A4F0CBF" w14:textId="77777777" w:rsidTr="00E6319F">
        <w:trPr>
          <w:trHeight w:val="671"/>
        </w:trPr>
        <w:tc>
          <w:tcPr>
            <w:tcW w:w="1077" w:type="dxa"/>
          </w:tcPr>
          <w:p w14:paraId="0CB782D6" w14:textId="5BDFC027" w:rsidR="00245468" w:rsidRDefault="00245468" w:rsidP="00F31B47">
            <w:pPr>
              <w:jc w:val="center"/>
            </w:pPr>
            <w:r>
              <w:lastRenderedPageBreak/>
              <w:t>PDF</w:t>
            </w:r>
          </w:p>
        </w:tc>
        <w:tc>
          <w:tcPr>
            <w:tcW w:w="1759" w:type="dxa"/>
          </w:tcPr>
          <w:p w14:paraId="7722FB2B" w14:textId="1132B87B" w:rsidR="00245468" w:rsidRPr="00E6319F" w:rsidRDefault="00245468" w:rsidP="00F31B47">
            <w:pPr>
              <w:jc w:val="center"/>
              <w:rPr>
                <w:lang w:val="en-US"/>
              </w:rPr>
            </w:pPr>
            <w:r w:rsidRPr="00245468">
              <w:rPr>
                <w:lang w:val="en-US"/>
              </w:rPr>
              <w:t>Friedman, J. H. (2001)</w:t>
            </w:r>
          </w:p>
        </w:tc>
        <w:tc>
          <w:tcPr>
            <w:tcW w:w="1701" w:type="dxa"/>
          </w:tcPr>
          <w:p w14:paraId="140AA001" w14:textId="7116AA34" w:rsidR="00245468" w:rsidRPr="00245468" w:rsidRDefault="00245468" w:rsidP="00F31B47">
            <w:pPr>
              <w:jc w:val="center"/>
              <w:rPr>
                <w:lang w:val="en-US"/>
              </w:rPr>
            </w:pPr>
            <w:hyperlink r:id="rId14" w:history="1">
              <w:r w:rsidRPr="00245468">
                <w:rPr>
                  <w:rStyle w:val="Lienhypertexte"/>
                  <w:lang w:val="en-US"/>
                </w:rPr>
                <w:t>Greedy function approximation: A gradient boosting machine.</w:t>
              </w:r>
            </w:hyperlink>
          </w:p>
        </w:tc>
        <w:tc>
          <w:tcPr>
            <w:tcW w:w="4819" w:type="dxa"/>
          </w:tcPr>
          <w:p w14:paraId="76A8F1BE" w14:textId="130A1998" w:rsidR="00245468" w:rsidRPr="00245468" w:rsidRDefault="00245468" w:rsidP="00F31B47">
            <w:r w:rsidRPr="00245468">
              <w:t xml:space="preserve">Fonde le </w:t>
            </w:r>
            <w:proofErr w:type="spellStart"/>
            <w:r w:rsidRPr="00245468">
              <w:t>GradientBoostingClassifier</w:t>
            </w:r>
            <w:proofErr w:type="spellEnd"/>
            <w:r>
              <w:t xml:space="preserve">. </w:t>
            </w:r>
            <w:r w:rsidRPr="00245468">
              <w:t xml:space="preserve">L'apprentissage séquentiel d'arbres correcteurs produit des performances parmi les plus élevées sur des données tabulaires, au prix d'une interprétabilité moindre que le </w:t>
            </w:r>
            <w:proofErr w:type="spellStart"/>
            <w:r w:rsidRPr="00245468">
              <w:t>RandomForest</w:t>
            </w:r>
            <w:proofErr w:type="spellEnd"/>
            <w:r>
              <w:t>.</w:t>
            </w:r>
          </w:p>
        </w:tc>
      </w:tr>
      <w:tr w:rsidR="00245468" w:rsidRPr="00245468" w14:paraId="1C9E933D" w14:textId="77777777" w:rsidTr="00E6319F">
        <w:trPr>
          <w:trHeight w:val="671"/>
        </w:trPr>
        <w:tc>
          <w:tcPr>
            <w:tcW w:w="1077" w:type="dxa"/>
          </w:tcPr>
          <w:p w14:paraId="6B908749" w14:textId="5CD79913" w:rsidR="00245468" w:rsidRDefault="00245468" w:rsidP="00F31B47">
            <w:pPr>
              <w:jc w:val="center"/>
            </w:pPr>
            <w:r>
              <w:t>PDF</w:t>
            </w:r>
          </w:p>
        </w:tc>
        <w:tc>
          <w:tcPr>
            <w:tcW w:w="1759" w:type="dxa"/>
          </w:tcPr>
          <w:p w14:paraId="22A2F9ED" w14:textId="70A8A79A" w:rsidR="00245468" w:rsidRPr="00245468" w:rsidRDefault="00245468" w:rsidP="00F31B47">
            <w:pPr>
              <w:jc w:val="center"/>
              <w:rPr>
                <w:lang w:val="en-US"/>
              </w:rPr>
            </w:pPr>
            <w:r w:rsidRPr="00245468">
              <w:rPr>
                <w:lang w:val="en-US"/>
              </w:rPr>
              <w:t xml:space="preserve">Cortes, C., &amp; </w:t>
            </w:r>
            <w:proofErr w:type="spellStart"/>
            <w:r w:rsidRPr="00245468">
              <w:rPr>
                <w:lang w:val="en-US"/>
              </w:rPr>
              <w:t>Vapnik</w:t>
            </w:r>
            <w:proofErr w:type="spellEnd"/>
            <w:r w:rsidRPr="00245468">
              <w:rPr>
                <w:lang w:val="en-US"/>
              </w:rPr>
              <w:t>, V. (1995)</w:t>
            </w:r>
          </w:p>
        </w:tc>
        <w:tc>
          <w:tcPr>
            <w:tcW w:w="1701" w:type="dxa"/>
          </w:tcPr>
          <w:p w14:paraId="615ABD0E" w14:textId="55BC71E7" w:rsidR="00245468" w:rsidRDefault="00245468" w:rsidP="00F31B47">
            <w:pPr>
              <w:jc w:val="center"/>
              <w:rPr>
                <w:lang w:val="en-US"/>
              </w:rPr>
            </w:pPr>
            <w:hyperlink r:id="rId15" w:history="1">
              <w:r w:rsidRPr="00245468">
                <w:rPr>
                  <w:rStyle w:val="Lienhypertexte"/>
                  <w:lang w:val="en-US"/>
                </w:rPr>
                <w:t>Support-vector network</w:t>
              </w:r>
              <w:r w:rsidRPr="00245468">
                <w:rPr>
                  <w:rStyle w:val="Lienhypertexte"/>
                  <w:lang w:val="en-US"/>
                </w:rPr>
                <w:t>s</w:t>
              </w:r>
            </w:hyperlink>
          </w:p>
        </w:tc>
        <w:tc>
          <w:tcPr>
            <w:tcW w:w="4819" w:type="dxa"/>
          </w:tcPr>
          <w:p w14:paraId="17BE5D0D" w14:textId="77777777" w:rsidR="00245468" w:rsidRDefault="00245468" w:rsidP="00F31B47"/>
          <w:p w14:paraId="7113B89F" w14:textId="1B6BF5B8" w:rsidR="00245468" w:rsidRPr="00245468" w:rsidRDefault="00245468" w:rsidP="00F31B47">
            <w:r w:rsidRPr="00245468">
              <w:t>Article original des SVM</w:t>
            </w:r>
            <w:r>
              <w:t xml:space="preserve">. </w:t>
            </w:r>
          </w:p>
        </w:tc>
      </w:tr>
      <w:tr w:rsidR="00245468" w:rsidRPr="00245468" w14:paraId="2A7B199C" w14:textId="77777777" w:rsidTr="00E6319F">
        <w:trPr>
          <w:trHeight w:val="671"/>
        </w:trPr>
        <w:tc>
          <w:tcPr>
            <w:tcW w:w="1077" w:type="dxa"/>
          </w:tcPr>
          <w:p w14:paraId="52BE68AD" w14:textId="3FCFF828" w:rsidR="00245468" w:rsidRDefault="00245468" w:rsidP="00F31B47">
            <w:pPr>
              <w:jc w:val="center"/>
            </w:pPr>
            <w:r>
              <w:t>PDF</w:t>
            </w:r>
          </w:p>
        </w:tc>
        <w:tc>
          <w:tcPr>
            <w:tcW w:w="1759" w:type="dxa"/>
          </w:tcPr>
          <w:p w14:paraId="6DC29C3F" w14:textId="3B052EC8" w:rsidR="00245468" w:rsidRPr="00245468" w:rsidRDefault="00245468" w:rsidP="00F31B47">
            <w:pPr>
              <w:jc w:val="center"/>
              <w:rPr>
                <w:lang w:val="en-US"/>
              </w:rPr>
            </w:pPr>
            <w:r w:rsidRPr="00245468">
              <w:rPr>
                <w:lang w:val="en-US"/>
              </w:rPr>
              <w:t>Rumelhart, D. E., Hinton, G. E., &amp; Williams, R. J. (1986)</w:t>
            </w:r>
          </w:p>
        </w:tc>
        <w:tc>
          <w:tcPr>
            <w:tcW w:w="1701" w:type="dxa"/>
          </w:tcPr>
          <w:p w14:paraId="5DF11033" w14:textId="597DFA9A" w:rsidR="00245468" w:rsidRDefault="00245468" w:rsidP="00F31B47">
            <w:pPr>
              <w:jc w:val="center"/>
              <w:rPr>
                <w:lang w:val="en-US"/>
              </w:rPr>
            </w:pPr>
            <w:hyperlink r:id="rId16" w:history="1">
              <w:r w:rsidRPr="00245468">
                <w:rPr>
                  <w:rStyle w:val="Lienhypertexte"/>
                  <w:lang w:val="en-US"/>
                </w:rPr>
                <w:t>Learning representations by back-propagating errors</w:t>
              </w:r>
            </w:hyperlink>
          </w:p>
        </w:tc>
        <w:tc>
          <w:tcPr>
            <w:tcW w:w="4819" w:type="dxa"/>
          </w:tcPr>
          <w:p w14:paraId="3EA63B36" w14:textId="77777777" w:rsidR="00245468" w:rsidRDefault="00245468" w:rsidP="00F31B47"/>
          <w:p w14:paraId="0407635A" w14:textId="068F330D" w:rsidR="00245468" w:rsidRPr="00245468" w:rsidRDefault="00245468" w:rsidP="00F31B47">
            <w:r w:rsidRPr="00245468">
              <w:t>Article fondateur de la rétropropagation du gradient, base théorique du MLPClassifier utilisé dans le notebook 05 à titre comparatif.</w:t>
            </w:r>
          </w:p>
        </w:tc>
      </w:tr>
      <w:tr w:rsidR="00245468" w:rsidRPr="00E92843" w14:paraId="797AD8EA" w14:textId="77777777" w:rsidTr="00E6319F">
        <w:trPr>
          <w:trHeight w:val="671"/>
        </w:trPr>
        <w:tc>
          <w:tcPr>
            <w:tcW w:w="1077" w:type="dxa"/>
          </w:tcPr>
          <w:p w14:paraId="74C500AB" w14:textId="1AFD984C" w:rsidR="00245468" w:rsidRPr="00245468" w:rsidRDefault="00E92843" w:rsidP="00F31B47">
            <w:pPr>
              <w:jc w:val="center"/>
              <w:rPr>
                <w:lang w:val="en-US"/>
              </w:rPr>
            </w:pPr>
            <w:r>
              <w:rPr>
                <w:lang w:val="en-US"/>
              </w:rPr>
              <w:t>PDF</w:t>
            </w:r>
          </w:p>
        </w:tc>
        <w:tc>
          <w:tcPr>
            <w:tcW w:w="1759" w:type="dxa"/>
          </w:tcPr>
          <w:p w14:paraId="44B788DF" w14:textId="44CA86BA" w:rsidR="00245468" w:rsidRPr="00245468" w:rsidRDefault="00E92843" w:rsidP="00F31B47">
            <w:pPr>
              <w:jc w:val="center"/>
              <w:rPr>
                <w:lang w:val="en-US"/>
              </w:rPr>
            </w:pPr>
            <w:r w:rsidRPr="00E92843">
              <w:rPr>
                <w:lang w:val="en-US"/>
              </w:rPr>
              <w:t>Fawcett, T. (2006)</w:t>
            </w:r>
          </w:p>
        </w:tc>
        <w:tc>
          <w:tcPr>
            <w:tcW w:w="1701" w:type="dxa"/>
          </w:tcPr>
          <w:p w14:paraId="500AB5D7" w14:textId="439BC597" w:rsidR="00245468" w:rsidRPr="00E92843" w:rsidRDefault="00E92843" w:rsidP="00E92843">
            <w:pPr>
              <w:jc w:val="center"/>
              <w:rPr>
                <w:lang w:val="en-US"/>
              </w:rPr>
            </w:pPr>
            <w:hyperlink r:id="rId17" w:history="1">
              <w:r w:rsidRPr="00E92843">
                <w:rPr>
                  <w:rStyle w:val="Lienhypertexte"/>
                  <w:lang w:val="en-US"/>
                </w:rPr>
                <w:t>An introduction to ROC analysis</w:t>
              </w:r>
            </w:hyperlink>
          </w:p>
        </w:tc>
        <w:tc>
          <w:tcPr>
            <w:tcW w:w="4819" w:type="dxa"/>
          </w:tcPr>
          <w:p w14:paraId="45EEE959" w14:textId="1BDEDA79" w:rsidR="00245468" w:rsidRPr="00E92843" w:rsidRDefault="00E92843" w:rsidP="00F31B47">
            <w:r w:rsidRPr="00E92843">
              <w:t>R</w:t>
            </w:r>
            <w:r>
              <w:t>é</w:t>
            </w:r>
            <w:r w:rsidRPr="00E92843">
              <w:t>f</w:t>
            </w:r>
            <w:r>
              <w:t>é</w:t>
            </w:r>
            <w:r w:rsidRPr="00E92843">
              <w:t>rence pédagogique sur les courbes ROC et l'AUC, métriques centrales dans le notebook 05 pour comparer les modèles indépendamment du seuil de décision.</w:t>
            </w:r>
          </w:p>
        </w:tc>
      </w:tr>
    </w:tbl>
    <w:p w14:paraId="4A560D29" w14:textId="2F776F3C" w:rsidR="00C24E93" w:rsidRPr="00E92843" w:rsidRDefault="00C24E93" w:rsidP="00C24E93"/>
    <w:sectPr w:rsidR="00C24E93" w:rsidRPr="00E928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BB6"/>
    <w:rsid w:val="00121A2A"/>
    <w:rsid w:val="00160F73"/>
    <w:rsid w:val="00245468"/>
    <w:rsid w:val="004F31E2"/>
    <w:rsid w:val="00790473"/>
    <w:rsid w:val="00897421"/>
    <w:rsid w:val="008B5C4B"/>
    <w:rsid w:val="00A35DC6"/>
    <w:rsid w:val="00B47D79"/>
    <w:rsid w:val="00B5352A"/>
    <w:rsid w:val="00B57B29"/>
    <w:rsid w:val="00BE637D"/>
    <w:rsid w:val="00C24E93"/>
    <w:rsid w:val="00C66BB6"/>
    <w:rsid w:val="00D0340D"/>
    <w:rsid w:val="00D707AA"/>
    <w:rsid w:val="00E32736"/>
    <w:rsid w:val="00E6319F"/>
    <w:rsid w:val="00E92843"/>
    <w:rsid w:val="00ED5D46"/>
    <w:rsid w:val="00F31B47"/>
    <w:rsid w:val="00F71BA3"/>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B3135"/>
  <w15:chartTrackingRefBased/>
  <w15:docId w15:val="{AD3BE050-15BF-4E22-BB7E-C2C3E8CD9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BA3"/>
    <w:pPr>
      <w:jc w:val="both"/>
    </w:pPr>
    <w:rPr>
      <w:rFonts w:ascii="Times New Roman" w:hAnsi="Times New Roman" w:cs="Times New Roman"/>
    </w:rPr>
  </w:style>
  <w:style w:type="paragraph" w:styleId="Titre1">
    <w:name w:val="heading 1"/>
    <w:basedOn w:val="Normal"/>
    <w:next w:val="Normal"/>
    <w:link w:val="Titre1Car"/>
    <w:uiPriority w:val="9"/>
    <w:qFormat/>
    <w:rsid w:val="00F71BA3"/>
    <w:pPr>
      <w:keepNext/>
      <w:keepLines/>
      <w:spacing w:before="360" w:after="80"/>
      <w:jc w:val="center"/>
      <w:outlineLvl w:val="0"/>
    </w:pPr>
    <w:rPr>
      <w:rFonts w:eastAsiaTheme="majorEastAsia" w:cstheme="majorBidi"/>
      <w:b/>
      <w:bCs/>
      <w:color w:val="000000" w:themeColor="text1"/>
      <w:sz w:val="52"/>
      <w:szCs w:val="52"/>
    </w:rPr>
  </w:style>
  <w:style w:type="paragraph" w:styleId="Titre2">
    <w:name w:val="heading 2"/>
    <w:basedOn w:val="Normal"/>
    <w:next w:val="Normal"/>
    <w:link w:val="Titre2Car"/>
    <w:uiPriority w:val="9"/>
    <w:unhideWhenUsed/>
    <w:qFormat/>
    <w:rsid w:val="00C24E93"/>
    <w:pPr>
      <w:keepNext/>
      <w:keepLines/>
      <w:spacing w:before="160" w:after="80"/>
      <w:outlineLvl w:val="1"/>
    </w:pPr>
    <w:rPr>
      <w:rFonts w:eastAsiaTheme="majorEastAsia" w:cstheme="majorBidi"/>
      <w:b/>
      <w:bCs/>
      <w:color w:val="000000" w:themeColor="text1"/>
      <w:sz w:val="40"/>
      <w:szCs w:val="40"/>
    </w:rPr>
  </w:style>
  <w:style w:type="paragraph" w:styleId="Titre3">
    <w:name w:val="heading 3"/>
    <w:basedOn w:val="Normal"/>
    <w:next w:val="Normal"/>
    <w:link w:val="Titre3Car"/>
    <w:uiPriority w:val="9"/>
    <w:semiHidden/>
    <w:unhideWhenUsed/>
    <w:qFormat/>
    <w:rsid w:val="00C66BB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66BB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66BB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66BB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66BB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66BB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66BB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71BA3"/>
    <w:rPr>
      <w:rFonts w:ascii="Times New Roman" w:eastAsiaTheme="majorEastAsia" w:hAnsi="Times New Roman" w:cstheme="majorBidi"/>
      <w:b/>
      <w:bCs/>
      <w:color w:val="000000" w:themeColor="text1"/>
      <w:sz w:val="52"/>
      <w:szCs w:val="52"/>
    </w:rPr>
  </w:style>
  <w:style w:type="character" w:customStyle="1" w:styleId="Titre2Car">
    <w:name w:val="Titre 2 Car"/>
    <w:basedOn w:val="Policepardfaut"/>
    <w:link w:val="Titre2"/>
    <w:uiPriority w:val="9"/>
    <w:rsid w:val="00C24E93"/>
    <w:rPr>
      <w:rFonts w:ascii="Times New Roman" w:eastAsiaTheme="majorEastAsia" w:hAnsi="Times New Roman" w:cstheme="majorBidi"/>
      <w:b/>
      <w:bCs/>
      <w:color w:val="000000" w:themeColor="text1"/>
      <w:sz w:val="40"/>
      <w:szCs w:val="40"/>
    </w:rPr>
  </w:style>
  <w:style w:type="character" w:customStyle="1" w:styleId="Titre3Car">
    <w:name w:val="Titre 3 Car"/>
    <w:basedOn w:val="Policepardfaut"/>
    <w:link w:val="Titre3"/>
    <w:uiPriority w:val="9"/>
    <w:semiHidden/>
    <w:rsid w:val="00C66BB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66BB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66BB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66BB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66BB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66BB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66BB6"/>
    <w:rPr>
      <w:rFonts w:eastAsiaTheme="majorEastAsia" w:cstheme="majorBidi"/>
      <w:color w:val="272727" w:themeColor="text1" w:themeTint="D8"/>
    </w:rPr>
  </w:style>
  <w:style w:type="paragraph" w:styleId="Titre">
    <w:name w:val="Title"/>
    <w:basedOn w:val="Normal"/>
    <w:next w:val="Normal"/>
    <w:link w:val="TitreCar"/>
    <w:uiPriority w:val="10"/>
    <w:qFormat/>
    <w:rsid w:val="00C66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66BB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66BB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66BB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66BB6"/>
    <w:pPr>
      <w:spacing w:before="160"/>
      <w:jc w:val="center"/>
    </w:pPr>
    <w:rPr>
      <w:i/>
      <w:iCs/>
      <w:color w:val="404040" w:themeColor="text1" w:themeTint="BF"/>
    </w:rPr>
  </w:style>
  <w:style w:type="character" w:customStyle="1" w:styleId="CitationCar">
    <w:name w:val="Citation Car"/>
    <w:basedOn w:val="Policepardfaut"/>
    <w:link w:val="Citation"/>
    <w:uiPriority w:val="29"/>
    <w:rsid w:val="00C66BB6"/>
    <w:rPr>
      <w:i/>
      <w:iCs/>
      <w:color w:val="404040" w:themeColor="text1" w:themeTint="BF"/>
    </w:rPr>
  </w:style>
  <w:style w:type="paragraph" w:styleId="Paragraphedeliste">
    <w:name w:val="List Paragraph"/>
    <w:basedOn w:val="Normal"/>
    <w:uiPriority w:val="34"/>
    <w:qFormat/>
    <w:rsid w:val="00C66BB6"/>
    <w:pPr>
      <w:ind w:left="720"/>
      <w:contextualSpacing/>
    </w:pPr>
  </w:style>
  <w:style w:type="character" w:styleId="Accentuationintense">
    <w:name w:val="Intense Emphasis"/>
    <w:basedOn w:val="Policepardfaut"/>
    <w:uiPriority w:val="21"/>
    <w:qFormat/>
    <w:rsid w:val="00C66BB6"/>
    <w:rPr>
      <w:i/>
      <w:iCs/>
      <w:color w:val="0F4761" w:themeColor="accent1" w:themeShade="BF"/>
    </w:rPr>
  </w:style>
  <w:style w:type="paragraph" w:styleId="Citationintense">
    <w:name w:val="Intense Quote"/>
    <w:basedOn w:val="Normal"/>
    <w:next w:val="Normal"/>
    <w:link w:val="CitationintenseCar"/>
    <w:uiPriority w:val="30"/>
    <w:qFormat/>
    <w:rsid w:val="00C66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66BB6"/>
    <w:rPr>
      <w:i/>
      <w:iCs/>
      <w:color w:val="0F4761" w:themeColor="accent1" w:themeShade="BF"/>
    </w:rPr>
  </w:style>
  <w:style w:type="character" w:styleId="Rfrenceintense">
    <w:name w:val="Intense Reference"/>
    <w:basedOn w:val="Policepardfaut"/>
    <w:uiPriority w:val="32"/>
    <w:qFormat/>
    <w:rsid w:val="00C66BB6"/>
    <w:rPr>
      <w:b/>
      <w:bCs/>
      <w:smallCaps/>
      <w:color w:val="0F4761" w:themeColor="accent1" w:themeShade="BF"/>
      <w:spacing w:val="5"/>
    </w:rPr>
  </w:style>
  <w:style w:type="paragraph" w:styleId="En-ttedetabledesmatires">
    <w:name w:val="TOC Heading"/>
    <w:basedOn w:val="Titre1"/>
    <w:next w:val="Normal"/>
    <w:uiPriority w:val="39"/>
    <w:unhideWhenUsed/>
    <w:qFormat/>
    <w:rsid w:val="00F71BA3"/>
    <w:pPr>
      <w:spacing w:before="240" w:after="0" w:line="259" w:lineRule="auto"/>
      <w:outlineLvl w:val="9"/>
    </w:pPr>
    <w:rPr>
      <w:kern w:val="0"/>
      <w:sz w:val="32"/>
      <w:szCs w:val="32"/>
      <w14:ligatures w14:val="none"/>
    </w:rPr>
  </w:style>
  <w:style w:type="paragraph" w:styleId="TM1">
    <w:name w:val="toc 1"/>
    <w:basedOn w:val="Normal"/>
    <w:next w:val="Normal"/>
    <w:autoRedefine/>
    <w:uiPriority w:val="39"/>
    <w:unhideWhenUsed/>
    <w:rsid w:val="00F71BA3"/>
    <w:pPr>
      <w:spacing w:after="100"/>
    </w:pPr>
  </w:style>
  <w:style w:type="character" w:styleId="Lienhypertexte">
    <w:name w:val="Hyperlink"/>
    <w:basedOn w:val="Policepardfaut"/>
    <w:uiPriority w:val="99"/>
    <w:unhideWhenUsed/>
    <w:rsid w:val="00F71BA3"/>
    <w:rPr>
      <w:color w:val="467886" w:themeColor="hyperlink"/>
      <w:u w:val="single"/>
    </w:rPr>
  </w:style>
  <w:style w:type="table" w:styleId="Grilledutableau">
    <w:name w:val="Table Grid"/>
    <w:basedOn w:val="TableauNormal"/>
    <w:uiPriority w:val="39"/>
    <w:rsid w:val="00C24E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C24E93"/>
    <w:rPr>
      <w:color w:val="605E5C"/>
      <w:shd w:val="clear" w:color="auto" w:fill="E1DFDD"/>
    </w:rPr>
  </w:style>
  <w:style w:type="character" w:styleId="Lienhypertextesuivivisit">
    <w:name w:val="FollowedHyperlink"/>
    <w:basedOn w:val="Policepardfaut"/>
    <w:uiPriority w:val="99"/>
    <w:semiHidden/>
    <w:unhideWhenUsed/>
    <w:rsid w:val="00C24E9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nil.fr/fr/definition/donnee-sensible" TargetMode="External"/><Relationship Id="rId13" Type="http://schemas.openxmlformats.org/officeDocument/2006/relationships/hyperlink" Target="https://doi.org/10.1007/s10994-006-6226-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nil.fr/fr/definition/donnee-personnelle" TargetMode="External"/><Relationship Id="rId12" Type="http://schemas.openxmlformats.org/officeDocument/2006/relationships/hyperlink" Target="https://doi.org/10.1023/A:1010933404324" TargetMode="External"/><Relationship Id="rId17" Type="http://schemas.openxmlformats.org/officeDocument/2006/relationships/hyperlink" Target="https://doi.org/10.1016/j.patrec.2005.10.010" TargetMode="External"/><Relationship Id="rId2" Type="http://schemas.openxmlformats.org/officeDocument/2006/relationships/styles" Target="styles.xml"/><Relationship Id="rId16" Type="http://schemas.openxmlformats.org/officeDocument/2006/relationships/hyperlink" Target="https://doi.org/10.1038/323533a0" TargetMode="Externa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doi.org/10.1111/j.2517-6161.1958.tb00292.x" TargetMode="External"/><Relationship Id="rId5" Type="http://schemas.openxmlformats.org/officeDocument/2006/relationships/image" Target="media/image1.jpeg"/><Relationship Id="rId15" Type="http://schemas.openxmlformats.org/officeDocument/2006/relationships/hyperlink" Target="https://doi.org/10.1007/BF00994018" TargetMode="External"/><Relationship Id="rId10" Type="http://schemas.openxmlformats.org/officeDocument/2006/relationships/hyperlink" Target="https://www.datacamp.com/fr/blog/classification-machine-learni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nil.fr/fr/reglement-europeen-protection-donnees" TargetMode="External"/><Relationship Id="rId14" Type="http://schemas.openxmlformats.org/officeDocument/2006/relationships/hyperlink" Target="https://doi.org/10.1214/aos/101320345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D3ABC-1448-43F4-BC5E-A0CFF1E5E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Pages>
  <Words>554</Words>
  <Characters>3051</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 Down</dc:creator>
  <cp:keywords/>
  <dc:description/>
  <cp:lastModifiedBy>Mc Down</cp:lastModifiedBy>
  <cp:revision>16</cp:revision>
  <dcterms:created xsi:type="dcterms:W3CDTF">2026-04-08T06:24:00Z</dcterms:created>
  <dcterms:modified xsi:type="dcterms:W3CDTF">2026-04-08T07:18:00Z</dcterms:modified>
</cp:coreProperties>
</file>