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0596" w14:textId="22251EAC" w:rsidR="00D827A8" w:rsidRDefault="00D827A8" w:rsidP="00D827A8">
      <w:pPr>
        <w:pStyle w:val="Title"/>
      </w:pPr>
      <w:r>
        <w:t>LAZA-033 - Google Cloud Migration Blueprint</w:t>
      </w:r>
    </w:p>
    <w:p w14:paraId="35375E0B" w14:textId="7BD60946" w:rsidR="00D827A8" w:rsidRDefault="00D827A8" w:rsidP="00D827A8">
      <w:pPr>
        <w:pStyle w:val="Subtitle"/>
      </w:pPr>
      <w:r>
        <w:t>Medallion architecture portability from the local SQL Server MVP to Google Cloud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82"/>
        <w:gridCol w:w="5282"/>
      </w:tblGrid>
      <w:tr w:rsidR="00D827A8" w:rsidRPr="00D827A8" w14:paraId="4BBD2473" w14:textId="77777777" w:rsidTr="00D827A8">
        <w:tc>
          <w:tcPr>
            <w:tcW w:w="2500" w:type="pct"/>
            <w:shd w:val="clear" w:color="auto" w:fill="033189"/>
            <w:vAlign w:val="center"/>
          </w:tcPr>
          <w:p w14:paraId="766F453B" w14:textId="483A10EF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500" w:type="pct"/>
            <w:shd w:val="clear" w:color="auto" w:fill="033189"/>
            <w:vAlign w:val="center"/>
          </w:tcPr>
          <w:p w14:paraId="25BFD78E" w14:textId="76A88D64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Value</w:t>
            </w:r>
          </w:p>
        </w:tc>
      </w:tr>
      <w:tr w:rsidR="00D827A8" w:rsidRPr="00D827A8" w14:paraId="728750D7" w14:textId="77777777" w:rsidTr="00D827A8">
        <w:tc>
          <w:tcPr>
            <w:tcW w:w="2500" w:type="pct"/>
            <w:vAlign w:val="center"/>
          </w:tcPr>
          <w:p w14:paraId="322C1CA8" w14:textId="3B453D19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Version</w:t>
            </w:r>
          </w:p>
        </w:tc>
        <w:tc>
          <w:tcPr>
            <w:tcW w:w="2500" w:type="pct"/>
            <w:vAlign w:val="center"/>
          </w:tcPr>
          <w:p w14:paraId="61541A71" w14:textId="6A45C704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01</w:t>
            </w:r>
          </w:p>
        </w:tc>
      </w:tr>
      <w:tr w:rsidR="00D827A8" w:rsidRPr="00D827A8" w14:paraId="391A2D56" w14:textId="77777777" w:rsidTr="00D827A8">
        <w:tc>
          <w:tcPr>
            <w:tcW w:w="2500" w:type="pct"/>
            <w:vAlign w:val="center"/>
          </w:tcPr>
          <w:p w14:paraId="4C35489B" w14:textId="11F0C39D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2500" w:type="pct"/>
            <w:vAlign w:val="center"/>
          </w:tcPr>
          <w:p w14:paraId="332F4FEE" w14:textId="5C8D2BB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17/07/2026</w:t>
            </w:r>
          </w:p>
        </w:tc>
      </w:tr>
      <w:tr w:rsidR="00D827A8" w:rsidRPr="00D827A8" w14:paraId="68B5CD22" w14:textId="77777777" w:rsidTr="00D827A8">
        <w:tc>
          <w:tcPr>
            <w:tcW w:w="2500" w:type="pct"/>
            <w:vAlign w:val="center"/>
          </w:tcPr>
          <w:p w14:paraId="3C4A07D8" w14:textId="2ED3B30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Target audience</w:t>
            </w:r>
          </w:p>
        </w:tc>
        <w:tc>
          <w:tcPr>
            <w:tcW w:w="2500" w:type="pct"/>
            <w:vAlign w:val="center"/>
          </w:tcPr>
          <w:p w14:paraId="7F1BCDDE" w14:textId="0A86C97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Sponsor, Product Owner, Data Architect, Data Engineer, Analytics Engineer, Security/IAM owner</w:t>
            </w:r>
            <w:r>
              <w:rPr>
                <w:sz w:val="16"/>
              </w:rPr>
              <w:lastRenderedPageBreak/>
              <w:t>, and Cloud Platform owner</w:t>
            </w:r>
          </w:p>
        </w:tc>
      </w:tr>
      <w:tr w:rsidR="00D827A8" w:rsidRPr="00D827A8" w14:paraId="1FD0941E" w14:textId="77777777" w:rsidTr="00D827A8">
        <w:tc>
          <w:tcPr>
            <w:tcW w:w="2500" w:type="pct"/>
            <w:vAlign w:val="center"/>
          </w:tcPr>
          <w:p w14:paraId="218B8B90" w14:textId="6FEB922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Objective</w:t>
            </w:r>
          </w:p>
        </w:tc>
        <w:tc>
          <w:tcPr>
            <w:tcW w:w="2500" w:type="pct"/>
            <w:vAlign w:val="center"/>
          </w:tcPr>
          <w:p w14:paraId="0175D09C" w14:textId="3B51C2C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Define the migration blueprint that maps the current LAZA Bronze, Silver and Gold implementation to Google Cloud services without creating resources or moving data yet.</w:t>
            </w:r>
          </w:p>
        </w:tc>
      </w:tr>
      <w:tr w:rsidR="00D827A8" w:rsidRPr="00D827A8" w14:paraId="48BE5119" w14:textId="77777777" w:rsidTr="00D827A8">
        <w:tc>
          <w:tcPr>
            <w:tcW w:w="2500" w:type="pct"/>
            <w:vAlign w:val="center"/>
          </w:tcPr>
          <w:p w14:paraId="1FCEF328" w14:textId="4AAAD89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2500" w:type="pct"/>
            <w:vAlign w:val="center"/>
          </w:tcPr>
          <w:p w14:paraId="6153039C" w14:textId="1744C3F9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Completed blueprint for LAZA-033; implementation remains gated by landing-zone decisions.</w:t>
            </w:r>
          </w:p>
        </w:tc>
      </w:tr>
    </w:tbl>
    <w:p w14:paraId="65525994" w14:textId="77777777" w:rsidR="00D827A8" w:rsidRDefault="00D827A8" w:rsidP="00D827A8"/>
    <w:p w14:paraId="2580C5B3" w14:textId="06B9F271" w:rsidR="00D827A8" w:rsidRDefault="00D827A8" w:rsidP="00D827A8">
      <w:pPr>
        <w:pStyle w:val="Heading1"/>
      </w:pPr>
      <w:r>
        <w:t>1. Executive view</w:t>
      </w:r>
    </w:p>
    <w:p w14:paraId="4C4F1935" w14:textId="5ADD2C3C" w:rsidR="00D827A8" w:rsidRDefault="00D827A8" w:rsidP="00D827A8">
      <w:r>
        <w:t>The current LAZA platform already follows a portable medallion architecture. Official source assets enter Bronze, normalized and quality-checked observations move to Silver, and approved consumption facts are published to Gold. The Google Cloud migration should preserve that contract and replace the local runtime components progressively.</w:t>
      </w:r>
    </w:p>
    <w:p w14:paraId="448DCA51" w14:textId="460F3E16" w:rsidR="00D827A8" w:rsidRDefault="00D827A8" w:rsidP="00D827A8">
      <w:pPr>
        <w:pStyle w:val="Heading2"/>
      </w:pPr>
      <w:r>
        <w:t>Recommended migration style</w:t>
      </w:r>
    </w:p>
    <w:p w14:paraId="3185B6A2" w14:textId="12FC061E" w:rsidR="00D827A8" w:rsidRDefault="00D827A8" w:rsidP="00D827A8">
      <w:r>
        <w:t>Move by indicator, not by big-bang platform replacement. The first indicator should run end to end on Google Cloud, reconcile 100% against SQL Server, and then become the pattern for the remaining product waves.</w:t>
      </w:r>
    </w:p>
    <w:p w14:paraId="14977F7D" w14:textId="1D3DA6F7" w:rsidR="00D827A8" w:rsidRDefault="00D827A8" w:rsidP="00D827A8">
      <w:pPr>
        <w:pStyle w:val="Heading1"/>
      </w:pPr>
      <w:r>
        <w:t>2. Current local baseline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22"/>
        <w:gridCol w:w="3522"/>
        <w:gridCol w:w="3520"/>
      </w:tblGrid>
      <w:tr w:rsidR="00D827A8" w:rsidRPr="00D827A8" w14:paraId="7DAEEBC3" w14:textId="77777777" w:rsidTr="00D827A8">
        <w:tc>
          <w:tcPr>
            <w:tcW w:w="1667" w:type="pct"/>
            <w:shd w:val="clear" w:color="auto" w:fill="033189"/>
            <w:vAlign w:val="center"/>
          </w:tcPr>
          <w:p w14:paraId="247FC9A0" w14:textId="1753736C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5566C46F" w14:textId="777FB3E6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Current implementation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628AB0D6" w14:textId="79257991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Migration implication</w:t>
            </w:r>
          </w:p>
        </w:tc>
      </w:tr>
      <w:tr w:rsidR="00D827A8" w:rsidRPr="00D827A8" w14:paraId="3FD111D4" w14:textId="77777777" w:rsidTr="00D827A8">
        <w:tc>
          <w:tcPr>
            <w:tcW w:w="1667" w:type="pct"/>
            <w:vAlign w:val="center"/>
          </w:tcPr>
          <w:p w14:paraId="3A9798DE" w14:textId="2DB59B3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Web app</w:t>
            </w:r>
          </w:p>
        </w:tc>
        <w:tc>
          <w:tcPr>
            <w:tcW w:w="1667" w:type="pct"/>
            <w:vAlign w:val="center"/>
          </w:tcPr>
          <w:p w14:paraId="64D04E65" w14:textId="2B0FC02E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React, Vite and Tailwind build served by the local Node API on 127.0.0.1:8790.</w:t>
            </w:r>
          </w:p>
        </w:tc>
        <w:tc>
          <w:tcPr>
            <w:tcW w:w="1667" w:type="pct"/>
            <w:vAlign w:val="center"/>
          </w:tcPr>
          <w:p w14:paraId="265C590D" w14:textId="164C7796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Can move to Firebase Hosting or Cloud Run without changing the user experience.</w:t>
            </w:r>
          </w:p>
        </w:tc>
      </w:tr>
      <w:tr w:rsidR="00D827A8" w:rsidRPr="00D827A8" w14:paraId="68A0F9C5" w14:textId="77777777" w:rsidTr="00D827A8">
        <w:tc>
          <w:tcPr>
            <w:tcW w:w="1667" w:type="pct"/>
            <w:vAlign w:val="center"/>
          </w:tcPr>
          <w:p w14:paraId="52A5BE24" w14:textId="0E9464ED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API</w:t>
            </w:r>
          </w:p>
        </w:tc>
        <w:tc>
          <w:tcPr>
            <w:tcW w:w="1667" w:type="pct"/>
            <w:vAlign w:val="center"/>
          </w:tcPr>
          <w:p w14:paraId="3B7C59E6" w14:textId="6DF08ABF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Node.js read-only API using sqlcmd.exe against SQL Server.</w:t>
            </w:r>
          </w:p>
        </w:tc>
        <w:tc>
          <w:tcPr>
            <w:tcW w:w="1667" w:type="pct"/>
            <w:vAlign w:val="center"/>
          </w:tcPr>
          <w:p w14:paraId="2C9198D5" w14:textId="4007B97F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Needs a repository/data-access boundary before BigQuery becomes the source.</w:t>
            </w:r>
          </w:p>
        </w:tc>
      </w:tr>
      <w:tr w:rsidR="00D827A8" w:rsidRPr="00D827A8" w14:paraId="23BDF570" w14:textId="77777777" w:rsidTr="00D827A8">
        <w:tc>
          <w:tcPr>
            <w:tcW w:w="1667" w:type="pct"/>
            <w:vAlign w:val="center"/>
          </w:tcPr>
          <w:p w14:paraId="029AE4F8" w14:textId="03641D9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Database</w:t>
            </w:r>
          </w:p>
        </w:tc>
        <w:tc>
          <w:tcPr>
            <w:tcW w:w="1667" w:type="pct"/>
            <w:vAlign w:val="center"/>
          </w:tcPr>
          <w:p w14:paraId="0B4EAEE0" w14:textId="32CF3B1D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SQL Server Express database LAZA_DATA_PLATFORM_DEV.</w:t>
            </w:r>
          </w:p>
        </w:tc>
        <w:tc>
          <w:tcPr>
            <w:tcW w:w="1667" w:type="pct"/>
            <w:vAlign w:val="center"/>
          </w:tcPr>
          <w:p w14:paraId="6497845E" w14:textId="531B8F8A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Maps naturally to BigQuery datasets by layer.</w:t>
            </w:r>
          </w:p>
        </w:tc>
      </w:tr>
      <w:tr w:rsidR="00D827A8" w:rsidRPr="00D827A8" w14:paraId="2189874E" w14:textId="77777777" w:rsidTr="00D827A8">
        <w:tc>
          <w:tcPr>
            <w:tcW w:w="1667" w:type="pct"/>
            <w:vAlign w:val="center"/>
          </w:tcPr>
          <w:p w14:paraId="497D9870" w14:textId="635E905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Bronze files</w:t>
            </w:r>
          </w:p>
        </w:tc>
        <w:tc>
          <w:tcPr>
            <w:tcW w:w="1667" w:type="pct"/>
            <w:vAlign w:val="center"/>
          </w:tcPr>
          <w:p w14:paraId="724DD6DA" w14:textId="3DD3AF45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Local governed archive under D:\LAZA_DATA.</w:t>
            </w:r>
          </w:p>
        </w:tc>
        <w:tc>
          <w:tcPr>
            <w:tcW w:w="1667" w:type="pct"/>
            <w:vAlign w:val="center"/>
          </w:tcPr>
          <w:p w14:paraId="2F38650E" w14:textId="7CF7D23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Maps to Cloud Storage buckets with retention and object versioning.</w:t>
            </w:r>
          </w:p>
        </w:tc>
      </w:tr>
      <w:tr w:rsidR="00D827A8" w:rsidRPr="00D827A8" w14:paraId="2AC61F3B" w14:textId="77777777" w:rsidTr="00D827A8">
        <w:tc>
          <w:tcPr>
            <w:tcW w:w="1667" w:type="pct"/>
            <w:vAlign w:val="center"/>
          </w:tcPr>
          <w:p w14:paraId="34187E2C" w14:textId="4A48744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Medallion model</w:t>
            </w:r>
          </w:p>
        </w:tc>
        <w:tc>
          <w:tcPr>
            <w:tcW w:w="1667" w:type="pct"/>
            <w:vAlign w:val="center"/>
          </w:tcPr>
          <w:p w14:paraId="2AAD38B9" w14:textId="58A0A738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SQL Server schemas for control, audit, reference, bronze, silver, dq, gold and api.</w:t>
            </w:r>
          </w:p>
        </w:tc>
        <w:tc>
          <w:tcPr>
            <w:tcW w:w="1667" w:type="pct"/>
            <w:vAlign w:val="center"/>
          </w:tcPr>
          <w:p w14:paraId="5265E9C5" w14:textId="263C05B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Maps to BigQuery datasets and governed API views.</w:t>
            </w:r>
          </w:p>
        </w:tc>
      </w:tr>
      <w:tr w:rsidR="00D827A8" w:rsidRPr="00D827A8" w14:paraId="7DB0EDB3" w14:textId="77777777" w:rsidTr="00D827A8">
        <w:tc>
          <w:tcPr>
            <w:tcW w:w="1667" w:type="pct"/>
            <w:vAlign w:val="center"/>
          </w:tcPr>
          <w:p w14:paraId="0DA8ED28" w14:textId="67B4B079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Orchestration</w:t>
            </w:r>
          </w:p>
        </w:tc>
        <w:tc>
          <w:tcPr>
            <w:tcW w:w="1667" w:type="pct"/>
            <w:vAlign w:val="center"/>
          </w:tcPr>
          <w:p w14:paraId="249EDF64" w14:textId="19E2EE1F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PowerShell, Python, Node scripts and Windows Task Scheduler.</w:t>
            </w:r>
          </w:p>
        </w:tc>
        <w:tc>
          <w:tcPr>
            <w:tcW w:w="1667" w:type="pct"/>
            <w:vAlign w:val="center"/>
          </w:tcPr>
          <w:p w14:paraId="7DECBA38" w14:textId="31D5DEC6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Maps to Cloud Scheduler, Cloud Run Jobs and Workflows.</w:t>
            </w:r>
          </w:p>
        </w:tc>
      </w:tr>
      <w:tr w:rsidR="00D827A8" w:rsidRPr="00D827A8" w14:paraId="0BEF5F8D" w14:textId="77777777" w:rsidTr="00D827A8">
        <w:tc>
          <w:tcPr>
            <w:tcW w:w="1667" w:type="pct"/>
            <w:vAlign w:val="center"/>
          </w:tcPr>
          <w:p w14:paraId="079BF9DF" w14:textId="74D01EA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Admin/auth</w:t>
            </w:r>
          </w:p>
        </w:tc>
        <w:tc>
          <w:tcPr>
            <w:tcW w:w="1667" w:type="pct"/>
            <w:vAlign w:val="center"/>
          </w:tcPr>
          <w:p w14:paraId="05CD8DA6" w14:textId="6F34ECDE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Local username/password with HttpOnly session.</w:t>
            </w:r>
          </w:p>
        </w:tc>
        <w:tc>
          <w:tcPr>
            <w:tcW w:w="1667" w:type="pct"/>
            <w:vAlign w:val="center"/>
          </w:tcPr>
          <w:p w14:paraId="39BFBE2C" w14:textId="5C6FF8C2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Needs cloud identity integration before public production use.</w:t>
            </w:r>
          </w:p>
        </w:tc>
      </w:tr>
      <w:tr w:rsidR="00D827A8" w:rsidRPr="00D827A8" w14:paraId="005D535B" w14:textId="77777777" w:rsidTr="00D827A8">
        <w:tc>
          <w:tcPr>
            <w:tcW w:w="1667" w:type="pct"/>
            <w:vAlign w:val="center"/>
          </w:tcPr>
          <w:p w14:paraId="79315539" w14:textId="4EA70AE9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Observability</w:t>
            </w:r>
          </w:p>
        </w:tc>
        <w:tc>
          <w:tcPr>
            <w:tcW w:w="1667" w:type="pct"/>
            <w:vAlign w:val="center"/>
          </w:tcPr>
          <w:p w14:paraId="749F63F7" w14:textId="795A5DB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Local service checks and future backlog logging.</w:t>
            </w:r>
          </w:p>
        </w:tc>
        <w:tc>
          <w:tcPr>
            <w:tcW w:w="1667" w:type="pct"/>
            <w:vAlign w:val="center"/>
          </w:tcPr>
          <w:p w14:paraId="21CAE91A" w14:textId="1ACA23DA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Maps to Cloud Logging, Error Reporting, Monitoring and alert policies.</w:t>
            </w:r>
          </w:p>
        </w:tc>
      </w:tr>
    </w:tbl>
    <w:p w14:paraId="335170C0" w14:textId="77777777" w:rsidR="00D827A8" w:rsidRDefault="00D827A8" w:rsidP="00D827A8"/>
    <w:p w14:paraId="2A27A1F4" w14:textId="04199239" w:rsidR="00D827A8" w:rsidRDefault="00D827A8" w:rsidP="00D827A8">
      <w:pPr>
        <w:pStyle w:val="Heading1"/>
      </w:pPr>
      <w:r>
        <w:t>3. Target Google Cloud architecture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22"/>
        <w:gridCol w:w="3522"/>
        <w:gridCol w:w="3520"/>
      </w:tblGrid>
      <w:tr w:rsidR="00D827A8" w:rsidRPr="00D827A8" w14:paraId="26B7E164" w14:textId="77777777" w:rsidTr="00D827A8">
        <w:tc>
          <w:tcPr>
            <w:tcW w:w="1667" w:type="pct"/>
            <w:shd w:val="clear" w:color="auto" w:fill="033189"/>
            <w:vAlign w:val="center"/>
          </w:tcPr>
          <w:p w14:paraId="28488CF1" w14:textId="5046CD8D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Current layer or service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0253CE99" w14:textId="474876FC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Google Cloud target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64297D46" w14:textId="420981E8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Notes</w:t>
            </w:r>
          </w:p>
        </w:tc>
      </w:tr>
      <w:tr w:rsidR="00D827A8" w:rsidRPr="00D827A8" w14:paraId="3411D11E" w14:textId="77777777" w:rsidTr="00D827A8">
        <w:tc>
          <w:tcPr>
            <w:tcW w:w="1667" w:type="pct"/>
            <w:vAlign w:val="center"/>
          </w:tcPr>
          <w:p w14:paraId="774E8693" w14:textId="01C96B64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D:\LAZA_DATA\landing</w:t>
            </w:r>
          </w:p>
        </w:tc>
        <w:tc>
          <w:tcPr>
            <w:tcW w:w="1667" w:type="pct"/>
            <w:vAlign w:val="center"/>
          </w:tcPr>
          <w:p w14:paraId="1A8DC006" w14:textId="27298118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Cloud Storage laza-&lt;env&gt;-landing</w:t>
            </w:r>
          </w:p>
        </w:tc>
        <w:tc>
          <w:tcPr>
            <w:tcW w:w="1667" w:type="pct"/>
            <w:vAlign w:val="center"/>
          </w:tcPr>
          <w:p w14:paraId="4B0C5B27" w14:textId="7E4A3E2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Temporary source drop zone with short retention.</w:t>
            </w:r>
          </w:p>
        </w:tc>
      </w:tr>
      <w:tr w:rsidR="00D827A8" w:rsidRPr="00D827A8" w14:paraId="29CF8FBE" w14:textId="77777777" w:rsidTr="00D827A8">
        <w:tc>
          <w:tcPr>
            <w:tcW w:w="1667" w:type="pct"/>
            <w:vAlign w:val="center"/>
          </w:tcPr>
          <w:p w14:paraId="2A903F98" w14:textId="014027A2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D:\LAZA_DATA\archive</w:t>
            </w:r>
          </w:p>
        </w:tc>
        <w:tc>
          <w:tcPr>
            <w:tcW w:w="1667" w:type="pct"/>
            <w:vAlign w:val="center"/>
          </w:tcPr>
          <w:p w14:paraId="7AE47FEF" w14:textId="153D18E4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Cloud Storage laza-&lt;env&gt;-bronze-assets</w:t>
            </w:r>
          </w:p>
        </w:tc>
        <w:tc>
          <w:tcPr>
            <w:tcW w:w="1667" w:type="pct"/>
            <w:vAlign w:val="center"/>
          </w:tcPr>
          <w:p w14:paraId="2B0CEC3C" w14:textId="63F0AEA8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Immutable official source archive with object versioning.</w:t>
            </w:r>
          </w:p>
        </w:tc>
      </w:tr>
      <w:tr w:rsidR="00D827A8" w:rsidRPr="00D827A8" w14:paraId="7C66AC95" w14:textId="77777777" w:rsidTr="00D827A8">
        <w:tc>
          <w:tcPr>
            <w:tcW w:w="1667" w:type="pct"/>
            <w:vAlign w:val="center"/>
          </w:tcPr>
          <w:p w14:paraId="1ACA2C9D" w14:textId="2369417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D:\LAZA_DATA\rejected</w:t>
            </w:r>
          </w:p>
        </w:tc>
        <w:tc>
          <w:tcPr>
            <w:tcW w:w="1667" w:type="pct"/>
            <w:vAlign w:val="center"/>
          </w:tcPr>
          <w:p w14:paraId="591E4C8A" w14:textId="1801D0C5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Cloud Storage laza-&lt;env&gt;-rejected</w:t>
            </w:r>
          </w:p>
        </w:tc>
        <w:tc>
          <w:tcPr>
            <w:tcW w:w="1667" w:type="pct"/>
            <w:vAlign w:val="center"/>
          </w:tcPr>
          <w:p w14:paraId="7A6B2B3D" w14:textId="18B2DB2D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Failed payloads, parsing errors and rejected extracts.</w:t>
            </w:r>
          </w:p>
        </w:tc>
      </w:tr>
      <w:tr w:rsidR="00D827A8" w:rsidRPr="00D827A8" w14:paraId="6D87328B" w14:textId="77777777" w:rsidTr="00D827A8">
        <w:tc>
          <w:tcPr>
            <w:tcW w:w="1667" w:type="pct"/>
            <w:vAlign w:val="center"/>
          </w:tcPr>
          <w:p w14:paraId="09F7BFDA" w14:textId="208F1D6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SQL Server control</w:t>
            </w:r>
          </w:p>
        </w:tc>
        <w:tc>
          <w:tcPr>
            <w:tcW w:w="1667" w:type="pct"/>
            <w:vAlign w:val="center"/>
          </w:tcPr>
          <w:p w14:paraId="0087BB15" w14:textId="2D669F0D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BigQuery dataset control</w:t>
            </w:r>
          </w:p>
        </w:tc>
        <w:tc>
          <w:tcPr>
            <w:tcW w:w="1667" w:type="pct"/>
            <w:vAlign w:val="center"/>
          </w:tcPr>
          <w:p w14:paraId="7220C089" w14:textId="54F091E2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Pipeline definitions, runs, batches and operational state.</w:t>
            </w:r>
          </w:p>
        </w:tc>
      </w:tr>
      <w:tr w:rsidR="00D827A8" w:rsidRPr="00D827A8" w14:paraId="53287DA4" w14:textId="77777777" w:rsidTr="00D827A8">
        <w:tc>
          <w:tcPr>
            <w:tcW w:w="1667" w:type="pct"/>
            <w:vAlign w:val="center"/>
          </w:tcPr>
          <w:p w14:paraId="76AADDBA" w14:textId="2C1974FA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SQL Server audit</w:t>
            </w:r>
          </w:p>
        </w:tc>
        <w:tc>
          <w:tcPr>
            <w:tcW w:w="1667" w:type="pct"/>
            <w:vAlign w:val="center"/>
          </w:tcPr>
          <w:p w14:paraId="140923AE" w14:textId="67A9678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BigQuery dataset audit</w:t>
            </w:r>
          </w:p>
        </w:tc>
        <w:tc>
          <w:tcPr>
            <w:tcW w:w="1667" w:type="pct"/>
            <w:vAlign w:val="center"/>
          </w:tcPr>
          <w:p w14:paraId="3DAA8E79" w14:textId="68F63FB2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Append-only operational events and rejected-record metadata.</w:t>
            </w:r>
          </w:p>
        </w:tc>
      </w:tr>
      <w:tr w:rsidR="00D827A8" w:rsidRPr="00D827A8" w14:paraId="1F9A1C10" w14:textId="77777777" w:rsidTr="00D827A8">
        <w:tc>
          <w:tcPr>
            <w:tcW w:w="1667" w:type="pct"/>
            <w:vAlign w:val="center"/>
          </w:tcPr>
          <w:p w14:paraId="5368D392" w14:textId="49F687B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SQL Server reference</w:t>
            </w:r>
          </w:p>
        </w:tc>
        <w:tc>
          <w:tcPr>
            <w:tcW w:w="1667" w:type="pct"/>
            <w:vAlign w:val="center"/>
          </w:tcPr>
          <w:p w14:paraId="77895D74" w14:textId="11C0B76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BigQuery dataset reference</w:t>
            </w:r>
          </w:p>
        </w:tc>
        <w:tc>
          <w:tcPr>
            <w:tcW w:w="1667" w:type="pct"/>
            <w:vAlign w:val="center"/>
          </w:tcPr>
          <w:p w14:paraId="6BD32E0A" w14:textId="29495219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Sources, units, geographies, frequencies and controlled vocabularies.</w:t>
            </w:r>
          </w:p>
        </w:tc>
      </w:tr>
      <w:tr w:rsidR="00D827A8" w:rsidRPr="00D827A8" w14:paraId="49D4056B" w14:textId="77777777" w:rsidTr="00D827A8">
        <w:tc>
          <w:tcPr>
            <w:tcW w:w="1667" w:type="pct"/>
            <w:vAlign w:val="center"/>
          </w:tcPr>
          <w:p w14:paraId="763350F9" w14:textId="7CDF54D5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SQL Server bronze</w:t>
            </w:r>
          </w:p>
        </w:tc>
        <w:tc>
          <w:tcPr>
            <w:tcW w:w="1667" w:type="pct"/>
            <w:vAlign w:val="center"/>
          </w:tcPr>
          <w:p w14:paraId="29B66562" w14:textId="1EC661B9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BigQuery dataset bronze</w:t>
            </w:r>
          </w:p>
        </w:tc>
        <w:tc>
          <w:tcPr>
            <w:tcW w:w="1667" w:type="pct"/>
            <w:vAlign w:val="center"/>
          </w:tcPr>
          <w:p w14:paraId="555C1D11" w14:textId="3B9FB0E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Raw records; source files remain in Cloud Storage.</w:t>
            </w:r>
          </w:p>
        </w:tc>
      </w:tr>
      <w:tr w:rsidR="00D827A8" w:rsidRPr="00D827A8" w14:paraId="2BE0985F" w14:textId="77777777" w:rsidTr="00D827A8">
        <w:tc>
          <w:tcPr>
            <w:tcW w:w="1667" w:type="pct"/>
            <w:vAlign w:val="center"/>
          </w:tcPr>
          <w:p w14:paraId="65E0B774" w14:textId="785163D4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SQL Server silver</w:t>
            </w:r>
          </w:p>
        </w:tc>
        <w:tc>
          <w:tcPr>
            <w:tcW w:w="1667" w:type="pct"/>
            <w:vAlign w:val="center"/>
          </w:tcPr>
          <w:p w14:paraId="78EAD852" w14:textId="656FAFC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BigQuery dataset silver</w:t>
            </w:r>
          </w:p>
        </w:tc>
        <w:tc>
          <w:tcPr>
            <w:tcW w:w="1667" w:type="pct"/>
            <w:vAlign w:val="center"/>
          </w:tcPr>
          <w:p w14:paraId="6479B34E" w14:textId="08B7579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Canonical observations and series definitions.</w:t>
            </w:r>
          </w:p>
        </w:tc>
      </w:tr>
      <w:tr w:rsidR="00D827A8" w:rsidRPr="00D827A8" w14:paraId="3D84B2DC" w14:textId="77777777" w:rsidTr="00D827A8">
        <w:tc>
          <w:tcPr>
            <w:tcW w:w="1667" w:type="pct"/>
            <w:vAlign w:val="center"/>
          </w:tcPr>
          <w:p w14:paraId="6242309A" w14:textId="7CA6E2D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SQL Server dq</w:t>
            </w:r>
          </w:p>
        </w:tc>
        <w:tc>
          <w:tcPr>
            <w:tcW w:w="1667" w:type="pct"/>
            <w:vAlign w:val="center"/>
          </w:tcPr>
          <w:p w14:paraId="204F77B6" w14:textId="295A10ED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BigQuery dataset dq</w:t>
            </w:r>
          </w:p>
        </w:tc>
        <w:tc>
          <w:tcPr>
            <w:tcW w:w="1667" w:type="pct"/>
            <w:vAlign w:val="center"/>
          </w:tcPr>
          <w:p w14:paraId="23B04CF2" w14:textId="7F48297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Rules, executions, exceptions, approvals and scores.</w:t>
            </w:r>
          </w:p>
        </w:tc>
      </w:tr>
      <w:tr w:rsidR="00D827A8" w:rsidRPr="00D827A8" w14:paraId="0F3F3652" w14:textId="77777777" w:rsidTr="00D827A8">
        <w:tc>
          <w:tcPr>
            <w:tcW w:w="1667" w:type="pct"/>
            <w:vAlign w:val="center"/>
          </w:tcPr>
          <w:p w14:paraId="26CE7EAF" w14:textId="0E6AA99F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SQL Server gold</w:t>
            </w:r>
          </w:p>
        </w:tc>
        <w:tc>
          <w:tcPr>
            <w:tcW w:w="1667" w:type="pct"/>
            <w:vAlign w:val="center"/>
          </w:tcPr>
          <w:p w14:paraId="5ADED477" w14:textId="2CF9FD06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BigQuery dataset gold</w:t>
            </w:r>
          </w:p>
        </w:tc>
        <w:tc>
          <w:tcPr>
            <w:tcW w:w="1667" w:type="pct"/>
            <w:vAlign w:val="center"/>
          </w:tcPr>
          <w:p w14:paraId="3189D1B7" w14:textId="0D6C94DE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Consumption facts and dimensions.</w:t>
            </w:r>
          </w:p>
        </w:tc>
      </w:tr>
      <w:tr w:rsidR="00D827A8" w:rsidRPr="00D827A8" w14:paraId="4CF4D967" w14:textId="77777777" w:rsidTr="00D827A8">
        <w:tc>
          <w:tcPr>
            <w:tcW w:w="1667" w:type="pct"/>
            <w:vAlign w:val="center"/>
          </w:tcPr>
          <w:p w14:paraId="07139D4B" w14:textId="1997B948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SQL Server api views</w:t>
            </w:r>
          </w:p>
        </w:tc>
        <w:tc>
          <w:tcPr>
            <w:tcW w:w="1667" w:type="pct"/>
            <w:vAlign w:val="center"/>
          </w:tcPr>
          <w:p w14:paraId="1685EDE3" w14:textId="6CABAE35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BigQuery views or materialized views</w:t>
            </w:r>
          </w:p>
        </w:tc>
        <w:tc>
          <w:tcPr>
            <w:tcW w:w="1667" w:type="pct"/>
            <w:vAlign w:val="center"/>
          </w:tcPr>
          <w:p w14:paraId="2B03D450" w14:textId="11472A28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Stable read contract for the API.</w:t>
            </w:r>
          </w:p>
        </w:tc>
      </w:tr>
      <w:tr w:rsidR="00D827A8" w:rsidRPr="00D827A8" w14:paraId="6C1D22E8" w14:textId="77777777" w:rsidTr="00D827A8">
        <w:tc>
          <w:tcPr>
            <w:tcW w:w="1667" w:type="pct"/>
            <w:vAlign w:val="center"/>
          </w:tcPr>
          <w:p w14:paraId="6845242D" w14:textId="72290098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Node API</w:t>
            </w:r>
          </w:p>
        </w:tc>
        <w:tc>
          <w:tcPr>
            <w:tcW w:w="1667" w:type="pct"/>
            <w:vAlign w:val="center"/>
          </w:tcPr>
          <w:p w14:paraId="3F89B16F" w14:textId="2A08ACA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Cloud Run service</w:t>
            </w:r>
          </w:p>
        </w:tc>
        <w:tc>
          <w:tcPr>
            <w:tcW w:w="1667" w:type="pct"/>
            <w:vAlign w:val="center"/>
          </w:tcPr>
          <w:p w14:paraId="2068B60F" w14:textId="29D51A3A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Public/private API, health checks and download endpoints.</w:t>
            </w:r>
          </w:p>
        </w:tc>
      </w:tr>
      <w:tr w:rsidR="00D827A8" w:rsidRPr="00D827A8" w14:paraId="75553786" w14:textId="77777777" w:rsidTr="00D827A8">
        <w:tc>
          <w:tcPr>
            <w:tcW w:w="1667" w:type="pct"/>
            <w:vAlign w:val="center"/>
          </w:tcPr>
          <w:p w14:paraId="34D106BB" w14:textId="6F5BF171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Static web build</w:t>
            </w:r>
          </w:p>
        </w:tc>
        <w:tc>
          <w:tcPr>
            <w:tcW w:w="1667" w:type="pct"/>
            <w:vAlign w:val="center"/>
          </w:tcPr>
          <w:p w14:paraId="51FC15DD" w14:textId="354A7C1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Firebase Hosting or Cloud Run</w:t>
            </w:r>
          </w:p>
        </w:tc>
        <w:tc>
          <w:tcPr>
            <w:tcW w:w="1667" w:type="pct"/>
            <w:vAlign w:val="center"/>
          </w:tcPr>
          <w:p w14:paraId="4EDFA8A2" w14:textId="0587DB9F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Firebase Hosting is cleaner for static web; Cloud Run is simpler if API and web stay together.</w:t>
            </w:r>
          </w:p>
        </w:tc>
      </w:tr>
      <w:tr w:rsidR="00D827A8" w:rsidRPr="00D827A8" w14:paraId="55405169" w14:textId="77777777" w:rsidTr="00D827A8">
        <w:tc>
          <w:tcPr>
            <w:tcW w:w="1667" w:type="pct"/>
            <w:vAlign w:val="center"/>
          </w:tcPr>
          <w:p w14:paraId="6140065D" w14:textId="4801250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Scheduled scripts</w:t>
            </w:r>
          </w:p>
        </w:tc>
        <w:tc>
          <w:tcPr>
            <w:tcW w:w="1667" w:type="pct"/>
            <w:vAlign w:val="center"/>
          </w:tcPr>
          <w:p w14:paraId="70411332" w14:textId="6EF53A5A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Cloud Run Jobs + Cloud Scheduler</w:t>
            </w:r>
          </w:p>
        </w:tc>
        <w:tc>
          <w:tcPr>
            <w:tcW w:w="1667" w:type="pct"/>
            <w:vAlign w:val="center"/>
          </w:tcPr>
          <w:p w14:paraId="0B8A5735" w14:textId="50CC883A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One job per official-source family or pr</w:t>
            </w:r>
            <w:r>
              <w:rPr>
                <w:sz w:val="16"/>
              </w:rPr>
              <w:lastRenderedPageBreak/>
              <w:t>oduct group.</w:t>
            </w:r>
          </w:p>
        </w:tc>
      </w:tr>
      <w:tr w:rsidR="00D827A8" w:rsidRPr="00D827A8" w14:paraId="0C931E74" w14:textId="77777777" w:rsidTr="00D827A8">
        <w:tc>
          <w:tcPr>
            <w:tcW w:w="1667" w:type="pct"/>
            <w:vAlign w:val="center"/>
          </w:tcPr>
          <w:p w14:paraId="1F801C16" w14:textId="51930AE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Secrets</w:t>
            </w:r>
          </w:p>
        </w:tc>
        <w:tc>
          <w:tcPr>
            <w:tcW w:w="1667" w:type="pct"/>
            <w:vAlign w:val="center"/>
          </w:tcPr>
          <w:p w14:paraId="10C243E6" w14:textId="11157CEF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Secret Manager</w:t>
            </w:r>
          </w:p>
        </w:tc>
        <w:tc>
          <w:tcPr>
            <w:tcW w:w="1667" w:type="pct"/>
            <w:vAlign w:val="center"/>
          </w:tcPr>
          <w:p w14:paraId="07B3821C" w14:textId="0066A7D5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No secrets in .env, scripts or repository.</w:t>
            </w:r>
          </w:p>
        </w:tc>
      </w:tr>
      <w:tr w:rsidR="00D827A8" w:rsidRPr="00D827A8" w14:paraId="03DF9053" w14:textId="77777777" w:rsidTr="00D827A8">
        <w:tc>
          <w:tcPr>
            <w:tcW w:w="1667" w:type="pct"/>
            <w:vAlign w:val="center"/>
          </w:tcPr>
          <w:p w14:paraId="0303F70D" w14:textId="7D414308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Admin access</w:t>
            </w:r>
          </w:p>
        </w:tc>
        <w:tc>
          <w:tcPr>
            <w:tcW w:w="1667" w:type="pct"/>
            <w:vAlign w:val="center"/>
          </w:tcPr>
          <w:p w14:paraId="4A2955F5" w14:textId="4BB5940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Identity Platform, IAP or IAM-based admin</w:t>
            </w:r>
          </w:p>
        </w:tc>
        <w:tc>
          <w:tcPr>
            <w:tcW w:w="1667" w:type="pct"/>
            <w:vAlign w:val="center"/>
          </w:tcPr>
          <w:p w14:paraId="2ED3869A" w14:textId="0FFBA33D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Prefer Google identity for admin authorization.</w:t>
            </w:r>
          </w:p>
        </w:tc>
      </w:tr>
      <w:tr w:rsidR="00D827A8" w:rsidRPr="00D827A8" w14:paraId="010FA558" w14:textId="77777777" w:rsidTr="00D827A8">
        <w:tc>
          <w:tcPr>
            <w:tcW w:w="1667" w:type="pct"/>
            <w:vAlign w:val="center"/>
          </w:tcPr>
          <w:p w14:paraId="32B0737B" w14:textId="43B2097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Logs and metrics</w:t>
            </w:r>
          </w:p>
        </w:tc>
        <w:tc>
          <w:tcPr>
            <w:tcW w:w="1667" w:type="pct"/>
            <w:vAlign w:val="center"/>
          </w:tcPr>
          <w:p w14:paraId="364AF96B" w14:textId="2021FDD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Cloud Logging and Cloud Monitoring</w:t>
            </w:r>
          </w:p>
        </w:tc>
        <w:tc>
          <w:tcPr>
            <w:tcW w:w="1667" w:type="pct"/>
            <w:vAlign w:val="center"/>
          </w:tcPr>
          <w:p w14:paraId="754F5F80" w14:textId="5312D766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Alert on failed jobs, stale indicators, missing files and API errors.</w:t>
            </w:r>
          </w:p>
        </w:tc>
      </w:tr>
    </w:tbl>
    <w:p w14:paraId="1D843FC7" w14:textId="77777777" w:rsidR="00D827A8" w:rsidRDefault="00D827A8" w:rsidP="00D827A8"/>
    <w:p w14:paraId="46321B82" w14:textId="30C32577" w:rsidR="00D827A8" w:rsidRDefault="00D827A8" w:rsidP="00D827A8">
      <w:pPr>
        <w:pStyle w:val="Heading1"/>
      </w:pPr>
      <w:r>
        <w:t>4. Medallion data model mapping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D827A8" w:rsidRPr="00D827A8" w14:paraId="3A3D4A66" w14:textId="77777777" w:rsidTr="00D827A8">
        <w:tc>
          <w:tcPr>
            <w:tcW w:w="1250" w:type="pct"/>
            <w:shd w:val="clear" w:color="auto" w:fill="033189"/>
            <w:vAlign w:val="center"/>
          </w:tcPr>
          <w:p w14:paraId="3121CDD0" w14:textId="3221B205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Local schema</w:t>
            </w:r>
          </w:p>
        </w:tc>
        <w:tc>
          <w:tcPr>
            <w:tcW w:w="1250" w:type="pct"/>
            <w:shd w:val="clear" w:color="auto" w:fill="033189"/>
            <w:vAlign w:val="center"/>
          </w:tcPr>
          <w:p w14:paraId="78E16645" w14:textId="51B73F62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BigQuery dataset</w:t>
            </w:r>
          </w:p>
        </w:tc>
        <w:tc>
          <w:tcPr>
            <w:tcW w:w="1250" w:type="pct"/>
            <w:shd w:val="clear" w:color="auto" w:fill="033189"/>
            <w:vAlign w:val="center"/>
          </w:tcPr>
          <w:p w14:paraId="7A1D70BB" w14:textId="7E077D12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Storage principle</w:t>
            </w:r>
          </w:p>
        </w:tc>
        <w:tc>
          <w:tcPr>
            <w:tcW w:w="1250" w:type="pct"/>
            <w:shd w:val="clear" w:color="auto" w:fill="033189"/>
            <w:vAlign w:val="center"/>
          </w:tcPr>
          <w:p w14:paraId="567AA5F3" w14:textId="00562004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Partition and clustering suggestion</w:t>
            </w:r>
          </w:p>
        </w:tc>
      </w:tr>
      <w:tr w:rsidR="00D827A8" w:rsidRPr="00D827A8" w14:paraId="44DE6335" w14:textId="77777777" w:rsidTr="00D827A8">
        <w:tc>
          <w:tcPr>
            <w:tcW w:w="1250" w:type="pct"/>
            <w:vAlign w:val="center"/>
          </w:tcPr>
          <w:p w14:paraId="5C5BECD7" w14:textId="0316F254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control</w:t>
            </w:r>
          </w:p>
        </w:tc>
        <w:tc>
          <w:tcPr>
            <w:tcW w:w="1250" w:type="pct"/>
            <w:vAlign w:val="center"/>
          </w:tcPr>
          <w:p w14:paraId="4D99E060" w14:textId="225B2ED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control</w:t>
            </w:r>
          </w:p>
        </w:tc>
        <w:tc>
          <w:tcPr>
            <w:tcW w:w="1250" w:type="pct"/>
            <w:vAlign w:val="center"/>
          </w:tcPr>
          <w:p w14:paraId="2341AEC6" w14:textId="1F20203F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Operational metadata.</w:t>
            </w:r>
          </w:p>
        </w:tc>
        <w:tc>
          <w:tcPr>
            <w:tcW w:w="1250" w:type="pct"/>
            <w:vAlign w:val="center"/>
          </w:tcPr>
          <w:p w14:paraId="29DAAAFD" w14:textId="2E81CF0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Partition pipeline runs by start date; cluster by pipeline code.</w:t>
            </w:r>
          </w:p>
        </w:tc>
      </w:tr>
      <w:tr w:rsidR="00D827A8" w:rsidRPr="00D827A8" w14:paraId="51F04BE2" w14:textId="77777777" w:rsidTr="00D827A8">
        <w:tc>
          <w:tcPr>
            <w:tcW w:w="1250" w:type="pct"/>
            <w:vAlign w:val="center"/>
          </w:tcPr>
          <w:p w14:paraId="2290C40B" w14:textId="44F0930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audit</w:t>
            </w:r>
          </w:p>
        </w:tc>
        <w:tc>
          <w:tcPr>
            <w:tcW w:w="1250" w:type="pct"/>
            <w:vAlign w:val="center"/>
          </w:tcPr>
          <w:p w14:paraId="26BDA108" w14:textId="5C45545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audit</w:t>
            </w:r>
          </w:p>
        </w:tc>
        <w:tc>
          <w:tcPr>
            <w:tcW w:w="1250" w:type="pct"/>
            <w:vAlign w:val="center"/>
          </w:tcPr>
          <w:p w14:paraId="53D76AE0" w14:textId="6AC05E45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Append-only events.</w:t>
            </w:r>
          </w:p>
        </w:tc>
        <w:tc>
          <w:tcPr>
            <w:tcW w:w="1250" w:type="pct"/>
            <w:vAlign w:val="center"/>
          </w:tcPr>
          <w:p w14:paraId="0A2BEB58" w14:textId="70ED7BC4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Partition by event timestamp; cluster by severity and pipeline.</w:t>
            </w:r>
          </w:p>
        </w:tc>
      </w:tr>
      <w:tr w:rsidR="00D827A8" w:rsidRPr="00D827A8" w14:paraId="67661EC1" w14:textId="77777777" w:rsidTr="00D827A8">
        <w:tc>
          <w:tcPr>
            <w:tcW w:w="1250" w:type="pct"/>
            <w:vAlign w:val="center"/>
          </w:tcPr>
          <w:p w14:paraId="0A9C10CB" w14:textId="61B2145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reference</w:t>
            </w:r>
          </w:p>
        </w:tc>
        <w:tc>
          <w:tcPr>
            <w:tcW w:w="1250" w:type="pct"/>
            <w:vAlign w:val="center"/>
          </w:tcPr>
          <w:p w14:paraId="203D009C" w14:textId="07C29364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reference</w:t>
            </w:r>
          </w:p>
        </w:tc>
        <w:tc>
          <w:tcPr>
            <w:tcW w:w="1250" w:type="pct"/>
            <w:vAlign w:val="center"/>
          </w:tcPr>
          <w:p w14:paraId="5F4D1160" w14:textId="4E9D11A2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Small governed dimensions.</w:t>
            </w:r>
          </w:p>
        </w:tc>
        <w:tc>
          <w:tcPr>
            <w:tcW w:w="1250" w:type="pct"/>
            <w:vAlign w:val="center"/>
          </w:tcPr>
          <w:p w14:paraId="2AA06C43" w14:textId="7ABA576E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No partition required.</w:t>
            </w:r>
          </w:p>
        </w:tc>
      </w:tr>
      <w:tr w:rsidR="00D827A8" w:rsidRPr="00D827A8" w14:paraId="4436905E" w14:textId="77777777" w:rsidTr="00D827A8">
        <w:tc>
          <w:tcPr>
            <w:tcW w:w="1250" w:type="pct"/>
            <w:vAlign w:val="center"/>
          </w:tcPr>
          <w:p w14:paraId="53B6B8D7" w14:textId="59B90029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bronze</w:t>
            </w:r>
          </w:p>
        </w:tc>
        <w:tc>
          <w:tcPr>
            <w:tcW w:w="1250" w:type="pct"/>
            <w:vAlign w:val="center"/>
          </w:tcPr>
          <w:p w14:paraId="23DDEB12" w14:textId="2947FFA2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bronze</w:t>
            </w:r>
          </w:p>
        </w:tc>
        <w:tc>
          <w:tcPr>
            <w:tcW w:w="1250" w:type="pct"/>
            <w:vAlign w:val="center"/>
          </w:tcPr>
          <w:p w14:paraId="138FD8A6" w14:textId="4A26C26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Raw source records and lineage.</w:t>
            </w:r>
          </w:p>
        </w:tc>
        <w:tc>
          <w:tcPr>
            <w:tcW w:w="1250" w:type="pct"/>
            <w:vAlign w:val="center"/>
          </w:tcPr>
          <w:p w14:paraId="10771A3F" w14:textId="4BFD512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Partition by ingestion date; cluster by source and indicator.</w:t>
            </w:r>
          </w:p>
        </w:tc>
      </w:tr>
      <w:tr w:rsidR="00D827A8" w:rsidRPr="00D827A8" w14:paraId="38D8F67A" w14:textId="77777777" w:rsidTr="00D827A8">
        <w:tc>
          <w:tcPr>
            <w:tcW w:w="1250" w:type="pct"/>
            <w:vAlign w:val="center"/>
          </w:tcPr>
          <w:p w14:paraId="7C4D49CD" w14:textId="501FD7B4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silver</w:t>
            </w:r>
          </w:p>
        </w:tc>
        <w:tc>
          <w:tcPr>
            <w:tcW w:w="1250" w:type="pct"/>
            <w:vAlign w:val="center"/>
          </w:tcPr>
          <w:p w14:paraId="3C152DA4" w14:textId="70A3029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silver</w:t>
            </w:r>
          </w:p>
        </w:tc>
        <w:tc>
          <w:tcPr>
            <w:tcW w:w="1250" w:type="pct"/>
            <w:vAlign w:val="center"/>
          </w:tcPr>
          <w:p w14:paraId="1384C346" w14:textId="38A7FBEE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Canonical, versioned observations.</w:t>
            </w:r>
          </w:p>
        </w:tc>
        <w:tc>
          <w:tcPr>
            <w:tcW w:w="1250" w:type="pct"/>
            <w:vAlign w:val="center"/>
          </w:tcPr>
          <w:p w14:paraId="67440DF9" w14:textId="1F78AA9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Partition by reference period start or load date; cluster by indicator and series.</w:t>
            </w:r>
          </w:p>
        </w:tc>
      </w:tr>
      <w:tr w:rsidR="00D827A8" w:rsidRPr="00D827A8" w14:paraId="6346642C" w14:textId="77777777" w:rsidTr="00D827A8">
        <w:tc>
          <w:tcPr>
            <w:tcW w:w="1250" w:type="pct"/>
            <w:vAlign w:val="center"/>
          </w:tcPr>
          <w:p w14:paraId="76748B2C" w14:textId="7335F1A5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dq</w:t>
            </w:r>
          </w:p>
        </w:tc>
        <w:tc>
          <w:tcPr>
            <w:tcW w:w="1250" w:type="pct"/>
            <w:vAlign w:val="center"/>
          </w:tcPr>
          <w:p w14:paraId="700C038E" w14:textId="7784320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dq</w:t>
            </w:r>
          </w:p>
        </w:tc>
        <w:tc>
          <w:tcPr>
            <w:tcW w:w="1250" w:type="pct"/>
            <w:vAlign w:val="center"/>
          </w:tcPr>
          <w:p w14:paraId="17F14012" w14:textId="257F8CA9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Rule evidence, approvals and exceptions.</w:t>
            </w:r>
          </w:p>
        </w:tc>
        <w:tc>
          <w:tcPr>
            <w:tcW w:w="1250" w:type="pct"/>
            <w:vAlign w:val="center"/>
          </w:tcPr>
          <w:p w14:paraId="1D33B228" w14:textId="2943F4B4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Partition by execution date; cluster by indicator and rule.</w:t>
            </w:r>
          </w:p>
        </w:tc>
      </w:tr>
      <w:tr w:rsidR="00D827A8" w:rsidRPr="00D827A8" w14:paraId="4FF717A8" w14:textId="77777777" w:rsidTr="00D827A8">
        <w:tc>
          <w:tcPr>
            <w:tcW w:w="1250" w:type="pct"/>
            <w:vAlign w:val="center"/>
          </w:tcPr>
          <w:p w14:paraId="1E7DDC4E" w14:textId="2F0F77E8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gold</w:t>
            </w:r>
          </w:p>
        </w:tc>
        <w:tc>
          <w:tcPr>
            <w:tcW w:w="1250" w:type="pct"/>
            <w:vAlign w:val="center"/>
          </w:tcPr>
          <w:p w14:paraId="5D795A86" w14:textId="7F77C2F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gold</w:t>
            </w:r>
          </w:p>
        </w:tc>
        <w:tc>
          <w:tcPr>
            <w:tcW w:w="1250" w:type="pct"/>
            <w:vAlign w:val="center"/>
          </w:tcPr>
          <w:p w14:paraId="1392BDBE" w14:textId="307E723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Curated consumption facts.</w:t>
            </w:r>
          </w:p>
        </w:tc>
        <w:tc>
          <w:tcPr>
            <w:tcW w:w="1250" w:type="pct"/>
            <w:vAlign w:val="center"/>
          </w:tcPr>
          <w:p w14:paraId="7F85ED8C" w14:textId="7DF079B9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Partition by reference period; cluster by indicator, source and geography.</w:t>
            </w:r>
          </w:p>
        </w:tc>
      </w:tr>
      <w:tr w:rsidR="00D827A8" w:rsidRPr="00D827A8" w14:paraId="24858A91" w14:textId="77777777" w:rsidTr="00D827A8">
        <w:tc>
          <w:tcPr>
            <w:tcW w:w="1250" w:type="pct"/>
            <w:vAlign w:val="center"/>
          </w:tcPr>
          <w:p w14:paraId="5553755A" w14:textId="0D7AB4EE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api</w:t>
            </w:r>
          </w:p>
        </w:tc>
        <w:tc>
          <w:tcPr>
            <w:tcW w:w="1250" w:type="pct"/>
            <w:vAlign w:val="center"/>
          </w:tcPr>
          <w:p w14:paraId="7DC9D80E" w14:textId="377BD8B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api views</w:t>
            </w:r>
          </w:p>
        </w:tc>
        <w:tc>
          <w:tcPr>
            <w:tcW w:w="1250" w:type="pct"/>
            <w:vAlign w:val="center"/>
          </w:tcPr>
          <w:p w14:paraId="43729389" w14:textId="2535BE8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Consumer contract.</w:t>
            </w:r>
          </w:p>
        </w:tc>
        <w:tc>
          <w:tcPr>
            <w:tcW w:w="1250" w:type="pct"/>
            <w:vAlign w:val="center"/>
          </w:tcPr>
          <w:p w14:paraId="1D92D1C1" w14:textId="19DBC11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Views should hide physical table changes from the app.</w:t>
            </w:r>
          </w:p>
        </w:tc>
      </w:tr>
    </w:tbl>
    <w:p w14:paraId="7600BCCD" w14:textId="77777777" w:rsidR="00D827A8" w:rsidRDefault="00D827A8" w:rsidP="00D827A8"/>
    <w:p w14:paraId="4ED027A3" w14:textId="0F055764" w:rsidR="00D827A8" w:rsidRDefault="00D827A8" w:rsidP="00D827A8">
      <w:pPr>
        <w:pStyle w:val="Heading1"/>
      </w:pPr>
      <w:r>
        <w:t>5. Pipeline pattern</w:t>
      </w:r>
    </w:p>
    <w:p w14:paraId="224765B8" w14:textId="441B51DB" w:rsidR="00D827A8" w:rsidRDefault="00D827A8" w:rsidP="00D827A8">
      <w:pPr>
        <w:pStyle w:val="ListParagraph"/>
        <w:numPr>
          <w:ilvl w:val="0"/>
          <w:numId w:val="10"/>
        </w:numPr>
      </w:pPr>
      <w:r>
        <w:t>Extract official source into a Cloud Run Job.</w:t>
      </w:r>
    </w:p>
    <w:p w14:paraId="00E1A265" w14:textId="54EE4FA4" w:rsidR="00D827A8" w:rsidRDefault="00D827A8" w:rsidP="00D827A8">
      <w:pPr>
        <w:pStyle w:val="ListParagraph"/>
        <w:numPr>
          <w:ilvl w:val="0"/>
          <w:numId w:val="10"/>
        </w:numPr>
      </w:pPr>
      <w:r>
        <w:t>Store original file or response in the Cloud Storage Bronze asset bucket.</w:t>
      </w:r>
    </w:p>
    <w:p w14:paraId="21408E56" w14:textId="6262D069" w:rsidR="00D827A8" w:rsidRDefault="00D827A8" w:rsidP="00D827A8">
      <w:pPr>
        <w:pStyle w:val="ListParagraph"/>
        <w:numPr>
          <w:ilvl w:val="0"/>
          <w:numId w:val="10"/>
        </w:numPr>
      </w:pPr>
      <w:r>
        <w:t>Register source asset and raw observations in BigQuery Bronze.</w:t>
      </w:r>
    </w:p>
    <w:p w14:paraId="37724E34" w14:textId="1F4446AF" w:rsidR="00D827A8" w:rsidRDefault="00D827A8" w:rsidP="00D827A8">
      <w:pPr>
        <w:pStyle w:val="ListParagraph"/>
        <w:numPr>
          <w:ilvl w:val="0"/>
          <w:numId w:val="10"/>
        </w:numPr>
      </w:pPr>
      <w:r>
        <w:t>Normalize into BigQuery Silver using SQL, Dataform or a controlled job.</w:t>
      </w:r>
    </w:p>
    <w:p w14:paraId="060567B3" w14:textId="6960D7E7" w:rsidR="00D827A8" w:rsidRDefault="00D827A8" w:rsidP="00D827A8">
      <w:pPr>
        <w:pStyle w:val="ListParagraph"/>
        <w:numPr>
          <w:ilvl w:val="0"/>
          <w:numId w:val="10"/>
        </w:numPr>
      </w:pPr>
      <w:r>
        <w:t>Execute DQ rules and write results to the dq dataset.</w:t>
      </w:r>
    </w:p>
    <w:p w14:paraId="33CC4958" w14:textId="377D81A0" w:rsidR="00D827A8" w:rsidRDefault="00D827A8" w:rsidP="00D827A8">
      <w:pPr>
        <w:pStyle w:val="ListParagraph"/>
        <w:numPr>
          <w:ilvl w:val="0"/>
          <w:numId w:val="10"/>
        </w:numPr>
      </w:pPr>
      <w:r>
        <w:t>Require explicit approval or approved exception for official Gold publication.</w:t>
      </w:r>
    </w:p>
    <w:p w14:paraId="22DB6166" w14:textId="5283FC86" w:rsidR="00D827A8" w:rsidRDefault="00D827A8" w:rsidP="00D827A8">
      <w:pPr>
        <w:pStyle w:val="ListParagraph"/>
        <w:numPr>
          <w:ilvl w:val="0"/>
          <w:numId w:val="10"/>
        </w:numPr>
      </w:pPr>
      <w:r>
        <w:t>Publish to BigQuery Gold through a controlled publish job.</w:t>
      </w:r>
    </w:p>
    <w:p w14:paraId="7A1969BA" w14:textId="15813047" w:rsidR="00D827A8" w:rsidRDefault="00D827A8" w:rsidP="00D827A8">
      <w:pPr>
        <w:pStyle w:val="ListParagraph"/>
        <w:numPr>
          <w:ilvl w:val="0"/>
          <w:numId w:val="10"/>
        </w:numPr>
      </w:pPr>
      <w:r>
        <w:t>Expose only Gold/API views to the Node API and website.</w:t>
      </w:r>
    </w:p>
    <w:p w14:paraId="5BDFFEC3" w14:textId="6A1F0FAB" w:rsidR="00D827A8" w:rsidRDefault="00D827A8" w:rsidP="00D827A8">
      <w:pPr>
        <w:pStyle w:val="Heading2"/>
      </w:pPr>
      <w:r>
        <w:t>Preferred transformation split</w:t>
      </w:r>
    </w:p>
    <w:p w14:paraId="657A6A6A" w14:textId="6CA72320" w:rsidR="00D827A8" w:rsidRDefault="00D827A8" w:rsidP="00D827A8">
      <w:r>
        <w:t>Dataform is the preferred fit for repeatable SQL transformations, dependencies, tests and documentation. Cloud Run Jobs remain better for PDF/HTML extraction, API calls, hashing and file handling.</w:t>
      </w:r>
    </w:p>
    <w:p w14:paraId="149972A6" w14:textId="44FCC98B" w:rsidR="00D827A8" w:rsidRDefault="00D827A8" w:rsidP="00D827A8">
      <w:pPr>
        <w:pStyle w:val="Heading1"/>
      </w:pPr>
      <w:r>
        <w:t>6. Application changes required before migration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22"/>
        <w:gridCol w:w="3522"/>
        <w:gridCol w:w="3520"/>
      </w:tblGrid>
      <w:tr w:rsidR="00D827A8" w:rsidRPr="00D827A8" w14:paraId="7B340130" w14:textId="77777777" w:rsidTr="00D827A8">
        <w:tc>
          <w:tcPr>
            <w:tcW w:w="1667" w:type="pct"/>
            <w:shd w:val="clear" w:color="auto" w:fill="033189"/>
            <w:vAlign w:val="center"/>
          </w:tcPr>
          <w:p w14:paraId="59D7352D" w14:textId="396CDDAE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301FE5C7" w14:textId="2081298A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Required change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52BEC262" w14:textId="162357FF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Why</w:t>
            </w:r>
          </w:p>
        </w:tc>
      </w:tr>
      <w:tr w:rsidR="00D827A8" w:rsidRPr="00D827A8" w14:paraId="1AF457E2" w14:textId="77777777" w:rsidTr="00D827A8">
        <w:tc>
          <w:tcPr>
            <w:tcW w:w="1667" w:type="pct"/>
            <w:vAlign w:val="center"/>
          </w:tcPr>
          <w:p w14:paraId="151E9B9B" w14:textId="64F3825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API data access</w:t>
            </w:r>
          </w:p>
        </w:tc>
        <w:tc>
          <w:tcPr>
            <w:tcW w:w="1667" w:type="pct"/>
            <w:vAlign w:val="center"/>
          </w:tcPr>
          <w:p w14:paraId="524444E0" w14:textId="6CDC1FFD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Introduce a repository interface for indicators, analytics, downloads and admin layers.</w:t>
            </w:r>
          </w:p>
        </w:tc>
        <w:tc>
          <w:tcPr>
            <w:tcW w:w="1667" w:type="pct"/>
            <w:vAlign w:val="center"/>
          </w:tcPr>
          <w:p w14:paraId="20132EBA" w14:textId="53C42BB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Allows SQL Server and BigQuery providers to coexist during transition.</w:t>
            </w:r>
          </w:p>
        </w:tc>
      </w:tr>
      <w:tr w:rsidR="00D827A8" w:rsidRPr="00D827A8" w14:paraId="530E588E" w14:textId="77777777" w:rsidTr="00D827A8">
        <w:tc>
          <w:tcPr>
            <w:tcW w:w="1667" w:type="pct"/>
            <w:vAlign w:val="center"/>
          </w:tcPr>
          <w:p w14:paraId="2ADC496D" w14:textId="27CCE5AA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Configuration</w:t>
            </w:r>
          </w:p>
        </w:tc>
        <w:tc>
          <w:tcPr>
            <w:tcW w:w="1667" w:type="pct"/>
            <w:vAlign w:val="center"/>
          </w:tcPr>
          <w:p w14:paraId="5FF9A9A5" w14:textId="7A9385B8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Extend config/data-platform.example.json with provider, project, datasets and buckets.</w:t>
            </w:r>
          </w:p>
        </w:tc>
        <w:tc>
          <w:tcPr>
            <w:tcW w:w="1667" w:type="pct"/>
            <w:vAlign w:val="center"/>
          </w:tcPr>
          <w:p w14:paraId="07EE10FC" w14:textId="087DD151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Avoid hardcoded local paths and database names.</w:t>
            </w:r>
          </w:p>
        </w:tc>
      </w:tr>
      <w:tr w:rsidR="00D827A8" w:rsidRPr="00D827A8" w14:paraId="30549118" w14:textId="77777777" w:rsidTr="00D827A8">
        <w:tc>
          <w:tcPr>
            <w:tcW w:w="1667" w:type="pct"/>
            <w:vAlign w:val="center"/>
          </w:tcPr>
          <w:p w14:paraId="68682496" w14:textId="5DD3D27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Downloads</w:t>
            </w:r>
          </w:p>
        </w:tc>
        <w:tc>
          <w:tcPr>
            <w:tcW w:w="1667" w:type="pct"/>
            <w:vAlign w:val="center"/>
          </w:tcPr>
          <w:p w14:paraId="7E5088FF" w14:textId="223CED81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Resolve files from either local archive or Cloud Storage.</w:t>
            </w:r>
          </w:p>
        </w:tc>
        <w:tc>
          <w:tcPr>
            <w:tcW w:w="1667" w:type="pct"/>
            <w:vAlign w:val="center"/>
          </w:tcPr>
          <w:p w14:paraId="72A49E29" w14:textId="16702709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Preserves marketplace behavior during a hybrid phase.</w:t>
            </w:r>
          </w:p>
        </w:tc>
      </w:tr>
      <w:tr w:rsidR="00D827A8" w:rsidRPr="00D827A8" w14:paraId="76808AE7" w14:textId="77777777" w:rsidTr="00D827A8">
        <w:tc>
          <w:tcPr>
            <w:tcW w:w="1667" w:type="pct"/>
            <w:vAlign w:val="center"/>
          </w:tcPr>
          <w:p w14:paraId="374F057C" w14:textId="67964E72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Admin sessions</w:t>
            </w:r>
          </w:p>
        </w:tc>
        <w:tc>
          <w:tcPr>
            <w:tcW w:w="1667" w:type="pct"/>
            <w:vAlign w:val="center"/>
          </w:tcPr>
          <w:p w14:paraId="6D922FA0" w14:textId="0C4C64E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Replace in-memory sessions for cloud production.</w:t>
            </w:r>
          </w:p>
        </w:tc>
        <w:tc>
          <w:tcPr>
            <w:tcW w:w="1667" w:type="pct"/>
            <w:vAlign w:val="center"/>
          </w:tcPr>
          <w:p w14:paraId="1C39F534" w14:textId="69C6A9B5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Cloud Run instances are stateless and can scale horizontally.</w:t>
            </w:r>
          </w:p>
        </w:tc>
      </w:tr>
      <w:tr w:rsidR="00D827A8" w:rsidRPr="00D827A8" w14:paraId="79FCAB69" w14:textId="77777777" w:rsidTr="00D827A8">
        <w:tc>
          <w:tcPr>
            <w:tcW w:w="1667" w:type="pct"/>
            <w:vAlign w:val="center"/>
          </w:tcPr>
          <w:p w14:paraId="3C5DB6E8" w14:textId="056977C6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Auth</w:t>
            </w:r>
          </w:p>
        </w:tc>
        <w:tc>
          <w:tcPr>
            <w:tcW w:w="1667" w:type="pct"/>
            <w:vAlign w:val="center"/>
          </w:tcPr>
          <w:p w14:paraId="723EA6D7" w14:textId="3A24937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Move admin identity to IAP, Identity Platform or another approved identity provider.</w:t>
            </w:r>
          </w:p>
        </w:tc>
        <w:tc>
          <w:tcPr>
            <w:tcW w:w="1667" w:type="pct"/>
            <w:vAlign w:val="center"/>
          </w:tcPr>
          <w:p w14:paraId="689367A9" w14:textId="2839057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Reduces risk before public exposure.</w:t>
            </w:r>
          </w:p>
        </w:tc>
      </w:tr>
      <w:tr w:rsidR="00D827A8" w:rsidRPr="00D827A8" w14:paraId="1BB3CDCD" w14:textId="77777777" w:rsidTr="00D827A8">
        <w:tc>
          <w:tcPr>
            <w:tcW w:w="1667" w:type="pct"/>
            <w:vAlign w:val="center"/>
          </w:tcPr>
          <w:p w14:paraId="6D48E65C" w14:textId="2E9418B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Tests</w:t>
            </w:r>
          </w:p>
        </w:tc>
        <w:tc>
          <w:tcPr>
            <w:tcW w:w="1667" w:type="pct"/>
            <w:vAlign w:val="center"/>
          </w:tcPr>
          <w:p w14:paraId="20BA4425" w14:textId="02845CC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Add provider contract tests with fixed fixture data.</w:t>
            </w:r>
          </w:p>
        </w:tc>
        <w:tc>
          <w:tcPr>
            <w:tcW w:w="1667" w:type="pct"/>
            <w:vAlign w:val="center"/>
          </w:tcPr>
          <w:p w14:paraId="24D50880" w14:textId="2AE7F84A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Confirms SQL Server and BigQuery return the same business contract.</w:t>
            </w:r>
          </w:p>
        </w:tc>
      </w:tr>
      <w:tr w:rsidR="00D827A8" w:rsidRPr="00D827A8" w14:paraId="12AAB19F" w14:textId="77777777" w:rsidTr="00D827A8">
        <w:tc>
          <w:tcPr>
            <w:tcW w:w="1667" w:type="pct"/>
            <w:vAlign w:val="center"/>
          </w:tcPr>
          <w:p w14:paraId="5BEAE6E5" w14:textId="202CF8FE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Observability</w:t>
            </w:r>
          </w:p>
        </w:tc>
        <w:tc>
          <w:tcPr>
            <w:tcW w:w="1667" w:type="pct"/>
            <w:vAlign w:val="center"/>
          </w:tcPr>
          <w:p w14:paraId="5DA8CC96" w14:textId="7858E50A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Add structured logs with correlation IDs for API and pipelines.</w:t>
            </w:r>
          </w:p>
        </w:tc>
        <w:tc>
          <w:tcPr>
            <w:tcW w:w="1667" w:type="pct"/>
            <w:vAlign w:val="center"/>
          </w:tcPr>
          <w:p w14:paraId="2FBD77D3" w14:textId="05579664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Makes cloud operations auditable.</w:t>
            </w:r>
          </w:p>
        </w:tc>
      </w:tr>
    </w:tbl>
    <w:p w14:paraId="379B80D4" w14:textId="77777777" w:rsidR="00D827A8" w:rsidRDefault="00D827A8" w:rsidP="00D827A8"/>
    <w:p w14:paraId="3DA16E8F" w14:textId="003FC791" w:rsidR="00D827A8" w:rsidRDefault="00D827A8" w:rsidP="00D827A8">
      <w:pPr>
        <w:pStyle w:val="Heading1"/>
      </w:pPr>
      <w:r>
        <w:t>7. Recommended environments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22"/>
        <w:gridCol w:w="3522"/>
        <w:gridCol w:w="3520"/>
      </w:tblGrid>
      <w:tr w:rsidR="00D827A8" w:rsidRPr="00D827A8" w14:paraId="701BBB1C" w14:textId="77777777" w:rsidTr="00D827A8">
        <w:tc>
          <w:tcPr>
            <w:tcW w:w="1667" w:type="pct"/>
            <w:shd w:val="clear" w:color="auto" w:fill="033189"/>
            <w:vAlign w:val="center"/>
          </w:tcPr>
          <w:p w14:paraId="1B17DA0C" w14:textId="5FE61735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7D14AE4F" w14:textId="1915353B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1D70167F" w14:textId="5DA7DE44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Data policy</w:t>
            </w:r>
          </w:p>
        </w:tc>
      </w:tr>
      <w:tr w:rsidR="00D827A8" w:rsidRPr="00D827A8" w14:paraId="69E589FA" w14:textId="77777777" w:rsidTr="00D827A8">
        <w:tc>
          <w:tcPr>
            <w:tcW w:w="1667" w:type="pct"/>
            <w:vAlign w:val="center"/>
          </w:tcPr>
          <w:p w14:paraId="72E60B1E" w14:textId="0C06BBA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dev</w:t>
            </w:r>
          </w:p>
        </w:tc>
        <w:tc>
          <w:tcPr>
            <w:tcW w:w="1667" w:type="pct"/>
            <w:vAlign w:val="center"/>
          </w:tcPr>
          <w:p w14:paraId="7E45781A" w14:textId="79590306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Developer validation and first BigQuery provider work.</w:t>
            </w:r>
          </w:p>
        </w:tc>
        <w:tc>
          <w:tcPr>
            <w:tcW w:w="1667" w:type="pct"/>
            <w:vAlign w:val="center"/>
          </w:tcPr>
          <w:p w14:paraId="4A1D878A" w14:textId="66D600D4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Masked or limited official extracts.</w:t>
            </w:r>
          </w:p>
        </w:tc>
      </w:tr>
      <w:tr w:rsidR="00D827A8" w:rsidRPr="00D827A8" w14:paraId="0B1E86B5" w14:textId="77777777" w:rsidTr="00D827A8">
        <w:tc>
          <w:tcPr>
            <w:tcW w:w="1667" w:type="pct"/>
            <w:vAlign w:val="center"/>
          </w:tcPr>
          <w:p w14:paraId="25EB3BA6" w14:textId="3AEAA466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hml</w:t>
            </w:r>
          </w:p>
        </w:tc>
        <w:tc>
          <w:tcPr>
            <w:tcW w:w="1667" w:type="pct"/>
            <w:vAlign w:val="center"/>
          </w:tcPr>
          <w:p w14:paraId="4C5C247F" w14:textId="56B1BFA9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Business validation and Cloudflare/IAP access testing.</w:t>
            </w:r>
          </w:p>
        </w:tc>
        <w:tc>
          <w:tcPr>
            <w:tcW w:w="1667" w:type="pct"/>
            <w:vAlign w:val="center"/>
          </w:tcPr>
          <w:p w14:paraId="05F10A23" w14:textId="7C1291B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Full MVP dataset with controlled access.</w:t>
            </w:r>
          </w:p>
        </w:tc>
      </w:tr>
      <w:tr w:rsidR="00D827A8" w:rsidRPr="00D827A8" w14:paraId="0F739349" w14:textId="77777777" w:rsidTr="00D827A8">
        <w:tc>
          <w:tcPr>
            <w:tcW w:w="1667" w:type="pct"/>
            <w:vAlign w:val="center"/>
          </w:tcPr>
          <w:p w14:paraId="2D2284C1" w14:textId="6F6D9CE1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prd</w:t>
            </w:r>
          </w:p>
        </w:tc>
        <w:tc>
          <w:tcPr>
            <w:tcW w:w="1667" w:type="pct"/>
            <w:vAlign w:val="center"/>
          </w:tcPr>
          <w:p w14:paraId="204BA008" w14:textId="5B285DF2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Public or restricted production.</w:t>
            </w:r>
          </w:p>
        </w:tc>
        <w:tc>
          <w:tcPr>
            <w:tcW w:w="1667" w:type="pct"/>
            <w:vAlign w:val="center"/>
          </w:tcPr>
          <w:p w14:paraId="10470410" w14:textId="36A8F0A5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Approved official data only.</w:t>
            </w:r>
          </w:p>
        </w:tc>
      </w:tr>
    </w:tbl>
    <w:p w14:paraId="55D268BA" w14:textId="77777777" w:rsidR="00D827A8" w:rsidRDefault="00D827A8" w:rsidP="00D827A8"/>
    <w:p w14:paraId="709F65F8" w14:textId="729B93D3" w:rsidR="00D827A8" w:rsidRDefault="00D827A8" w:rsidP="00D827A8">
      <w:r>
        <w:t>Use separate projects per environment if governance and budget allow it. If a single project is required for the MVP, use strict naming, IAM separation and dataset-level permissions.</w:t>
      </w:r>
    </w:p>
    <w:p w14:paraId="1A1C4DD5" w14:textId="032C5C10" w:rsidR="00D827A8" w:rsidRDefault="00D827A8" w:rsidP="00D827A8">
      <w:pPr>
        <w:pStyle w:val="Heading1"/>
      </w:pPr>
      <w:r>
        <w:t>8. IAM model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82"/>
        <w:gridCol w:w="5282"/>
      </w:tblGrid>
      <w:tr w:rsidR="00D827A8" w:rsidRPr="00D827A8" w14:paraId="647A6038" w14:textId="77777777" w:rsidTr="00D827A8">
        <w:tc>
          <w:tcPr>
            <w:tcW w:w="2500" w:type="pct"/>
            <w:shd w:val="clear" w:color="auto" w:fill="033189"/>
            <w:vAlign w:val="center"/>
          </w:tcPr>
          <w:p w14:paraId="37C1EE44" w14:textId="1D27CD85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Principal</w:t>
            </w:r>
          </w:p>
        </w:tc>
        <w:tc>
          <w:tcPr>
            <w:tcW w:w="2500" w:type="pct"/>
            <w:shd w:val="clear" w:color="auto" w:fill="033189"/>
            <w:vAlign w:val="center"/>
          </w:tcPr>
          <w:p w14:paraId="25DE83FE" w14:textId="1B041EC4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Minimum access</w:t>
            </w:r>
          </w:p>
        </w:tc>
      </w:tr>
      <w:tr w:rsidR="00D827A8" w:rsidRPr="00D827A8" w14:paraId="2079E028" w14:textId="77777777" w:rsidTr="00D827A8">
        <w:tc>
          <w:tcPr>
            <w:tcW w:w="2500" w:type="pct"/>
            <w:vAlign w:val="center"/>
          </w:tcPr>
          <w:p w14:paraId="45CA1FFB" w14:textId="081D0891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Extraction job service account</w:t>
            </w:r>
          </w:p>
        </w:tc>
        <w:tc>
          <w:tcPr>
            <w:tcW w:w="2500" w:type="pct"/>
            <w:vAlign w:val="center"/>
          </w:tcPr>
          <w:p w14:paraId="7639BFA4" w14:textId="5CDE617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Read external source when needed; write landing/archive buckets; write Bronze/control/audit.</w:t>
            </w:r>
          </w:p>
        </w:tc>
      </w:tr>
      <w:tr w:rsidR="00D827A8" w:rsidRPr="00D827A8" w14:paraId="12731A2A" w14:textId="77777777" w:rsidTr="00D827A8">
        <w:tc>
          <w:tcPr>
            <w:tcW w:w="2500" w:type="pct"/>
            <w:vAlign w:val="center"/>
          </w:tcPr>
          <w:p w14:paraId="7E990F75" w14:textId="5A4DF44F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Transformation job service account</w:t>
            </w:r>
          </w:p>
        </w:tc>
        <w:tc>
          <w:tcPr>
            <w:tcW w:w="2500" w:type="pct"/>
            <w:vAlign w:val="center"/>
          </w:tcPr>
          <w:p w14:paraId="50F2ECCB" w14:textId="7BA271F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Read Bronze/reference; write Silver/DQ/control/audit.</w:t>
            </w:r>
          </w:p>
        </w:tc>
      </w:tr>
      <w:tr w:rsidR="00D827A8" w:rsidRPr="00D827A8" w14:paraId="1C12360A" w14:textId="77777777" w:rsidTr="00D827A8">
        <w:tc>
          <w:tcPr>
            <w:tcW w:w="2500" w:type="pct"/>
            <w:vAlign w:val="center"/>
          </w:tcPr>
          <w:p w14:paraId="64BF7EBE" w14:textId="21FBB0F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Publication job service account</w:t>
            </w:r>
          </w:p>
        </w:tc>
        <w:tc>
          <w:tcPr>
            <w:tcW w:w="2500" w:type="pct"/>
            <w:vAlign w:val="center"/>
          </w:tcPr>
          <w:p w14:paraId="216E35C9" w14:textId="4FC15E55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Read Silver/DQ/reference; write Gold; no direct Bronze mutation.</w:t>
            </w:r>
          </w:p>
        </w:tc>
      </w:tr>
      <w:tr w:rsidR="00D827A8" w:rsidRPr="00D827A8" w14:paraId="77DC428E" w14:textId="77777777" w:rsidTr="00D827A8">
        <w:tc>
          <w:tcPr>
            <w:tcW w:w="2500" w:type="pct"/>
            <w:vAlign w:val="center"/>
          </w:tcPr>
          <w:p w14:paraId="01AFE532" w14:textId="484CB1DA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API service account</w:t>
            </w:r>
          </w:p>
        </w:tc>
        <w:tc>
          <w:tcPr>
            <w:tcW w:w="2500" w:type="pct"/>
            <w:vAlign w:val="center"/>
          </w:tcPr>
          <w:p w14:paraId="53F84E2F" w14:textId="414FE345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Read API views, Gold and approved marketplace metadata only.</w:t>
            </w:r>
          </w:p>
        </w:tc>
      </w:tr>
      <w:tr w:rsidR="00D827A8" w:rsidRPr="00D827A8" w14:paraId="513B0328" w14:textId="77777777" w:rsidTr="00D827A8">
        <w:tc>
          <w:tcPr>
            <w:tcW w:w="2500" w:type="pct"/>
            <w:vAlign w:val="center"/>
          </w:tcPr>
          <w:p w14:paraId="57F23E7E" w14:textId="30CE973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Admin users</w:t>
            </w:r>
          </w:p>
        </w:tc>
        <w:tc>
          <w:tcPr>
            <w:tcW w:w="2500" w:type="pct"/>
            <w:vAlign w:val="center"/>
          </w:tcPr>
          <w:p w14:paraId="035439D3" w14:textId="008B3DC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Access admin UI and approval workflows according to role.</w:t>
            </w:r>
          </w:p>
        </w:tc>
      </w:tr>
      <w:tr w:rsidR="00D827A8" w:rsidRPr="00D827A8" w14:paraId="4ABF04CB" w14:textId="77777777" w:rsidTr="00D827A8">
        <w:tc>
          <w:tcPr>
            <w:tcW w:w="2500" w:type="pct"/>
            <w:vAlign w:val="center"/>
          </w:tcPr>
          <w:p w14:paraId="5FF4F584" w14:textId="78CE6C69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Data stewards</w:t>
            </w:r>
          </w:p>
        </w:tc>
        <w:tc>
          <w:tcPr>
            <w:tcW w:w="2500" w:type="pct"/>
            <w:vAlign w:val="center"/>
          </w:tcPr>
          <w:p w14:paraId="537BAD95" w14:textId="2221E5E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Maintain reference data, methodology and approvals.</w:t>
            </w:r>
          </w:p>
        </w:tc>
      </w:tr>
    </w:tbl>
    <w:p w14:paraId="0DB14914" w14:textId="77777777" w:rsidR="00D827A8" w:rsidRDefault="00D827A8" w:rsidP="00D827A8"/>
    <w:p w14:paraId="59417903" w14:textId="7614FCC6" w:rsidR="00D827A8" w:rsidRDefault="00D827A8" w:rsidP="00D827A8">
      <w:pPr>
        <w:pStyle w:val="Heading1"/>
      </w:pPr>
      <w:r>
        <w:t>9. First proof of portability</w:t>
      </w:r>
    </w:p>
    <w:p w14:paraId="2AC069B2" w14:textId="629DE313" w:rsidR="00D827A8" w:rsidRDefault="00D827A8" w:rsidP="00D827A8">
      <w:pPr>
        <w:rPr>
          <w:b/>
        </w:rPr>
      </w:pPr>
      <w:r w:rsidRPr="00D827A8">
        <w:rPr>
          <w:b/>
        </w:rPr>
        <w:t>Recommended candidate: IPCN inflation.</w:t>
      </w:r>
    </w:p>
    <w:p w14:paraId="5226BD1F" w14:textId="129F7C6C" w:rsidR="00D827A8" w:rsidRDefault="00D827A8" w:rsidP="00D827A8">
      <w:r>
        <w:t>Reason: it already has the strongest governed trail in the MVP: official source archive, 66 monthly observations, DQ exceptions for 2021, approval evidence and Gold publication. It is complex enough to prove the model but not as wide as Oil &amp; Gas.</w:t>
      </w:r>
    </w:p>
    <w:p w14:paraId="5CD627CA" w14:textId="18CDFA08" w:rsidR="00D827A8" w:rsidRDefault="00D827A8" w:rsidP="00D827A8">
      <w:pPr>
        <w:pStyle w:val="Heading2"/>
      </w:pPr>
      <w:r>
        <w:t>Acceptance criteria for LAZA-035</w:t>
      </w:r>
    </w:p>
    <w:p w14:paraId="68741AF8" w14:textId="7D1CA1C8" w:rsidR="00D827A8" w:rsidRDefault="00D827A8" w:rsidP="00D827A8">
      <w:pPr>
        <w:pStyle w:val="ListParagraph"/>
        <w:numPr>
          <w:ilvl w:val="0"/>
          <w:numId w:val="11"/>
        </w:numPr>
      </w:pPr>
      <w:r>
        <w:t>same 66 published months as SQL Server;</w:t>
      </w:r>
    </w:p>
    <w:p w14:paraId="7CED0C31" w14:textId="716D1CD5" w:rsidR="00D827A8" w:rsidRDefault="00D827A8" w:rsidP="00D827A8">
      <w:pPr>
        <w:pStyle w:val="ListParagraph"/>
        <w:numPr>
          <w:ilvl w:val="0"/>
          <w:numId w:val="11"/>
        </w:numPr>
      </w:pPr>
      <w:r>
        <w:t>same latest value, period, unit and source;</w:t>
      </w:r>
    </w:p>
    <w:p w14:paraId="799460A6" w14:textId="5A1EE540" w:rsidR="00D827A8" w:rsidRDefault="00D827A8" w:rsidP="00D827A8">
      <w:pPr>
        <w:pStyle w:val="ListParagraph"/>
        <w:numPr>
          <w:ilvl w:val="0"/>
          <w:numId w:val="11"/>
        </w:numPr>
      </w:pPr>
      <w:r>
        <w:t>same DQ exception count and approval status;</w:t>
      </w:r>
    </w:p>
    <w:p w14:paraId="3D974E22" w14:textId="1B2995C2" w:rsidR="00D827A8" w:rsidRDefault="00D827A8" w:rsidP="00D827A8">
      <w:pPr>
        <w:pStyle w:val="ListParagraph"/>
        <w:numPr>
          <w:ilvl w:val="0"/>
          <w:numId w:val="11"/>
        </w:numPr>
      </w:pPr>
      <w:r>
        <w:t>same API response shape consumed by the site;</w:t>
      </w:r>
    </w:p>
    <w:p w14:paraId="731116B6" w14:textId="269226E2" w:rsidR="00D827A8" w:rsidRDefault="00D827A8" w:rsidP="00D827A8">
      <w:pPr>
        <w:pStyle w:val="ListParagraph"/>
        <w:numPr>
          <w:ilvl w:val="0"/>
          <w:numId w:val="11"/>
        </w:numPr>
      </w:pPr>
      <w:r>
        <w:t>reconciliation report shows 100% match for period, value, source and status.</w:t>
      </w:r>
    </w:p>
    <w:p w14:paraId="4CF98185" w14:textId="197B99BF" w:rsidR="00D827A8" w:rsidRDefault="00D827A8" w:rsidP="00D827A8">
      <w:pPr>
        <w:pStyle w:val="Heading1"/>
      </w:pPr>
      <w:r>
        <w:t>10. Migration waves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22"/>
        <w:gridCol w:w="3522"/>
        <w:gridCol w:w="3520"/>
      </w:tblGrid>
      <w:tr w:rsidR="00D827A8" w:rsidRPr="00D827A8" w14:paraId="0E7973F7" w14:textId="77777777" w:rsidTr="00D827A8">
        <w:tc>
          <w:tcPr>
            <w:tcW w:w="1667" w:type="pct"/>
            <w:shd w:val="clear" w:color="auto" w:fill="033189"/>
            <w:vAlign w:val="center"/>
          </w:tcPr>
          <w:p w14:paraId="40800DA1" w14:textId="6DA1A2BC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Wave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0B97AB04" w14:textId="6CECFC75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54885D8B" w14:textId="5A9DFF93" w:rsidR="00D827A8" w:rsidRPr="00D827A8" w:rsidRDefault="00D827A8" w:rsidP="00D827A8">
            <w:pPr>
              <w:rPr>
                <w:b/>
                <w:color w:val="FFFFFF"/>
                <w:sz w:val="16"/>
              </w:rPr>
            </w:pPr>
            <w:r w:rsidRPr="00D827A8">
              <w:rPr>
                <w:b/>
                <w:color w:val="FFFFFF"/>
                <w:sz w:val="16"/>
              </w:rPr>
              <w:t>Exit criterion</w:t>
            </w:r>
          </w:p>
        </w:tc>
      </w:tr>
      <w:tr w:rsidR="00D827A8" w:rsidRPr="00D827A8" w14:paraId="4BFC7A4E" w14:textId="77777777" w:rsidTr="00D827A8">
        <w:tc>
          <w:tcPr>
            <w:tcW w:w="1667" w:type="pct"/>
            <w:vAlign w:val="center"/>
          </w:tcPr>
          <w:p w14:paraId="646295BB" w14:textId="7A6299F8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667" w:type="pct"/>
            <w:vAlign w:val="center"/>
          </w:tcPr>
          <w:p w14:paraId="35172052" w14:textId="33B9AAB1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LAZA-033 blueprint and decisions.</w:t>
            </w:r>
          </w:p>
        </w:tc>
        <w:tc>
          <w:tcPr>
            <w:tcW w:w="1667" w:type="pct"/>
            <w:vAlign w:val="center"/>
          </w:tcPr>
          <w:p w14:paraId="533FA728" w14:textId="74D61BD8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Architecture mapping approved.</w:t>
            </w:r>
          </w:p>
        </w:tc>
      </w:tr>
      <w:tr w:rsidR="00D827A8" w:rsidRPr="00D827A8" w14:paraId="23B0FC9C" w14:textId="77777777" w:rsidTr="00D827A8">
        <w:tc>
          <w:tcPr>
            <w:tcW w:w="1667" w:type="pct"/>
            <w:vAlign w:val="center"/>
          </w:tcPr>
          <w:p w14:paraId="2FECD4D5" w14:textId="54F71B9D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667" w:type="pct"/>
            <w:vAlign w:val="center"/>
          </w:tcPr>
          <w:p w14:paraId="2BADC8B2" w14:textId="26EB307A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Infrastructure baseline.</w:t>
            </w:r>
          </w:p>
        </w:tc>
        <w:tc>
          <w:tcPr>
            <w:tcW w:w="1667" w:type="pct"/>
            <w:vAlign w:val="center"/>
          </w:tcPr>
          <w:p w14:paraId="44F91BEC" w14:textId="27AF7504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DEV/HML/PRD or MVP project available through IaC.</w:t>
            </w:r>
          </w:p>
        </w:tc>
      </w:tr>
      <w:tr w:rsidR="00D827A8" w:rsidRPr="00D827A8" w14:paraId="6FCFEDA1" w14:textId="77777777" w:rsidTr="00D827A8">
        <w:tc>
          <w:tcPr>
            <w:tcW w:w="1667" w:type="pct"/>
            <w:vAlign w:val="center"/>
          </w:tcPr>
          <w:p w14:paraId="57D7B846" w14:textId="1128D2E1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667" w:type="pct"/>
            <w:vAlign w:val="center"/>
          </w:tcPr>
          <w:p w14:paraId="09C539D6" w14:textId="662EAC98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IPCN portability proof.</w:t>
            </w:r>
          </w:p>
        </w:tc>
        <w:tc>
          <w:tcPr>
            <w:tcW w:w="1667" w:type="pct"/>
            <w:vAlign w:val="center"/>
          </w:tcPr>
          <w:p w14:paraId="6E488980" w14:textId="27A03F87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One indicator reconciles 100% against SQL Server.</w:t>
            </w:r>
          </w:p>
        </w:tc>
      </w:tr>
      <w:tr w:rsidR="00D827A8" w:rsidRPr="00D827A8" w14:paraId="20A29610" w14:textId="77777777" w:rsidTr="00D827A8">
        <w:tc>
          <w:tcPr>
            <w:tcW w:w="1667" w:type="pct"/>
            <w:vAlign w:val="center"/>
          </w:tcPr>
          <w:p w14:paraId="16DC3CB1" w14:textId="49B1DEA2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667" w:type="pct"/>
            <w:vAlign w:val="center"/>
          </w:tcPr>
          <w:p w14:paraId="1A1107E1" w14:textId="47B6B65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Six pilot indicators.</w:t>
            </w:r>
          </w:p>
        </w:tc>
        <w:tc>
          <w:tcPr>
            <w:tcW w:w="1667" w:type="pct"/>
            <w:vAlign w:val="center"/>
          </w:tcPr>
          <w:p w14:paraId="1A67F159" w14:textId="477EA22A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All cards and details run from Google data provider in HML.</w:t>
            </w:r>
          </w:p>
        </w:tc>
      </w:tr>
      <w:tr w:rsidR="00D827A8" w:rsidRPr="00D827A8" w14:paraId="16D64D02" w14:textId="77777777" w:rsidTr="00D827A8">
        <w:tc>
          <w:tcPr>
            <w:tcW w:w="1667" w:type="pct"/>
            <w:vAlign w:val="center"/>
          </w:tcPr>
          <w:p w14:paraId="1863962B" w14:textId="60200EAE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667" w:type="pct"/>
            <w:vAlign w:val="center"/>
          </w:tcPr>
          <w:p w14:paraId="3F84A57F" w14:textId="48E018DB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Three advanced analytics.</w:t>
            </w:r>
          </w:p>
        </w:tc>
        <w:tc>
          <w:tcPr>
            <w:tcW w:w="1667" w:type="pct"/>
            <w:vAlign w:val="center"/>
          </w:tcPr>
          <w:p w14:paraId="5ECDC39D" w14:textId="582655C2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Oil &amp; Gas, Fiscal Execution and Sovereign Curve reconciled.</w:t>
            </w:r>
          </w:p>
        </w:tc>
      </w:tr>
      <w:tr w:rsidR="00D827A8" w:rsidRPr="00D827A8" w14:paraId="2EE04AC8" w14:textId="77777777" w:rsidTr="00D827A8">
        <w:tc>
          <w:tcPr>
            <w:tcW w:w="1667" w:type="pct"/>
            <w:vAlign w:val="center"/>
          </w:tcPr>
          <w:p w14:paraId="3654F994" w14:textId="51B4E943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667" w:type="pct"/>
            <w:vAlign w:val="center"/>
          </w:tcPr>
          <w:p w14:paraId="74F770EA" w14:textId="24659DDC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Production cutover.</w:t>
            </w:r>
          </w:p>
        </w:tc>
        <w:tc>
          <w:tcPr>
            <w:tcW w:w="1667" w:type="pct"/>
            <w:vAlign w:val="center"/>
          </w:tcPr>
          <w:p w14:paraId="53B3AC28" w14:textId="6965D7B0" w:rsidR="00D827A8" w:rsidRPr="00D827A8" w:rsidRDefault="00D827A8" w:rsidP="00D827A8">
            <w:pPr>
              <w:rPr>
                <w:sz w:val="16"/>
              </w:rPr>
            </w:pPr>
            <w:r>
              <w:rPr>
                <w:sz w:val="16"/>
              </w:rPr>
              <w:t>Site/API switched, rollback tested and SQL Server retained read-only for the agreed period.</w:t>
            </w:r>
          </w:p>
        </w:tc>
      </w:tr>
    </w:tbl>
    <w:p w14:paraId="07B8544B" w14:textId="77777777" w:rsidR="00D827A8" w:rsidRDefault="00D827A8" w:rsidP="00D827A8"/>
    <w:p w14:paraId="199DF5C6" w14:textId="794EC8CD" w:rsidR="00D827A8" w:rsidRDefault="00D827A8" w:rsidP="00D827A8">
      <w:pPr>
        <w:pStyle w:val="Heading1"/>
      </w:pPr>
      <w:r>
        <w:t>11. Decisions still required</w:t>
      </w:r>
    </w:p>
    <w:p w14:paraId="4CF03DCF" w14:textId="00FBBD88" w:rsidR="00D827A8" w:rsidRDefault="00D827A8" w:rsidP="00D827A8">
      <w:pPr>
        <w:pStyle w:val="ListParagraph"/>
        <w:numPr>
          <w:ilvl w:val="0"/>
          <w:numId w:val="12"/>
        </w:numPr>
      </w:pPr>
      <w:r>
        <w:t>Confirm the Google landing zone: project structure, billing account and regions.</w:t>
      </w:r>
    </w:p>
    <w:p w14:paraId="52C6BD7C" w14:textId="2740E3EF" w:rsidR="00D827A8" w:rsidRDefault="00D827A8" w:rsidP="00D827A8">
      <w:pPr>
        <w:pStyle w:val="ListParagraph"/>
        <w:numPr>
          <w:ilvl w:val="0"/>
          <w:numId w:val="12"/>
        </w:numPr>
      </w:pPr>
      <w:r>
        <w:t>Choose hosting target: Firebase Hosting plus Cloud Run API, or Cloud Run for both.</w:t>
      </w:r>
    </w:p>
    <w:p w14:paraId="5F62A704" w14:textId="5865B5E0" w:rsidR="00D827A8" w:rsidRDefault="00D827A8" w:rsidP="00D827A8">
      <w:pPr>
        <w:pStyle w:val="ListParagraph"/>
        <w:numPr>
          <w:ilvl w:val="0"/>
          <w:numId w:val="12"/>
        </w:numPr>
      </w:pPr>
      <w:r>
        <w:t>Choose transformation engine: Dataform first, or Cloud Run Jobs plus SQL scripts.</w:t>
      </w:r>
    </w:p>
    <w:p w14:paraId="33925546" w14:textId="4F384A5B" w:rsidR="00D827A8" w:rsidRDefault="00D827A8" w:rsidP="00D827A8">
      <w:pPr>
        <w:pStyle w:val="ListParagraph"/>
        <w:numPr>
          <w:ilvl w:val="0"/>
          <w:numId w:val="12"/>
        </w:numPr>
      </w:pPr>
      <w:r>
        <w:t>Define retention for Bronze assets, logs, rejected payloads and backups.</w:t>
      </w:r>
    </w:p>
    <w:p w14:paraId="3870BB60" w14:textId="185D11DE" w:rsidR="00D827A8" w:rsidRDefault="00D827A8" w:rsidP="00D827A8">
      <w:pPr>
        <w:pStyle w:val="ListParagraph"/>
        <w:numPr>
          <w:ilvl w:val="0"/>
          <w:numId w:val="12"/>
        </w:numPr>
      </w:pPr>
      <w:r>
        <w:t>Define admin identity provider and access model.</w:t>
      </w:r>
    </w:p>
    <w:p w14:paraId="48C3774F" w14:textId="0C7C6651" w:rsidR="00D827A8" w:rsidRDefault="00D827A8" w:rsidP="00D827A8">
      <w:pPr>
        <w:pStyle w:val="ListParagraph"/>
        <w:numPr>
          <w:ilvl w:val="0"/>
          <w:numId w:val="12"/>
        </w:numPr>
      </w:pPr>
      <w:r>
        <w:t>Decide whether LAZA-035 belongs to the current MVP or the next phase.</w:t>
      </w:r>
    </w:p>
    <w:p w14:paraId="0181B7D8" w14:textId="51529D38" w:rsidR="00D827A8" w:rsidRDefault="00D827A8" w:rsidP="00D827A8">
      <w:pPr>
        <w:pStyle w:val="Heading1"/>
      </w:pPr>
      <w:r>
        <w:t>12. Recommendation</w:t>
      </w:r>
    </w:p>
    <w:p w14:paraId="61202219" w14:textId="7716CC45" w:rsidR="00D827A8" w:rsidRDefault="00D827A8" w:rsidP="00D827A8">
      <w:r>
        <w:t>Proceed with LAZA-034 only after the landing zone is confirmed. In parallel, prepare the codebase by adding the API repository abstraction and cloud-ready configuration, because those changes reduce migration risk without creating Google resources yet.</w:t>
      </w:r>
    </w:p>
    <w:p w14:paraId="6FF8B2AD" w14:textId="77777777" w:rsidR="00D827A8" w:rsidRPr="00D827A8" w:rsidRDefault="00D827A8" w:rsidP="00D827A8"/>
    <w:sectPr w:rsidR="00D827A8" w:rsidRPr="00D827A8" w:rsidSect="00034616">
      <w:headerReference w:type="default" r:id="rId8"/>
      <w:footerReference w:type="default" r:id="rId9"/>
      <w:pgSz w:w="11900" w:h="16840"/>
      <w:pgMar w:top="1291" w:right="701" w:bottom="49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4212E" w14:textId="77777777" w:rsidR="00216435" w:rsidRDefault="00216435">
      <w:pPr>
        <w:spacing w:after="0" w:line="240" w:lineRule="auto"/>
      </w:pPr>
      <w:r>
        <w:separator/>
      </w:r>
    </w:p>
  </w:endnote>
  <w:endnote w:type="continuationSeparator" w:id="0">
    <w:p w14:paraId="197473F2" w14:textId="77777777" w:rsidR="00216435" w:rsidRDefault="00216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明朝">
    <w:panose1 w:val="00000000000000000000"/>
    <w:charset w:val="8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コシック">
    <w:panose1 w:val="00000000000000000000"/>
    <w:charset w:val="8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3623" w14:textId="77777777" w:rsidR="007C3F3F" w:rsidRPr="005F22F8" w:rsidRDefault="00965A70">
    <w:pPr>
      <w:pStyle w:val="Footer"/>
    </w:pPr>
    <w:r w:rsidRPr="005F22F8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7097191" wp14:editId="50569646">
              <wp:simplePos x="0" y="0"/>
              <wp:positionH relativeFrom="column">
                <wp:posOffset>-353011</wp:posOffset>
              </wp:positionH>
              <wp:positionV relativeFrom="paragraph">
                <wp:posOffset>528173</wp:posOffset>
              </wp:positionV>
              <wp:extent cx="7539990" cy="91001"/>
              <wp:effectExtent l="0" t="0" r="16510" b="10795"/>
              <wp:wrapNone/>
              <wp:docPr id="3" name="Caixa of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39990" cy="91001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635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txbx>
                      <w:txbxContent>
                        <w:p w14:paraId="075637E7" w14:textId="77777777" w:rsidR="007C3F3F" w:rsidRPr="005F22F8" w:rsidRDefault="007C3F3F" w:rsidP="009E5CB0">
                          <w:pPr>
                            <w:tabs>
                              <w:tab w:val="left" w:pos="5812"/>
                              <w:tab w:val="right" w:pos="11482"/>
                            </w:tabs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097191" id="_x0000_t202" coordsize="21600,21600" o:spt="202" path="m,l,21600r21600,l21600,xe">
              <v:stroke joinstyle="miter"/>
              <v:path gradientshapeok="t" o:connecttype="rect"/>
            </v:shapetype>
            <v:shape id="Caixa of Texto 3" o:spid="_x0000_s1028" type="#_x0000_t202" style="position:absolute;margin-left:-27.8pt;margin-top:41.6pt;width:593.7pt;height:7.1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" fillcolor="#a5a5a5 [2092]" strokecolor="#a5a5a5 [2092]" strokeweight=".5pt">
              <v:textbox>
                <w:txbxContent>
                  <w:p w14:paraId="075637E7" w14:textId="77777777" w:rsidR="007C3F3F" w:rsidRPr="005F22F8" w:rsidRDefault="007C3F3F" w:rsidP="009E5CB0">
                    <w:pPr>
                      <w:tabs>
                        <w:tab w:val="left" w:pos="5812"/>
                        <w:tab w:val="right" w:pos="11482"/>
                      </w:tabs>
                      <w:rPr>
                        <w:b/>
                        <w:color w:val="FFFFFF" w:themeColor="background1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CC4A1" w14:textId="77777777" w:rsidR="00216435" w:rsidRDefault="00216435">
      <w:pPr>
        <w:spacing w:after="0" w:line="240" w:lineRule="auto"/>
      </w:pPr>
      <w:r>
        <w:separator/>
      </w:r>
    </w:p>
  </w:footnote>
  <w:footnote w:type="continuationSeparator" w:id="0">
    <w:p w14:paraId="726EDCC7" w14:textId="77777777" w:rsidR="00216435" w:rsidRDefault="00216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FDC4" w14:textId="490F5438" w:rsidR="007C3F3F" w:rsidRPr="005F22F8" w:rsidRDefault="00965A70">
    <w:pPr>
      <w:pStyle w:val="Header"/>
    </w:pPr>
    <w:r w:rsidRPr="005F22F8">
      <w:rPr>
        <w:noProof/>
      </w:rPr>
      <w:drawing>
        <wp:anchor distT="0" distB="0" distL="114300" distR="114300" simplePos="0" relativeHeight="251658243" behindDoc="0" locked="0" layoutInCell="1" allowOverlap="1" wp14:anchorId="4DD91B30" wp14:editId="494B14D4">
          <wp:simplePos x="0" y="0"/>
          <wp:positionH relativeFrom="column">
            <wp:posOffset>-398467</wp:posOffset>
          </wp:positionH>
          <wp:positionV relativeFrom="paragraph">
            <wp:posOffset>-375139</wp:posOffset>
          </wp:positionV>
          <wp:extent cx="846945" cy="267068"/>
          <wp:effectExtent l="0" t="0" r="4445" b="0"/>
          <wp:wrapNone/>
          <wp:docPr id="1055312578" name="Picture 4" descr="Keyrus EPM - Make data matte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eyrus EPM - Make data matter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143" t="29544" r="12883" b="27332"/>
                  <a:stretch>
                    <a:fillRect/>
                  </a:stretch>
                </pic:blipFill>
                <pic:spPr bwMode="auto">
                  <a:xfrm>
                    <a:off x="0" y="0"/>
                    <a:ext cx="846945" cy="2670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F22F8">
      <w:fldChar w:fldCharType="begin"/>
    </w:r>
    <w:r w:rsidRPr="005F22F8">
      <w:instrText xml:space="preserve"> INCLUDEPICTURE "https://keyrus-epm.com/hs-fs/hubfs/Logos/Keyrus%20-%20Color%20K%20%2B%20Eyrus%20white%20Simple.png?width=458&amp;height=249&amp;name=Keyrus%20-%20Color%20K%20%2B%20Eyrus%20white%20Simple.png" \* MERGEFORMATINET </w:instrText>
    </w:r>
    <w:r w:rsidRPr="005F22F8">
      <w:fldChar w:fldCharType="separate"/>
    </w:r>
    <w:r w:rsidRPr="005F22F8">
      <w:fldChar w:fldCharType="end"/>
    </w:r>
    <w:r w:rsidRPr="005F22F8">
      <w:t xml:space="preserve"> </w:t>
    </w:r>
    <w:r w:rsidRPr="005F22F8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FBF06F9" wp14:editId="7319DEC0">
              <wp:simplePos x="0" y="0"/>
              <wp:positionH relativeFrom="column">
                <wp:posOffset>-551180</wp:posOffset>
              </wp:positionH>
              <wp:positionV relativeFrom="paragraph">
                <wp:posOffset>-60325</wp:posOffset>
              </wp:positionV>
              <wp:extent cx="7539990" cy="337185"/>
              <wp:effectExtent l="0" t="0" r="16510" b="18415"/>
              <wp:wrapNone/>
              <wp:docPr id="2" name="Caixa of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39990" cy="33718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635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txbx>
                      <w:txbxContent>
                        <w:p w14:paraId="2073C015" w14:textId="00487CC4" w:rsidR="007C3F3F" w:rsidRPr="005F22F8" w:rsidRDefault="00965A70" w:rsidP="00EF77B2">
                          <w:pPr>
                            <w:pStyle w:val="Header"/>
                            <w:tabs>
                              <w:tab w:val="center" w:pos="5812"/>
                              <w:tab w:val="right" w:pos="11340"/>
                            </w:tabs>
                            <w:ind w:left="84"/>
                            <w:jc w:val="center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LAZA Bronze Raw Ingestion</w:t>
                          </w:r>
                        </w:p>
                        <w:p w14:paraId="139C967C" w14:textId="77777777" w:rsidR="007C3F3F" w:rsidRPr="005F22F8" w:rsidRDefault="007C3F3F" w:rsidP="00897AEB">
                          <w:pPr>
                            <w:tabs>
                              <w:tab w:val="left" w:pos="5812"/>
                              <w:tab w:val="right" w:pos="11482"/>
                            </w:tabs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BF06F9" id="_x0000_t202" coordsize="21600,21600" o:spt="202" path="m,l,21600r21600,l21600,xe">
              <v:stroke joinstyle="miter"/>
              <v:path gradientshapeok="t" o:connecttype="rect"/>
            </v:shapetype>
            <v:shape id="Caixa of Texto 2" o:spid="_x0000_s1026" type="#_x0000_t202" style="position:absolute;margin-left:-43.4pt;margin-top:-4.75pt;width:593.7pt;height:26.5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" fillcolor="#a5a5a5 [2092]" strokecolor="#a5a5a5 [2092]" strokeweight=".5pt">
              <v:textbox>
                <w:txbxContent>
                  <w:p w14:paraId="2073C015" w14:textId="00487CC4" w:rsidR="007C3F3F" w:rsidRPr="005F22F8" w:rsidRDefault="00965A70" w:rsidP="00EF77B2">
                    <w:pPr>
                      <w:pStyle w:val="Header"/>
                      <w:tabs>
                        <w:tab w:val="center" w:pos="5812"/>
                        <w:tab w:val="right" w:pos="11340"/>
                      </w:tabs>
                      <w:ind w:left="84"/>
                      <w:jc w:val="center"/>
                      <w:rPr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b/>
                        <w:color w:val="FFFFFF" w:themeColor="background1"/>
                        <w:sz w:val="32"/>
                        <w:szCs w:val="32"/>
                      </w:rPr>
                      <w:t>LAZA Bronze Raw Ingestion</w:t>
                    </w:r>
                  </w:p>
                  <w:p w14:paraId="139C967C" w14:textId="77777777" w:rsidR="007C3F3F" w:rsidRPr="005F22F8" w:rsidRDefault="007C3F3F" w:rsidP="00897AEB">
                    <w:pPr>
                      <w:tabs>
                        <w:tab w:val="left" w:pos="5812"/>
                        <w:tab w:val="right" w:pos="11482"/>
                      </w:tabs>
                      <w:rPr>
                        <w:b/>
                        <w:color w:val="FFFFFF" w:themeColor="background1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Pr="005F22F8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130287F" wp14:editId="40638F84">
              <wp:simplePos x="0" y="0"/>
              <wp:positionH relativeFrom="column">
                <wp:posOffset>-556697</wp:posOffset>
              </wp:positionH>
              <wp:positionV relativeFrom="paragraph">
                <wp:posOffset>-449580</wp:posOffset>
              </wp:positionV>
              <wp:extent cx="7545400" cy="442595"/>
              <wp:effectExtent l="0" t="0" r="11430" b="14605"/>
              <wp:wrapNone/>
              <wp:docPr id="1" name="Caixa of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45400" cy="442595"/>
                      </a:xfrm>
                      <a:prstGeom prst="rect">
                        <a:avLst/>
                      </a:prstGeom>
                      <a:solidFill>
                        <a:srgbClr val="003189"/>
                      </a:solidFill>
                      <a:ln w="6350">
                        <a:solidFill>
                          <a:srgbClr val="00B0F0"/>
                        </a:solidFill>
                      </a:ln>
                    </wps:spPr>
                    <wps:txbx>
                      <w:txbxContent>
                        <w:p w14:paraId="7AA3A69B" w14:textId="3E3BED27" w:rsidR="007C3F3F" w:rsidRPr="005F22F8" w:rsidRDefault="00965A70" w:rsidP="006F186C">
                          <w:pPr>
                            <w:pStyle w:val="Header"/>
                            <w:tabs>
                              <w:tab w:val="center" w:pos="5812"/>
                              <w:tab w:val="right" w:pos="11340"/>
                            </w:tabs>
                            <w:rPr>
                              <w:color w:val="FFFFFF" w:themeColor="background1"/>
                            </w:rPr>
                          </w:pPr>
                          <w:r w:rsidRPr="005F22F8"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ab/>
                          </w:r>
                          <w:sdt>
                            <w:sdtPr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id w:val="1513722417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Pr="005F22F8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t xml:space="preserve"> - </w:t>
                              </w:r>
                              <w:r w:rsidRPr="005F22F8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fldChar w:fldCharType="begin"/>
                              </w:r>
                              <w:r w:rsidRPr="005F22F8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instrText xml:space="preserve"> PAGE </w:instrText>
                              </w:r>
                              <w:r w:rsidRPr="005F22F8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fldChar w:fldCharType="separate"/>
                              </w:r>
                              <w:r w:rsidRPr="005F22F8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  <w:r w:rsidRPr="005F22F8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fldChar w:fldCharType="end"/>
                              </w:r>
                            </w:sdtContent>
                          </w:sdt>
                          <w:r w:rsidRPr="005F22F8"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-</w:t>
                          </w:r>
                          <w:r w:rsidRPr="005F22F8"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ab/>
                          </w:r>
                        </w:p>
                        <w:p w14:paraId="733B8210" w14:textId="77777777" w:rsidR="007C3F3F" w:rsidRPr="005F22F8" w:rsidRDefault="007C3F3F" w:rsidP="006F186C">
                          <w:pPr>
                            <w:tabs>
                              <w:tab w:val="left" w:pos="5812"/>
                              <w:tab w:val="right" w:pos="11482"/>
                            </w:tabs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130287F" id="Caixa of Texto 1" o:spid="_x0000_s1027" type="#_x0000_t202" style="position:absolute;margin-left:-43.85pt;margin-top:-35.4pt;width:594.15pt;height:34.8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" fillcolor="#003189" strokecolor="#00b0f0" strokeweight=".5pt">
              <v:textbox>
                <w:txbxContent>
                  <w:p w14:paraId="7AA3A69B" w14:textId="3E3BED27" w:rsidR="007C3F3F" w:rsidRPr="005F22F8" w:rsidRDefault="00965A70" w:rsidP="006F186C">
                    <w:pPr>
                      <w:pStyle w:val="Header"/>
                      <w:tabs>
                        <w:tab w:val="center" w:pos="5812"/>
                        <w:tab w:val="right" w:pos="11340"/>
                      </w:tabs>
                      <w:rPr>
                        <w:color w:val="FFFFFF" w:themeColor="background1"/>
                      </w:rPr>
                    </w:pPr>
                    <w:r w:rsidRPr="005F22F8">
                      <w:rPr>
                        <w:b/>
                        <w:color w:val="FFFFFF" w:themeColor="background1"/>
                        <w:sz w:val="40"/>
                        <w:szCs w:val="40"/>
                      </w:rPr>
                      <w:tab/>
                    </w:r>
                    <w:sdt>
                      <w:sdtPr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  <w:id w:val="1513722417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Pr="005F22F8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t xml:space="preserve"> - </w:t>
                        </w:r>
                        <w:r w:rsidRPr="005F22F8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fldChar w:fldCharType="begin"/>
                        </w:r>
                        <w:r w:rsidRPr="005F22F8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instrText xml:space="preserve"> PAGE </w:instrText>
                        </w:r>
                        <w:r w:rsidRPr="005F22F8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fldChar w:fldCharType="separate"/>
                        </w:r>
                        <w:r w:rsidRPr="005F22F8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t>1</w:t>
                        </w:r>
                        <w:r w:rsidRPr="005F22F8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fldChar w:fldCharType="end"/>
                        </w:r>
                      </w:sdtContent>
                    </w:sdt>
                    <w:r w:rsidRPr="005F22F8">
                      <w:rPr>
                        <w:b/>
                        <w:color w:val="FFFFFF" w:themeColor="background1"/>
                        <w:sz w:val="40"/>
                        <w:szCs w:val="40"/>
                      </w:rPr>
                      <w:t xml:space="preserve"> -</w:t>
                    </w:r>
                    <w:r w:rsidRPr="005F22F8">
                      <w:rPr>
                        <w:b/>
                        <w:color w:val="FFFFFF" w:themeColor="background1"/>
                        <w:sz w:val="40"/>
                        <w:szCs w:val="40"/>
                      </w:rPr>
                      <w:tab/>
                    </w:r>
                  </w:p>
                  <w:p w14:paraId="733B8210" w14:textId="77777777" w:rsidR="007C3F3F" w:rsidRPr="005F22F8" w:rsidRDefault="007C3F3F" w:rsidP="006F186C">
                    <w:pPr>
                      <w:tabs>
                        <w:tab w:val="left" w:pos="5812"/>
                        <w:tab w:val="right" w:pos="11482"/>
                      </w:tabs>
                      <w:rPr>
                        <w:b/>
                        <w:color w:val="FFFFFF" w:themeColor="background1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752623"/>
    <w:multiLevelType w:val="singleLevel"/>
    <w:tmpl w:val="0416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nsid w:val="2B127D8A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67D05E68"/>
    <w:multiLevelType w:val="singleLevel"/>
    <w:tmpl w:val="0416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693262312">
    <w:abstractNumId w:val="8"/>
  </w:num>
  <w:num w:numId="2" w16cid:durableId="1520049430">
    <w:abstractNumId w:val="6"/>
  </w:num>
  <w:num w:numId="3" w16cid:durableId="1451969208">
    <w:abstractNumId w:val="5"/>
  </w:num>
  <w:num w:numId="4" w16cid:durableId="700669757">
    <w:abstractNumId w:val="4"/>
  </w:num>
  <w:num w:numId="5" w16cid:durableId="926158782">
    <w:abstractNumId w:val="7"/>
  </w:num>
  <w:num w:numId="6" w16cid:durableId="668406993">
    <w:abstractNumId w:val="3"/>
  </w:num>
  <w:num w:numId="7" w16cid:durableId="2073039314">
    <w:abstractNumId w:val="2"/>
  </w:num>
  <w:num w:numId="8" w16cid:durableId="707265158">
    <w:abstractNumId w:val="1"/>
  </w:num>
  <w:num w:numId="9" w16cid:durableId="502859266">
    <w:abstractNumId w:val="0"/>
  </w:num>
  <w:num w:numId="10" w16cid:durableId="779490477">
    <w:abstractNumId w:val="11"/>
  </w:num>
  <w:num w:numId="11" w16cid:durableId="1713340288">
    <w:abstractNumId w:val="10"/>
  </w:num>
  <w:num w:numId="12" w16cid:durableId="2014141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9DC"/>
    <w:rsid w:val="0015074B"/>
    <w:rsid w:val="00216435"/>
    <w:rsid w:val="0029639D"/>
    <w:rsid w:val="002E3D3D"/>
    <w:rsid w:val="00326F90"/>
    <w:rsid w:val="0039736F"/>
    <w:rsid w:val="004B7FDB"/>
    <w:rsid w:val="0052627E"/>
    <w:rsid w:val="00793127"/>
    <w:rsid w:val="007C3F3F"/>
    <w:rsid w:val="008A79D4"/>
    <w:rsid w:val="009218E3"/>
    <w:rsid w:val="00965A70"/>
    <w:rsid w:val="00A83842"/>
    <w:rsid w:val="00AA1D8D"/>
    <w:rsid w:val="00B47730"/>
    <w:rsid w:val="00B529A0"/>
    <w:rsid w:val="00B62C64"/>
    <w:rsid w:val="00B82363"/>
    <w:rsid w:val="00BE45A0"/>
    <w:rsid w:val="00C47E53"/>
    <w:rsid w:val="00C52DBB"/>
    <w:rsid w:val="00CB0664"/>
    <w:rsid w:val="00D827A8"/>
    <w:rsid w:val="00DC41BA"/>
    <w:rsid w:val="00E50F5C"/>
    <w:rsid w:val="00EC06D8"/>
    <w:rsid w:val="00EC694D"/>
    <w:rsid w:val="00F957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9A827B4-E25B-4B91-8D98-43ABC9B2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3318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6B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96F3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3318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sz="8" w:space="0" w:color="C00000" w:themeColor="accent3"/>
        <w:bottom w:val="single" w:sz="8" w:space="0" w:color="C000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0000" w:themeColor="accent3"/>
          <w:left w:val="nil"/>
          <w:bottom w:val="single" w:sz="8" w:space="0" w:color="C000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0000" w:themeColor="accent3"/>
          <w:left w:val="nil"/>
          <w:bottom w:val="single" w:sz="8" w:space="0" w:color="C000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  <w:tblStylePr w:type="band1Horz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  <w:insideH w:val="single" w:sz="8" w:space="0" w:color="C00000" w:themeColor="accent3"/>
        <w:insideV w:val="single" w:sz="8" w:space="0" w:color="C000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18" w:space="0" w:color="C00000" w:themeColor="accent3"/>
          <w:right w:val="single" w:sz="8" w:space="0" w:color="C00000" w:themeColor="accent3"/>
          <w:insideH w:val="nil"/>
          <w:insideV w:val="single" w:sz="8" w:space="0" w:color="C000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  <w:insideH w:val="nil"/>
          <w:insideV w:val="single" w:sz="8" w:space="0" w:color="C000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  <w:tblStylePr w:type="band1Vert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  <w:shd w:val="clear" w:color="auto" w:fill="FFB0B0" w:themeFill="accent3" w:themeFillTint="3F"/>
      </w:tcPr>
    </w:tblStylePr>
    <w:tblStylePr w:type="band1Horz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  <w:insideV w:val="single" w:sz="8" w:space="0" w:color="C00000" w:themeColor="accent3"/>
        </w:tcBorders>
        <w:shd w:val="clear" w:color="auto" w:fill="FFB0B0" w:themeFill="accent3" w:themeFillTint="3F"/>
      </w:tcPr>
    </w:tblStylePr>
    <w:tblStylePr w:type="band2Horz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  <w:insideV w:val="single" w:sz="8" w:space="0" w:color="C00000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1010" w:themeColor="accent3" w:themeTint="BF"/>
        <w:left w:val="single" w:sz="8" w:space="0" w:color="FF1010" w:themeColor="accent3" w:themeTint="BF"/>
        <w:bottom w:val="single" w:sz="8" w:space="0" w:color="FF1010" w:themeColor="accent3" w:themeTint="BF"/>
        <w:right w:val="single" w:sz="8" w:space="0" w:color="FF1010" w:themeColor="accent3" w:themeTint="BF"/>
        <w:insideH w:val="single" w:sz="8" w:space="0" w:color="FF101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010" w:themeColor="accent3" w:themeTint="BF"/>
          <w:left w:val="single" w:sz="8" w:space="0" w:color="FF1010" w:themeColor="accent3" w:themeTint="BF"/>
          <w:bottom w:val="single" w:sz="8" w:space="0" w:color="FF1010" w:themeColor="accent3" w:themeTint="BF"/>
          <w:right w:val="single" w:sz="8" w:space="0" w:color="FF1010" w:themeColor="accent3" w:themeTint="BF"/>
          <w:insideH w:val="nil"/>
          <w:insideV w:val="nil"/>
        </w:tcBorders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010" w:themeColor="accent3" w:themeTint="BF"/>
          <w:left w:val="single" w:sz="8" w:space="0" w:color="FF1010" w:themeColor="accent3" w:themeTint="BF"/>
          <w:bottom w:val="single" w:sz="8" w:space="0" w:color="FF1010" w:themeColor="accent3" w:themeTint="BF"/>
          <w:right w:val="single" w:sz="8" w:space="0" w:color="FF101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0B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0B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00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0000" w:themeColor="accent3"/>
        <w:bottom w:val="single" w:sz="8" w:space="0" w:color="C000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0000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0000" w:themeColor="accent3"/>
          <w:bottom w:val="single" w:sz="8" w:space="0" w:color="C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0000" w:themeColor="accent3"/>
          <w:bottom w:val="single" w:sz="8" w:space="0" w:color="C00000" w:themeColor="accent3"/>
        </w:tcBorders>
      </w:tcPr>
    </w:tblStylePr>
    <w:tblStylePr w:type="band1Vert">
      <w:tblPr/>
      <w:tcPr>
        <w:shd w:val="clear" w:color="auto" w:fill="FFB0B0" w:themeFill="accent3" w:themeFillTint="3F"/>
      </w:tcPr>
    </w:tblStylePr>
    <w:tblStylePr w:type="band1Horz">
      <w:tblPr/>
      <w:tcPr>
        <w:shd w:val="clear" w:color="auto" w:fill="FFB0B0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00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000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00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00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0B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1010" w:themeColor="accent3" w:themeTint="BF"/>
        <w:left w:val="single" w:sz="8" w:space="0" w:color="FF1010" w:themeColor="accent3" w:themeTint="BF"/>
        <w:bottom w:val="single" w:sz="8" w:space="0" w:color="FF1010" w:themeColor="accent3" w:themeTint="BF"/>
        <w:right w:val="single" w:sz="8" w:space="0" w:color="FF1010" w:themeColor="accent3" w:themeTint="BF"/>
        <w:insideH w:val="single" w:sz="8" w:space="0" w:color="FF1010" w:themeColor="accent3" w:themeTint="BF"/>
        <w:insideV w:val="single" w:sz="8" w:space="0" w:color="FF1010" w:themeColor="accent3" w:themeTint="BF"/>
      </w:tblBorders>
    </w:tblPr>
    <w:tcPr>
      <w:shd w:val="clear" w:color="auto" w:fill="FFB0B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01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  <w:insideH w:val="single" w:sz="8" w:space="0" w:color="C00000" w:themeColor="accent3"/>
        <w:insideV w:val="single" w:sz="8" w:space="0" w:color="C00000" w:themeColor="accent3"/>
      </w:tblBorders>
    </w:tblPr>
    <w:tcPr>
      <w:shd w:val="clear" w:color="auto" w:fill="FFB0B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DFD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FBF" w:themeFill="accent3" w:themeFillTint="33"/>
      </w:tc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tcBorders>
          <w:insideH w:val="single" w:sz="6" w:space="0" w:color="C00000" w:themeColor="accent3"/>
          <w:insideV w:val="single" w:sz="6" w:space="0" w:color="C00000" w:themeColor="accent3"/>
        </w:tcBorders>
        <w:shd w:val="clear" w:color="auto" w:fill="FF606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0B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00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00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00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06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060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00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F00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F00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C00000" w:themeColor="accent3"/>
        <w:bottom w:val="single" w:sz="4" w:space="0" w:color="C00000" w:themeColor="accent3"/>
        <w:right w:val="single" w:sz="4" w:space="0" w:color="C000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FD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0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0000" w:themeColor="accent3" w:themeShade="99"/>
          <w:insideV w:val="nil"/>
        </w:tcBorders>
        <w:shd w:val="clear" w:color="auto" w:fill="730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0000" w:themeFill="accent3" w:themeFillShade="99"/>
      </w:tcPr>
    </w:tblStylePr>
    <w:tblStylePr w:type="band1Vert">
      <w:tblPr/>
      <w:tcPr>
        <w:shd w:val="clear" w:color="auto" w:fill="FF7F7F" w:themeFill="accent3" w:themeFillTint="66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0000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00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DFD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90000" w:themeFill="accent3" w:themeFillShade="CC"/>
      </w:tcPr>
    </w:tblStylePr>
    <w:tblStylePr w:type="lastRow">
      <w:rPr>
        <w:b/>
        <w:bCs/>
        <w:color w:val="99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FBF" w:themeFill="accent3" w:themeFillTint="33"/>
    </w:tcPr>
    <w:tblStylePr w:type="firstRow">
      <w:rPr>
        <w:b/>
        <w:bCs/>
      </w:rPr>
      <w:tblPr/>
      <w:tcPr>
        <w:shd w:val="clear" w:color="auto" w:fill="FF7F7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7F7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F00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F0000" w:themeFill="accent3" w:themeFillShade="BF"/>
      </w:tc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C00000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コシック"/>
        <a:font script="Hang" typeface="맑은 고딕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明朝"/>
        <a:font script="Hang" typeface="맑은 고딕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1539</Words>
  <Characters>8315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Teixeira</cp:lastModifiedBy>
  <cp:revision>11</cp:revision>
  <dcterms:created xsi:type="dcterms:W3CDTF">2013-12-23T23:15:00Z</dcterms:created>
  <dcterms:modified xsi:type="dcterms:W3CDTF">2026-07-17T16:44:00Z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3a7a5c93-77e7-46de-8b42-b77cbdb95c84</vt:lpwstr>
  </property>
</Properties>
</file>