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103F2" w14:textId="2758903B" w:rsidR="002A50CF" w:rsidRDefault="002A50CF" w:rsidP="002A50CF">
      <w:pPr>
        <w:pStyle w:val="Title"/>
      </w:pPr>
      <w:r>
        <w:t>LAZA-034 - Google Cloud IaC and Environments</w:t>
      </w:r>
    </w:p>
    <w:p w14:paraId="08BC9C09" w14:textId="7D7C5EFE" w:rsidR="002A50CF" w:rsidRDefault="002A50CF" w:rsidP="002A50CF">
      <w:pPr>
        <w:pStyle w:val="Subtitle"/>
      </w:pPr>
      <w:r>
        <w:t>Infrastructure as Code foundation for DEV, HML and PRD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82"/>
        <w:gridCol w:w="5282"/>
      </w:tblGrid>
      <w:tr w:rsidR="002A50CF" w:rsidRPr="002A50CF" w14:paraId="50903C1C" w14:textId="77777777" w:rsidTr="002A50CF">
        <w:tc>
          <w:tcPr>
            <w:tcW w:w="2500" w:type="pct"/>
            <w:shd w:val="clear" w:color="auto" w:fill="033189"/>
            <w:vAlign w:val="center"/>
          </w:tcPr>
          <w:p w14:paraId="62F4767A" w14:textId="6084545A" w:rsidR="002A50CF" w:rsidRPr="002A50CF" w:rsidRDefault="002A50CF" w:rsidP="002A50CF">
            <w:pPr>
              <w:rPr>
                <w:b/>
                <w:color w:val="FFFFFF"/>
                <w:sz w:val="16"/>
              </w:rPr>
            </w:pPr>
            <w:r w:rsidRPr="002A50CF"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2500" w:type="pct"/>
            <w:shd w:val="clear" w:color="auto" w:fill="033189"/>
            <w:vAlign w:val="center"/>
          </w:tcPr>
          <w:p w14:paraId="57722207" w14:textId="4FA4FC67" w:rsidR="002A50CF" w:rsidRPr="002A50CF" w:rsidRDefault="002A50CF" w:rsidP="002A50CF">
            <w:pPr>
              <w:rPr>
                <w:b/>
                <w:color w:val="FFFFFF"/>
                <w:sz w:val="16"/>
              </w:rPr>
            </w:pPr>
            <w:r w:rsidRPr="002A50CF">
              <w:rPr>
                <w:b/>
                <w:color w:val="FFFFFF"/>
                <w:sz w:val="16"/>
              </w:rPr>
              <w:t>Value</w:t>
            </w:r>
          </w:p>
        </w:tc>
      </w:tr>
      <w:tr w:rsidR="002A50CF" w:rsidRPr="002A50CF" w14:paraId="081331F6" w14:textId="77777777" w:rsidTr="002A50CF">
        <w:tc>
          <w:tcPr>
            <w:tcW w:w="2500" w:type="pct"/>
            <w:vAlign w:val="center"/>
          </w:tcPr>
          <w:p w14:paraId="485EE8A5" w14:textId="0773D0FD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Version</w:t>
            </w:r>
          </w:p>
        </w:tc>
        <w:tc>
          <w:tcPr>
            <w:tcW w:w="2500" w:type="pct"/>
            <w:vAlign w:val="center"/>
          </w:tcPr>
          <w:p w14:paraId="7C0FE00C" w14:textId="01253E06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01</w:t>
            </w:r>
          </w:p>
        </w:tc>
      </w:tr>
      <w:tr w:rsidR="002A50CF" w:rsidRPr="002A50CF" w14:paraId="4FCA92E7" w14:textId="77777777" w:rsidTr="002A50CF">
        <w:tc>
          <w:tcPr>
            <w:tcW w:w="2500" w:type="pct"/>
            <w:vAlign w:val="center"/>
          </w:tcPr>
          <w:p w14:paraId="637058BF" w14:textId="0CC923EE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Date</w:t>
            </w:r>
          </w:p>
        </w:tc>
        <w:tc>
          <w:tcPr>
            <w:tcW w:w="2500" w:type="pct"/>
            <w:vAlign w:val="center"/>
          </w:tcPr>
          <w:p w14:paraId="680981EF" w14:textId="1B741A56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17/07/2026</w:t>
            </w:r>
          </w:p>
        </w:tc>
      </w:tr>
      <w:tr w:rsidR="002A50CF" w:rsidRPr="002A50CF" w14:paraId="56F3B056" w14:textId="77777777" w:rsidTr="002A50CF">
        <w:tc>
          <w:tcPr>
            <w:tcW w:w="2500" w:type="pct"/>
            <w:vAlign w:val="center"/>
          </w:tcPr>
          <w:p w14:paraId="29728308" w14:textId="50230F0C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Target audience</w:t>
            </w:r>
          </w:p>
        </w:tc>
        <w:tc>
          <w:tcPr>
            <w:tcW w:w="2500" w:type="pct"/>
            <w:vAlign w:val="center"/>
          </w:tcPr>
          <w:p w14:paraId="29199EF4" w14:textId="6C053196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Sponsor, Product Owner, Data Architect, Data Engineer, Security/IAM owner, Cloud Platform owner, and Operations owner</w:t>
            </w:r>
          </w:p>
        </w:tc>
      </w:tr>
      <w:tr w:rsidR="002A50CF" w:rsidRPr="002A50CF" w14:paraId="164EFF05" w14:textId="77777777" w:rsidTr="002A50CF">
        <w:tc>
          <w:tcPr>
            <w:tcW w:w="2500" w:type="pct"/>
            <w:vAlign w:val="center"/>
          </w:tcPr>
          <w:p w14:paraId="5DC0A7D6" w14:textId="1E4C3125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Objective</w:t>
            </w:r>
          </w:p>
        </w:tc>
        <w:tc>
          <w:tcPr>
            <w:tcW w:w="2500" w:type="pct"/>
            <w:vAlign w:val="center"/>
          </w:tcPr>
          <w:p w14:paraId="42F3995B" w14:textId="6C061069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Define a reproducible Google Cloud foundation for LAZA using Terraform, with separated DEV, HML and PRD configurations.</w:t>
            </w:r>
          </w:p>
        </w:tc>
      </w:tr>
      <w:tr w:rsidR="002A50CF" w:rsidRPr="002A50CF" w14:paraId="55275212" w14:textId="77777777" w:rsidTr="002A50CF">
        <w:tc>
          <w:tcPr>
            <w:tcW w:w="2500" w:type="pct"/>
            <w:vAlign w:val="center"/>
          </w:tcPr>
          <w:p w14:paraId="6F9A16D0" w14:textId="3FB08049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Status</w:t>
            </w:r>
          </w:p>
        </w:tc>
        <w:tc>
          <w:tcPr>
            <w:tcW w:w="2500" w:type="pct"/>
            <w:vAlign w:val="center"/>
          </w:tcPr>
          <w:p w14:paraId="056A2C04" w14:textId="713638F9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Implementation-ready draft. No Google resource is created by this document or by the committed scaffold until Terraform is explicitly applied.</w:t>
            </w:r>
          </w:p>
        </w:tc>
      </w:tr>
    </w:tbl>
    <w:p w14:paraId="0ACFDB61" w14:textId="77777777" w:rsidR="002A50CF" w:rsidRDefault="002A50CF" w:rsidP="002A50CF"/>
    <w:p w14:paraId="59DBADFB" w14:textId="58EE7A9B" w:rsidR="002A50CF" w:rsidRDefault="002A50CF" w:rsidP="002A50CF">
      <w:pPr>
        <w:pStyle w:val="Heading1"/>
      </w:pPr>
      <w:r>
        <w:t>1. Objective</w:t>
      </w:r>
    </w:p>
    <w:p w14:paraId="7A168DFD" w14:textId="2368DB08" w:rsidR="002A50CF" w:rsidRDefault="002A50CF" w:rsidP="002A50CF">
      <w:r>
        <w:t>Define a reproducible Google Cloud foundation for the LAZA data platform, with separate DEV, HML and PRD configurations. The baseline preserves the Bronze, Silver and Gold contract defined in LAZA-033 and prepares the project for the LAZA-035 portability proof.</w:t>
      </w:r>
    </w:p>
    <w:p w14:paraId="62C750E9" w14:textId="1ECF4B4D" w:rsidR="002A50CF" w:rsidRDefault="002A50CF" w:rsidP="002A50CF">
      <w:pPr>
        <w:pStyle w:val="Heading1"/>
      </w:pPr>
      <w:r>
        <w:t>2. IaC decision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522"/>
        <w:gridCol w:w="3522"/>
        <w:gridCol w:w="3520"/>
      </w:tblGrid>
      <w:tr w:rsidR="002A50CF" w:rsidRPr="002A50CF" w14:paraId="30F594DD" w14:textId="77777777" w:rsidTr="002A50CF">
        <w:tc>
          <w:tcPr>
            <w:tcW w:w="1667" w:type="pct"/>
            <w:shd w:val="clear" w:color="auto" w:fill="033189"/>
            <w:vAlign w:val="center"/>
          </w:tcPr>
          <w:p w14:paraId="777C2419" w14:textId="1D615AD8" w:rsidR="002A50CF" w:rsidRPr="002A50CF" w:rsidRDefault="002A50CF" w:rsidP="002A50CF">
            <w:pPr>
              <w:rPr>
                <w:b/>
                <w:color w:val="FFFFFF"/>
                <w:sz w:val="16"/>
              </w:rPr>
            </w:pPr>
            <w:r w:rsidRPr="002A50CF">
              <w:rPr>
                <w:b/>
                <w:color w:val="FFFFFF"/>
                <w:sz w:val="16"/>
              </w:rPr>
              <w:t>Decision</w:t>
            </w:r>
          </w:p>
        </w:tc>
        <w:tc>
          <w:tcPr>
            <w:tcW w:w="1667" w:type="pct"/>
            <w:shd w:val="clear" w:color="auto" w:fill="033189"/>
            <w:vAlign w:val="center"/>
          </w:tcPr>
          <w:p w14:paraId="7081CD36" w14:textId="3AE6CF42" w:rsidR="002A50CF" w:rsidRPr="002A50CF" w:rsidRDefault="002A50CF" w:rsidP="002A50CF">
            <w:pPr>
              <w:rPr>
                <w:b/>
                <w:color w:val="FFFFFF"/>
                <w:sz w:val="16"/>
              </w:rPr>
            </w:pPr>
            <w:r w:rsidRPr="002A50CF">
              <w:rPr>
                <w:b/>
                <w:color w:val="FFFFFF"/>
                <w:sz w:val="16"/>
              </w:rPr>
              <w:t>Proposed value</w:t>
            </w:r>
          </w:p>
        </w:tc>
        <w:tc>
          <w:tcPr>
            <w:tcW w:w="1667" w:type="pct"/>
            <w:shd w:val="clear" w:color="auto" w:fill="033189"/>
            <w:vAlign w:val="center"/>
          </w:tcPr>
          <w:p w14:paraId="3EAA93D1" w14:textId="43A9F90F" w:rsidR="002A50CF" w:rsidRPr="002A50CF" w:rsidRDefault="002A50CF" w:rsidP="002A50CF">
            <w:pPr>
              <w:rPr>
                <w:b/>
                <w:color w:val="FFFFFF"/>
                <w:sz w:val="16"/>
              </w:rPr>
            </w:pPr>
            <w:r w:rsidRPr="002A50CF">
              <w:rPr>
                <w:b/>
                <w:color w:val="FFFFFF"/>
                <w:sz w:val="16"/>
              </w:rPr>
              <w:t>Rationale</w:t>
            </w:r>
          </w:p>
        </w:tc>
      </w:tr>
      <w:tr w:rsidR="002A50CF" w:rsidRPr="002A50CF" w14:paraId="3AF58B0C" w14:textId="77777777" w:rsidTr="002A50CF">
        <w:tc>
          <w:tcPr>
            <w:tcW w:w="1667" w:type="pct"/>
            <w:vAlign w:val="center"/>
          </w:tcPr>
          <w:p w14:paraId="585CB741" w14:textId="6AC4855F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IaC tool</w:t>
            </w:r>
          </w:p>
        </w:tc>
        <w:tc>
          <w:tcPr>
            <w:tcW w:w="1667" w:type="pct"/>
            <w:vAlign w:val="center"/>
          </w:tcPr>
          <w:p w14:paraId="77EF11B3" w14:textId="103D6DF3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Terraform</w:t>
            </w:r>
          </w:p>
        </w:tc>
        <w:tc>
          <w:tcPr>
            <w:tcW w:w="1667" w:type="pct"/>
            <w:vAlign w:val="center"/>
          </w:tcPr>
          <w:p w14:paraId="2986FF1B" w14:textId="1FAFAE10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Mature Google Cloud provider, strong review workflow and clean separation of environment variables.</w:t>
            </w:r>
          </w:p>
        </w:tc>
      </w:tr>
      <w:tr w:rsidR="002A50CF" w:rsidRPr="002A50CF" w14:paraId="58A173E6" w14:textId="77777777" w:rsidTr="002A50CF">
        <w:tc>
          <w:tcPr>
            <w:tcW w:w="1667" w:type="pct"/>
            <w:vAlign w:val="center"/>
          </w:tcPr>
          <w:p w14:paraId="78E415D6" w14:textId="31B56ACA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Scope</w:t>
            </w:r>
          </w:p>
        </w:tc>
        <w:tc>
          <w:tcPr>
            <w:tcW w:w="1667" w:type="pct"/>
            <w:vAlign w:val="center"/>
          </w:tcPr>
          <w:p w14:paraId="6126A1B6" w14:textId="17CE8C18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Project services, Cloud Storage, BigQuery, service accounts, IAM, runtime placeholders and secret placeholders</w:t>
            </w:r>
          </w:p>
        </w:tc>
        <w:tc>
          <w:tcPr>
            <w:tcW w:w="1667" w:type="pct"/>
            <w:vAlign w:val="center"/>
          </w:tcPr>
          <w:p w14:paraId="22169D68" w14:textId="69E13DD9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Covers the foundation without coupling the first version to every pipeline detail.</w:t>
            </w:r>
          </w:p>
        </w:tc>
      </w:tr>
      <w:tr w:rsidR="002A50CF" w:rsidRPr="002A50CF" w14:paraId="1D7AC143" w14:textId="77777777" w:rsidTr="002A50CF">
        <w:tc>
          <w:tcPr>
            <w:tcW w:w="1667" w:type="pct"/>
            <w:vAlign w:val="center"/>
          </w:tcPr>
          <w:p w14:paraId="44E82595" w14:textId="010E9277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State backend</w:t>
            </w:r>
          </w:p>
        </w:tc>
        <w:tc>
          <w:tcPr>
            <w:tcW w:w="1667" w:type="pct"/>
            <w:vAlign w:val="center"/>
          </w:tcPr>
          <w:p w14:paraId="18F6959B" w14:textId="27159089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Google Cloud Storage bucket per landing zone</w:t>
            </w:r>
          </w:p>
        </w:tc>
        <w:tc>
          <w:tcPr>
            <w:tcW w:w="1667" w:type="pct"/>
            <w:vAlign w:val="center"/>
          </w:tcPr>
          <w:p w14:paraId="46D611EE" w14:textId="01569F2E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Keeps Terraform state outside developer machines and enables controlled changes.</w:t>
            </w:r>
          </w:p>
        </w:tc>
      </w:tr>
      <w:tr w:rsidR="002A50CF" w:rsidRPr="002A50CF" w14:paraId="1AC83B29" w14:textId="77777777" w:rsidTr="002A50CF">
        <w:tc>
          <w:tcPr>
            <w:tcW w:w="1667" w:type="pct"/>
            <w:vAlign w:val="center"/>
          </w:tcPr>
          <w:p w14:paraId="0954ED1A" w14:textId="73256AA8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Environments</w:t>
            </w:r>
          </w:p>
        </w:tc>
        <w:tc>
          <w:tcPr>
            <w:tcW w:w="1667" w:type="pct"/>
            <w:vAlign w:val="center"/>
          </w:tcPr>
          <w:p w14:paraId="1A18B60B" w14:textId="7D79A767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dev, hml, prd</w:t>
            </w:r>
          </w:p>
        </w:tc>
        <w:tc>
          <w:tcPr>
            <w:tcW w:w="1667" w:type="pct"/>
            <w:vAlign w:val="center"/>
          </w:tcPr>
          <w:p w14:paraId="410C954B" w14:textId="3F180B7C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Mirrors normal delivery flow and separates data/control boundaries.</w:t>
            </w:r>
          </w:p>
        </w:tc>
      </w:tr>
      <w:tr w:rsidR="002A50CF" w:rsidRPr="002A50CF" w14:paraId="39DD70CA" w14:textId="77777777" w:rsidTr="002A50CF">
        <w:tc>
          <w:tcPr>
            <w:tcW w:w="1667" w:type="pct"/>
            <w:vAlign w:val="center"/>
          </w:tcPr>
          <w:p w14:paraId="0E92505D" w14:textId="187D71A3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Naming</w:t>
            </w:r>
          </w:p>
        </w:tc>
        <w:tc>
          <w:tcPr>
            <w:tcW w:w="1667" w:type="pct"/>
            <w:vAlign w:val="center"/>
          </w:tcPr>
          <w:p w14:paraId="1E21C9AB" w14:textId="1F7D28AC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laza-&lt;env&gt;-&lt;resource&gt;-&lt;project_id&gt;</w:t>
            </w:r>
          </w:p>
        </w:tc>
        <w:tc>
          <w:tcPr>
            <w:tcW w:w="1667" w:type="pct"/>
            <w:vAlign w:val="center"/>
          </w:tcPr>
          <w:p w14:paraId="11425C59" w14:textId="1F8E19A4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Keeps resources recognizable and reduces bucket-name collision risk.</w:t>
            </w:r>
          </w:p>
        </w:tc>
      </w:tr>
      <w:tr w:rsidR="002A50CF" w:rsidRPr="002A50CF" w14:paraId="45D527B6" w14:textId="77777777" w:rsidTr="002A50CF">
        <w:tc>
          <w:tcPr>
            <w:tcW w:w="1667" w:type="pct"/>
            <w:vAlign w:val="center"/>
          </w:tcPr>
          <w:p w14:paraId="7F3CC088" w14:textId="297A632C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Region</w:t>
            </w:r>
          </w:p>
        </w:tc>
        <w:tc>
          <w:tcPr>
            <w:tcW w:w="1667" w:type="pct"/>
            <w:vAlign w:val="center"/>
          </w:tcPr>
          <w:p w14:paraId="58B328BA" w14:textId="573B6A79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Parameterized, default candidate europe-west1</w:t>
            </w:r>
          </w:p>
        </w:tc>
        <w:tc>
          <w:tcPr>
            <w:tcW w:w="1667" w:type="pct"/>
            <w:vAlign w:val="center"/>
          </w:tcPr>
          <w:p w14:paraId="6C2E4335" w14:textId="1D70757B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Final region must be confirmed by the landing-zone owner.</w:t>
            </w:r>
          </w:p>
        </w:tc>
      </w:tr>
    </w:tbl>
    <w:p w14:paraId="3FFDACB4" w14:textId="77777777" w:rsidR="002A50CF" w:rsidRDefault="002A50CF" w:rsidP="002A50CF"/>
    <w:p w14:paraId="4B907407" w14:textId="0E72276B" w:rsidR="002A50CF" w:rsidRDefault="002A50CF" w:rsidP="002A50CF">
      <w:pPr>
        <w:pStyle w:val="Heading1"/>
      </w:pPr>
      <w:r>
        <w:t>3. Environment model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12"/>
        <w:gridCol w:w="2113"/>
        <w:gridCol w:w="2113"/>
        <w:gridCol w:w="2113"/>
        <w:gridCol w:w="2113"/>
      </w:tblGrid>
      <w:tr w:rsidR="002A50CF" w:rsidRPr="002A50CF" w14:paraId="7F73051C" w14:textId="77777777" w:rsidTr="002A50CF">
        <w:tc>
          <w:tcPr>
            <w:tcW w:w="1000" w:type="pct"/>
            <w:shd w:val="clear" w:color="auto" w:fill="033189"/>
            <w:vAlign w:val="center"/>
          </w:tcPr>
          <w:p w14:paraId="22DF190A" w14:textId="1E3F5407" w:rsidR="002A50CF" w:rsidRPr="002A50CF" w:rsidRDefault="002A50CF" w:rsidP="002A50CF">
            <w:pPr>
              <w:rPr>
                <w:b/>
                <w:color w:val="FFFFFF"/>
                <w:sz w:val="16"/>
              </w:rPr>
            </w:pPr>
            <w:r w:rsidRPr="002A50CF">
              <w:rPr>
                <w:b/>
                <w:color w:val="FFFFFF"/>
                <w:sz w:val="16"/>
              </w:rPr>
              <w:t>Environment</w:t>
            </w:r>
          </w:p>
        </w:tc>
        <w:tc>
          <w:tcPr>
            <w:tcW w:w="1000" w:type="pct"/>
            <w:shd w:val="clear" w:color="auto" w:fill="033189"/>
            <w:vAlign w:val="center"/>
          </w:tcPr>
          <w:p w14:paraId="63D06062" w14:textId="7E8744D7" w:rsidR="002A50CF" w:rsidRPr="002A50CF" w:rsidRDefault="002A50CF" w:rsidP="002A50CF">
            <w:pPr>
              <w:rPr>
                <w:b/>
                <w:color w:val="FFFFFF"/>
                <w:sz w:val="16"/>
              </w:rPr>
            </w:pPr>
            <w:r w:rsidRPr="002A50CF"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w="1000" w:type="pct"/>
            <w:shd w:val="clear" w:color="auto" w:fill="033189"/>
            <w:vAlign w:val="center"/>
          </w:tcPr>
          <w:p w14:paraId="4C0E81F1" w14:textId="2668E411" w:rsidR="002A50CF" w:rsidRPr="002A50CF" w:rsidRDefault="002A50CF" w:rsidP="002A50CF">
            <w:pPr>
              <w:rPr>
                <w:b/>
                <w:color w:val="FFFFFF"/>
                <w:sz w:val="16"/>
              </w:rPr>
            </w:pPr>
            <w:r w:rsidRPr="002A50CF">
              <w:rPr>
                <w:b/>
                <w:color w:val="FFFFFF"/>
                <w:sz w:val="16"/>
              </w:rPr>
              <w:t>Data policy</w:t>
            </w:r>
          </w:p>
        </w:tc>
        <w:tc>
          <w:tcPr>
            <w:tcW w:w="1000" w:type="pct"/>
            <w:shd w:val="clear" w:color="auto" w:fill="033189"/>
            <w:vAlign w:val="center"/>
          </w:tcPr>
          <w:p w14:paraId="639BDB6E" w14:textId="210232AD" w:rsidR="002A50CF" w:rsidRPr="002A50CF" w:rsidRDefault="002A50CF" w:rsidP="002A50CF">
            <w:pPr>
              <w:rPr>
                <w:b/>
                <w:color w:val="FFFFFF"/>
                <w:sz w:val="16"/>
              </w:rPr>
            </w:pPr>
            <w:r w:rsidRPr="002A50CF">
              <w:rPr>
                <w:b/>
                <w:color w:val="FFFFFF"/>
                <w:sz w:val="16"/>
              </w:rPr>
              <w:t>Access posture</w:t>
            </w:r>
          </w:p>
        </w:tc>
        <w:tc>
          <w:tcPr>
            <w:tcW w:w="1000" w:type="pct"/>
            <w:shd w:val="clear" w:color="auto" w:fill="033189"/>
            <w:vAlign w:val="center"/>
          </w:tcPr>
          <w:p w14:paraId="6D3E05D7" w14:textId="6C5EC9CC" w:rsidR="002A50CF" w:rsidRPr="002A50CF" w:rsidRDefault="002A50CF" w:rsidP="002A50CF">
            <w:pPr>
              <w:rPr>
                <w:b/>
                <w:color w:val="FFFFFF"/>
                <w:sz w:val="16"/>
              </w:rPr>
            </w:pPr>
            <w:r w:rsidRPr="002A50CF">
              <w:rPr>
                <w:b/>
                <w:color w:val="FFFFFF"/>
                <w:sz w:val="16"/>
              </w:rPr>
              <w:t>Promotion rule</w:t>
            </w:r>
          </w:p>
        </w:tc>
      </w:tr>
      <w:tr w:rsidR="002A50CF" w:rsidRPr="002A50CF" w14:paraId="457382CA" w14:textId="77777777" w:rsidTr="002A50CF">
        <w:tc>
          <w:tcPr>
            <w:tcW w:w="1000" w:type="pct"/>
            <w:vAlign w:val="center"/>
          </w:tcPr>
          <w:p w14:paraId="7A97F4AF" w14:textId="0B7084BC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dev</w:t>
            </w:r>
          </w:p>
        </w:tc>
        <w:tc>
          <w:tcPr>
            <w:tcW w:w="1000" w:type="pct"/>
            <w:vAlign w:val="center"/>
          </w:tcPr>
          <w:p w14:paraId="3292E4F9" w14:textId="76A0C9E1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Engineering validation and provider development.</w:t>
            </w:r>
          </w:p>
        </w:tc>
        <w:tc>
          <w:tcPr>
            <w:tcW w:w="1000" w:type="pct"/>
            <w:vAlign w:val="center"/>
          </w:tcPr>
          <w:p w14:paraId="4866E0A0" w14:textId="116DB5AD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Limited official extracts or masked data.</w:t>
            </w:r>
          </w:p>
        </w:tc>
        <w:tc>
          <w:tcPr>
            <w:tcW w:w="1000" w:type="pct"/>
            <w:vAlign w:val="center"/>
          </w:tcPr>
          <w:p w14:paraId="2DC42E7F" w14:textId="38DF67EB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Small technical group.</w:t>
            </w:r>
          </w:p>
        </w:tc>
        <w:tc>
          <w:tcPr>
            <w:tcW w:w="1000" w:type="pct"/>
            <w:vAlign w:val="center"/>
          </w:tcPr>
          <w:p w14:paraId="5A3885D8" w14:textId="6DA27371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Fast changes, but always through Terraform plan review.</w:t>
            </w:r>
          </w:p>
        </w:tc>
      </w:tr>
      <w:tr w:rsidR="002A50CF" w:rsidRPr="002A50CF" w14:paraId="5041F3ED" w14:textId="77777777" w:rsidTr="002A50CF">
        <w:tc>
          <w:tcPr>
            <w:tcW w:w="1000" w:type="pct"/>
            <w:vAlign w:val="center"/>
          </w:tcPr>
          <w:p w14:paraId="7B6D589E" w14:textId="0C33A46C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hml</w:t>
            </w:r>
          </w:p>
        </w:tc>
        <w:tc>
          <w:tcPr>
            <w:tcW w:w="1000" w:type="pct"/>
            <w:vAlign w:val="center"/>
          </w:tcPr>
          <w:p w14:paraId="2CEDB26A" w14:textId="34378C24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Business validation, Cloudflare/IAP testing and LAZA-035 reconciliation.</w:t>
            </w:r>
          </w:p>
        </w:tc>
        <w:tc>
          <w:tcPr>
            <w:tcW w:w="1000" w:type="pct"/>
            <w:vAlign w:val="center"/>
          </w:tcPr>
          <w:p w14:paraId="35E260A7" w14:textId="520810CD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Full MVP dataset with controlled access.</w:t>
            </w:r>
          </w:p>
        </w:tc>
        <w:tc>
          <w:tcPr>
            <w:tcW w:w="1000" w:type="pct"/>
            <w:vAlign w:val="center"/>
          </w:tcPr>
          <w:p w14:paraId="48A2BFD5" w14:textId="1A796C81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Product owner, data steward and technical reviewers.</w:t>
            </w:r>
          </w:p>
        </w:tc>
        <w:tc>
          <w:tcPr>
            <w:tcW w:w="1000" w:type="pct"/>
            <w:vAlign w:val="center"/>
          </w:tcPr>
          <w:p w14:paraId="26A62E10" w14:textId="3F445725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Only promoted from reviewed DEV changes.</w:t>
            </w:r>
          </w:p>
        </w:tc>
      </w:tr>
      <w:tr w:rsidR="002A50CF" w:rsidRPr="002A50CF" w14:paraId="3EC17201" w14:textId="77777777" w:rsidTr="002A50CF">
        <w:tc>
          <w:tcPr>
            <w:tcW w:w="1000" w:type="pct"/>
            <w:vAlign w:val="center"/>
          </w:tcPr>
          <w:p w14:paraId="0D37BC51" w14:textId="3BD00ED1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prd</w:t>
            </w:r>
          </w:p>
        </w:tc>
        <w:tc>
          <w:tcPr>
            <w:tcW w:w="1000" w:type="pct"/>
            <w:vAlign w:val="center"/>
          </w:tcPr>
          <w:p w14:paraId="2E403483" w14:textId="37D542BD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Production public or restricted service.</w:t>
            </w:r>
          </w:p>
        </w:tc>
        <w:tc>
          <w:tcPr>
            <w:tcW w:w="1000" w:type="pct"/>
            <w:vAlign w:val="center"/>
          </w:tcPr>
          <w:p w14:paraId="702B4B32" w14:textId="0B6E2C32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Approved official data only.</w:t>
            </w:r>
          </w:p>
        </w:tc>
        <w:tc>
          <w:tcPr>
            <w:tcW w:w="1000" w:type="pct"/>
            <w:vAlign w:val="center"/>
          </w:tcPr>
          <w:p w14:paraId="47F0B38D" w14:textId="1CA24458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Least privilege and audited admin access.</w:t>
            </w:r>
          </w:p>
        </w:tc>
        <w:tc>
          <w:tcPr>
            <w:tcW w:w="1000" w:type="pct"/>
            <w:vAlign w:val="center"/>
          </w:tcPr>
          <w:p w14:paraId="782501C2" w14:textId="1824B711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Only promoted after HML sign-off and rollback plan.</w:t>
            </w:r>
          </w:p>
        </w:tc>
      </w:tr>
    </w:tbl>
    <w:p w14:paraId="6F5CB8D2" w14:textId="77777777" w:rsidR="002A50CF" w:rsidRDefault="002A50CF" w:rsidP="002A50CF"/>
    <w:p w14:paraId="5385D67C" w14:textId="44CA3F33" w:rsidR="002A50CF" w:rsidRDefault="002A50CF" w:rsidP="002A50CF">
      <w:pPr>
        <w:pStyle w:val="Heading1"/>
      </w:pPr>
      <w:r>
        <w:t>4. Resource baseline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522"/>
        <w:gridCol w:w="3522"/>
        <w:gridCol w:w="3520"/>
      </w:tblGrid>
      <w:tr w:rsidR="002A50CF" w:rsidRPr="002A50CF" w14:paraId="1E46B5E1" w14:textId="77777777" w:rsidTr="002A50CF">
        <w:tc>
          <w:tcPr>
            <w:tcW w:w="1667" w:type="pct"/>
            <w:shd w:val="clear" w:color="auto" w:fill="033189"/>
            <w:vAlign w:val="center"/>
          </w:tcPr>
          <w:p w14:paraId="0A128D36" w14:textId="5D46AB7A" w:rsidR="002A50CF" w:rsidRPr="002A50CF" w:rsidRDefault="002A50CF" w:rsidP="002A50CF">
            <w:pPr>
              <w:rPr>
                <w:b/>
                <w:color w:val="FFFFFF"/>
                <w:sz w:val="16"/>
              </w:rPr>
            </w:pPr>
            <w:r w:rsidRPr="002A50CF"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w="1667" w:type="pct"/>
            <w:shd w:val="clear" w:color="auto" w:fill="033189"/>
            <w:vAlign w:val="center"/>
          </w:tcPr>
          <w:p w14:paraId="04C00AD7" w14:textId="7B2D42F4" w:rsidR="002A50CF" w:rsidRPr="002A50CF" w:rsidRDefault="002A50CF" w:rsidP="002A50CF">
            <w:pPr>
              <w:rPr>
                <w:b/>
                <w:color w:val="FFFFFF"/>
                <w:sz w:val="16"/>
              </w:rPr>
            </w:pPr>
            <w:r w:rsidRPr="002A50CF">
              <w:rPr>
                <w:b/>
                <w:color w:val="FFFFFF"/>
                <w:sz w:val="16"/>
              </w:rPr>
              <w:t>Google Cloud resources</w:t>
            </w:r>
          </w:p>
        </w:tc>
        <w:tc>
          <w:tcPr>
            <w:tcW w:w="1667" w:type="pct"/>
            <w:shd w:val="clear" w:color="auto" w:fill="033189"/>
            <w:vAlign w:val="center"/>
          </w:tcPr>
          <w:p w14:paraId="566C92C0" w14:textId="126E9077" w:rsidR="002A50CF" w:rsidRPr="002A50CF" w:rsidRDefault="002A50CF" w:rsidP="002A50CF">
            <w:pPr>
              <w:rPr>
                <w:b/>
                <w:color w:val="FFFFFF"/>
                <w:sz w:val="16"/>
              </w:rPr>
            </w:pPr>
            <w:r w:rsidRPr="002A50CF">
              <w:rPr>
                <w:b/>
                <w:color w:val="FFFFFF"/>
                <w:sz w:val="16"/>
              </w:rPr>
              <w:t>Notes</w:t>
            </w:r>
          </w:p>
        </w:tc>
      </w:tr>
      <w:tr w:rsidR="002A50CF" w:rsidRPr="002A50CF" w14:paraId="2BAA7C7E" w14:textId="77777777" w:rsidTr="002A50CF">
        <w:tc>
          <w:tcPr>
            <w:tcW w:w="1667" w:type="pct"/>
            <w:vAlign w:val="center"/>
          </w:tcPr>
          <w:p w14:paraId="19BC4252" w14:textId="36A8E898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Project services</w:t>
            </w:r>
          </w:p>
        </w:tc>
        <w:tc>
          <w:tcPr>
            <w:tcW w:w="1667" w:type="pct"/>
            <w:vAlign w:val="center"/>
          </w:tcPr>
          <w:p w14:paraId="66490580" w14:textId="08EFCE03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Cloud Run, Artifact Registry, Cloud Build, BigQuery, Cloud Storage, Cloud Scheduler, Workflows, Secret Manager, Cloud Logging, Cloud Monitoring, IAM Credentials and Dataform.</w:t>
            </w:r>
          </w:p>
        </w:tc>
        <w:tc>
          <w:tcPr>
            <w:tcW w:w="1667" w:type="pct"/>
            <w:vAlign w:val="center"/>
          </w:tcPr>
          <w:p w14:paraId="1A64E4CE" w14:textId="72BF04CE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Enabled by Terraform before dependent resources.</w:t>
            </w:r>
          </w:p>
        </w:tc>
      </w:tr>
      <w:tr w:rsidR="002A50CF" w:rsidRPr="002A50CF" w14:paraId="71950B3B" w14:textId="77777777" w:rsidTr="002A50CF">
        <w:tc>
          <w:tcPr>
            <w:tcW w:w="1667" w:type="pct"/>
            <w:vAlign w:val="center"/>
          </w:tcPr>
          <w:p w14:paraId="4676B674" w14:textId="25284A20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Bronze files</w:t>
            </w:r>
          </w:p>
        </w:tc>
        <w:tc>
          <w:tcPr>
            <w:tcW w:w="1667" w:type="pct"/>
            <w:vAlign w:val="center"/>
          </w:tcPr>
          <w:p w14:paraId="53426152" w14:textId="15B067B3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Cloud Storage buckets: landing, bronze-assets, rejected, manifests, logs.</w:t>
            </w:r>
          </w:p>
        </w:tc>
        <w:tc>
          <w:tcPr>
            <w:tcW w:w="1667" w:type="pct"/>
            <w:vAlign w:val="center"/>
          </w:tcPr>
          <w:p w14:paraId="349C772F" w14:textId="2B86E8BD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Archive and manifests use object versioning; landing, rejected and logs use lifecycle retention.</w:t>
            </w:r>
          </w:p>
        </w:tc>
      </w:tr>
      <w:tr w:rsidR="002A50CF" w:rsidRPr="002A50CF" w14:paraId="7452048B" w14:textId="77777777" w:rsidTr="002A50CF">
        <w:tc>
          <w:tcPr>
            <w:tcW w:w="1667" w:type="pct"/>
            <w:vAlign w:val="center"/>
          </w:tcPr>
          <w:p w14:paraId="7DDCC95F" w14:textId="719B62AA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Warehouse</w:t>
            </w:r>
          </w:p>
        </w:tc>
        <w:tc>
          <w:tcPr>
            <w:tcW w:w="1667" w:type="pct"/>
            <w:vAlign w:val="center"/>
          </w:tcPr>
          <w:p w14:paraId="1A2633EE" w14:textId="712502F3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BigQuery datasets: control, audit, reference, bronze, silver, dq, gold, api.</w:t>
            </w:r>
          </w:p>
        </w:tc>
        <w:tc>
          <w:tcPr>
            <w:tcW w:w="1667" w:type="pct"/>
            <w:vAlign w:val="center"/>
          </w:tcPr>
          <w:p w14:paraId="46A2F306" w14:textId="33EF1366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Dataset names stay aligned with SQL Server schemas.</w:t>
            </w:r>
          </w:p>
        </w:tc>
      </w:tr>
      <w:tr w:rsidR="002A50CF" w:rsidRPr="002A50CF" w14:paraId="06C9B37F" w14:textId="77777777" w:rsidTr="002A50CF">
        <w:tc>
          <w:tcPr>
            <w:tcW w:w="1667" w:type="pct"/>
            <w:vAlign w:val="center"/>
          </w:tcPr>
          <w:p w14:paraId="098540C2" w14:textId="75C7F1EA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Identity</w:t>
            </w:r>
          </w:p>
        </w:tc>
        <w:tc>
          <w:tcPr>
            <w:tcW w:w="1667" w:type="pct"/>
            <w:vAlign w:val="center"/>
          </w:tcPr>
          <w:p w14:paraId="58121A7B" w14:textId="12989140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Service accounts for extraction, transformation, publication and API runtime.</w:t>
            </w:r>
          </w:p>
        </w:tc>
        <w:tc>
          <w:tcPr>
            <w:tcW w:w="1667" w:type="pct"/>
            <w:vAlign w:val="center"/>
          </w:tcPr>
          <w:p w14:paraId="498ECFE0" w14:textId="020905D1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Separate accounts preserve segregation of duties.</w:t>
            </w:r>
          </w:p>
        </w:tc>
      </w:tr>
      <w:tr w:rsidR="002A50CF" w:rsidRPr="002A50CF" w14:paraId="2E659E79" w14:textId="77777777" w:rsidTr="002A50CF">
        <w:tc>
          <w:tcPr>
            <w:tcW w:w="1667" w:type="pct"/>
            <w:vAlign w:val="center"/>
          </w:tcPr>
          <w:p w14:paraId="02F7D0EE" w14:textId="2F30D3EE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API runtime</w:t>
            </w:r>
          </w:p>
        </w:tc>
        <w:tc>
          <w:tcPr>
            <w:tcW w:w="1667" w:type="pct"/>
            <w:vAlign w:val="center"/>
          </w:tcPr>
          <w:p w14:paraId="7816DA01" w14:textId="7F3F235B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Cloud Run placeholder variables.</w:t>
            </w:r>
          </w:p>
        </w:tc>
        <w:tc>
          <w:tcPr>
            <w:tcW w:w="1667" w:type="pct"/>
            <w:vAlign w:val="center"/>
          </w:tcPr>
          <w:p w14:paraId="1FB64444" w14:textId="343C5F5B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Service creation is controlled by image availability and deployment decision.</w:t>
            </w:r>
          </w:p>
        </w:tc>
      </w:tr>
      <w:tr w:rsidR="002A50CF" w:rsidRPr="002A50CF" w14:paraId="7B06B93F" w14:textId="77777777" w:rsidTr="002A50CF">
        <w:tc>
          <w:tcPr>
            <w:tcW w:w="1667" w:type="pct"/>
            <w:vAlign w:val="center"/>
          </w:tcPr>
          <w:p w14:paraId="0B7D6386" w14:textId="0B23054C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Secrets</w:t>
            </w:r>
          </w:p>
        </w:tc>
        <w:tc>
          <w:tcPr>
            <w:tcW w:w="1667" w:type="pct"/>
            <w:vAlign w:val="center"/>
          </w:tcPr>
          <w:p w14:paraId="645FBDCE" w14:textId="598EE2EA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Secret Manager placeholders.</w:t>
            </w:r>
          </w:p>
        </w:tc>
        <w:tc>
          <w:tcPr>
            <w:tcW w:w="1667" w:type="pct"/>
            <w:vAlign w:val="center"/>
          </w:tcPr>
          <w:p w14:paraId="48017588" w14:textId="59A40E96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Secret values are never committed to the repository.</w:t>
            </w:r>
          </w:p>
        </w:tc>
      </w:tr>
      <w:tr w:rsidR="002A50CF" w:rsidRPr="002A50CF" w14:paraId="295C8428" w14:textId="77777777" w:rsidTr="002A50CF">
        <w:tc>
          <w:tcPr>
            <w:tcW w:w="1667" w:type="pct"/>
            <w:vAlign w:val="center"/>
          </w:tcPr>
          <w:p w14:paraId="4BFD93BB" w14:textId="05D079B2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Observability</w:t>
            </w:r>
          </w:p>
        </w:tc>
        <w:tc>
          <w:tcPr>
            <w:tcW w:w="1667" w:type="pct"/>
            <w:vAlign w:val="center"/>
          </w:tcPr>
          <w:p w14:paraId="5A1951DC" w14:textId="29D9560A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Logging and Monitoring APIs enabled; labels applied to resources.</w:t>
            </w:r>
          </w:p>
        </w:tc>
        <w:tc>
          <w:tcPr>
            <w:tcW w:w="1667" w:type="pct"/>
            <w:vAlign w:val="center"/>
          </w:tcPr>
          <w:p w14:paraId="18665877" w14:textId="11C69634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Alert policies are a follow-up once operational thresholds are approved.</w:t>
            </w:r>
          </w:p>
        </w:tc>
      </w:tr>
    </w:tbl>
    <w:p w14:paraId="4E41DF55" w14:textId="77777777" w:rsidR="002A50CF" w:rsidRDefault="002A50CF" w:rsidP="002A50CF"/>
    <w:p w14:paraId="1D595A4A" w14:textId="3CBAC5D8" w:rsidR="002A50CF" w:rsidRDefault="002A50CF" w:rsidP="002A50CF">
      <w:pPr>
        <w:pStyle w:val="Heading1"/>
      </w:pPr>
      <w:r>
        <w:t>5. IAM principles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82"/>
        <w:gridCol w:w="5282"/>
      </w:tblGrid>
      <w:tr w:rsidR="002A50CF" w:rsidRPr="002A50CF" w14:paraId="4573B5B6" w14:textId="77777777" w:rsidTr="002A50CF">
        <w:tc>
          <w:tcPr>
            <w:tcW w:w="2500" w:type="pct"/>
            <w:shd w:val="clear" w:color="auto" w:fill="033189"/>
            <w:vAlign w:val="center"/>
          </w:tcPr>
          <w:p w14:paraId="22EFE1E1" w14:textId="1C9DEFEC" w:rsidR="002A50CF" w:rsidRPr="002A50CF" w:rsidRDefault="002A50CF" w:rsidP="002A50CF">
            <w:pPr>
              <w:rPr>
                <w:b/>
                <w:color w:val="FFFFFF"/>
                <w:sz w:val="16"/>
              </w:rPr>
            </w:pPr>
            <w:r w:rsidRPr="002A50CF">
              <w:rPr>
                <w:b/>
                <w:color w:val="FFFFFF"/>
                <w:sz w:val="16"/>
              </w:rPr>
              <w:t>Principal</w:t>
            </w:r>
          </w:p>
        </w:tc>
        <w:tc>
          <w:tcPr>
            <w:tcW w:w="2500" w:type="pct"/>
            <w:shd w:val="clear" w:color="auto" w:fill="033189"/>
            <w:vAlign w:val="center"/>
          </w:tcPr>
          <w:p w14:paraId="67B92956" w14:textId="7209F404" w:rsidR="002A50CF" w:rsidRPr="002A50CF" w:rsidRDefault="002A50CF" w:rsidP="002A50CF">
            <w:pPr>
              <w:rPr>
                <w:b/>
                <w:color w:val="FFFFFF"/>
                <w:sz w:val="16"/>
              </w:rPr>
            </w:pPr>
            <w:r w:rsidRPr="002A50CF">
              <w:rPr>
                <w:b/>
                <w:color w:val="FFFFFF"/>
                <w:sz w:val="16"/>
              </w:rPr>
              <w:t>Intended access</w:t>
            </w:r>
          </w:p>
        </w:tc>
      </w:tr>
      <w:tr w:rsidR="002A50CF" w:rsidRPr="002A50CF" w14:paraId="7B78E322" w14:textId="77777777" w:rsidTr="002A50CF">
        <w:tc>
          <w:tcPr>
            <w:tcW w:w="2500" w:type="pct"/>
            <w:vAlign w:val="center"/>
          </w:tcPr>
          <w:p w14:paraId="030EEF6C" w14:textId="02E34201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Extraction service account</w:t>
            </w:r>
          </w:p>
        </w:tc>
        <w:tc>
          <w:tcPr>
            <w:tcW w:w="2500" w:type="pct"/>
            <w:vAlign w:val="center"/>
          </w:tcPr>
          <w:p w14:paraId="6F03AFB7" w14:textId="6367E046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Write landing/archive buckets and Bronze/control/audit datasets.</w:t>
            </w:r>
          </w:p>
        </w:tc>
      </w:tr>
      <w:tr w:rsidR="002A50CF" w:rsidRPr="002A50CF" w14:paraId="7CAEDAF5" w14:textId="77777777" w:rsidTr="002A50CF">
        <w:tc>
          <w:tcPr>
            <w:tcW w:w="2500" w:type="pct"/>
            <w:vAlign w:val="center"/>
          </w:tcPr>
          <w:p w14:paraId="67AE9698" w14:textId="2313DB50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Transformation service account</w:t>
            </w:r>
          </w:p>
        </w:tc>
        <w:tc>
          <w:tcPr>
            <w:tcW w:w="2500" w:type="pct"/>
            <w:vAlign w:val="center"/>
          </w:tcPr>
          <w:p w14:paraId="2FD4402D" w14:textId="4BD15C89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Read Bronze/reference and write Silver/DQ/control/audit.</w:t>
            </w:r>
          </w:p>
        </w:tc>
      </w:tr>
      <w:tr w:rsidR="002A50CF" w:rsidRPr="002A50CF" w14:paraId="48176BE9" w14:textId="77777777" w:rsidTr="002A50CF">
        <w:tc>
          <w:tcPr>
            <w:tcW w:w="2500" w:type="pct"/>
            <w:vAlign w:val="center"/>
          </w:tcPr>
          <w:p w14:paraId="5B12D653" w14:textId="39D7D0C2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Publication service account</w:t>
            </w:r>
          </w:p>
        </w:tc>
        <w:tc>
          <w:tcPr>
            <w:tcW w:w="2500" w:type="pct"/>
            <w:vAlign w:val="center"/>
          </w:tcPr>
          <w:p w14:paraId="7CB50896" w14:textId="277065EA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Read Silver/DQ/reference and write Gold/API views; no direct Bronze mutation.</w:t>
            </w:r>
          </w:p>
        </w:tc>
      </w:tr>
      <w:tr w:rsidR="002A50CF" w:rsidRPr="002A50CF" w14:paraId="26AA95CD" w14:textId="77777777" w:rsidTr="002A50CF">
        <w:tc>
          <w:tcPr>
            <w:tcW w:w="2500" w:type="pct"/>
            <w:vAlign w:val="center"/>
          </w:tcPr>
          <w:p w14:paraId="4593A894" w14:textId="1E0287C5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API service account</w:t>
            </w:r>
          </w:p>
        </w:tc>
        <w:tc>
          <w:tcPr>
            <w:tcW w:w="2500" w:type="pct"/>
            <w:vAlign w:val="center"/>
          </w:tcPr>
          <w:p w14:paraId="4CB714ED" w14:textId="621F4829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Read API views, Gold facts and approved marketplace metadata.</w:t>
            </w:r>
          </w:p>
        </w:tc>
      </w:tr>
      <w:tr w:rsidR="002A50CF" w:rsidRPr="002A50CF" w14:paraId="088B2485" w14:textId="77777777" w:rsidTr="002A50CF">
        <w:tc>
          <w:tcPr>
            <w:tcW w:w="2500" w:type="pct"/>
            <w:vAlign w:val="center"/>
          </w:tcPr>
          <w:p w14:paraId="79419ACF" w14:textId="6520448E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Admin users</w:t>
            </w:r>
          </w:p>
        </w:tc>
        <w:tc>
          <w:tcPr>
            <w:tcW w:w="2500" w:type="pct"/>
            <w:vAlign w:val="center"/>
          </w:tcPr>
          <w:p w14:paraId="64DCE006" w14:textId="21F2D880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Access admin UI and approval workflows through the approved identity model.</w:t>
            </w:r>
          </w:p>
        </w:tc>
      </w:tr>
      <w:tr w:rsidR="002A50CF" w:rsidRPr="002A50CF" w14:paraId="17EA8FDE" w14:textId="77777777" w:rsidTr="002A50CF">
        <w:tc>
          <w:tcPr>
            <w:tcW w:w="2500" w:type="pct"/>
            <w:vAlign w:val="center"/>
          </w:tcPr>
          <w:p w14:paraId="5D04A9BA" w14:textId="7C6862F7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Data stewards</w:t>
            </w:r>
          </w:p>
        </w:tc>
        <w:tc>
          <w:tcPr>
            <w:tcW w:w="2500" w:type="pct"/>
            <w:vAlign w:val="center"/>
          </w:tcPr>
          <w:p w14:paraId="16F0333E" w14:textId="4BA98DF9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Maintain reference data, methodology, DQ exceptions and approvals.</w:t>
            </w:r>
          </w:p>
        </w:tc>
      </w:tr>
    </w:tbl>
    <w:p w14:paraId="3AC6D195" w14:textId="77777777" w:rsidR="002A50CF" w:rsidRDefault="002A50CF" w:rsidP="002A50CF"/>
    <w:p w14:paraId="447ED6A1" w14:textId="273582B3" w:rsidR="002A50CF" w:rsidRDefault="002A50CF" w:rsidP="002A50CF">
      <w:r>
        <w:t>Before PRD, IAM must be tightened with dataset-level and bucket-prefix-level permissions validated by the security owner.</w:t>
      </w:r>
    </w:p>
    <w:p w14:paraId="00133D55" w14:textId="0FC0C12D" w:rsidR="002A50CF" w:rsidRDefault="002A50CF" w:rsidP="002A50CF">
      <w:pPr>
        <w:pStyle w:val="Heading1"/>
      </w:pPr>
      <w:r>
        <w:t>6. Repository layout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82"/>
        <w:gridCol w:w="5282"/>
      </w:tblGrid>
      <w:tr w:rsidR="002A50CF" w:rsidRPr="002A50CF" w14:paraId="1CDD570B" w14:textId="77777777" w:rsidTr="002A50CF">
        <w:tc>
          <w:tcPr>
            <w:tcW w:w="2500" w:type="pct"/>
            <w:shd w:val="clear" w:color="auto" w:fill="033189"/>
            <w:vAlign w:val="center"/>
          </w:tcPr>
          <w:p w14:paraId="299DD9D0" w14:textId="7CDCA4EE" w:rsidR="002A50CF" w:rsidRPr="002A50CF" w:rsidRDefault="002A50CF" w:rsidP="002A50CF">
            <w:pPr>
              <w:rPr>
                <w:b/>
                <w:color w:val="FFFFFF"/>
                <w:sz w:val="16"/>
              </w:rPr>
            </w:pPr>
            <w:r w:rsidRPr="002A50CF">
              <w:rPr>
                <w:b/>
                <w:color w:val="FFFFFF"/>
                <w:sz w:val="16"/>
              </w:rPr>
              <w:t>Path</w:t>
            </w:r>
          </w:p>
        </w:tc>
        <w:tc>
          <w:tcPr>
            <w:tcW w:w="2500" w:type="pct"/>
            <w:shd w:val="clear" w:color="auto" w:fill="033189"/>
            <w:vAlign w:val="center"/>
          </w:tcPr>
          <w:p w14:paraId="27B9C593" w14:textId="37B03D04" w:rsidR="002A50CF" w:rsidRPr="002A50CF" w:rsidRDefault="002A50CF" w:rsidP="002A50CF">
            <w:pPr>
              <w:rPr>
                <w:b/>
                <w:color w:val="FFFFFF"/>
                <w:sz w:val="16"/>
              </w:rPr>
            </w:pPr>
            <w:r w:rsidRPr="002A50CF">
              <w:rPr>
                <w:b/>
                <w:color w:val="FFFFFF"/>
                <w:sz w:val="16"/>
              </w:rPr>
              <w:t>Purpose</w:t>
            </w:r>
          </w:p>
        </w:tc>
      </w:tr>
      <w:tr w:rsidR="002A50CF" w:rsidRPr="002A50CF" w14:paraId="4BA52D5B" w14:textId="77777777" w:rsidTr="002A50CF">
        <w:tc>
          <w:tcPr>
            <w:tcW w:w="2500" w:type="pct"/>
            <w:vAlign w:val="center"/>
          </w:tcPr>
          <w:p w14:paraId="72611523" w14:textId="7F219459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infra/google/README.md</w:t>
            </w:r>
          </w:p>
        </w:tc>
        <w:tc>
          <w:tcPr>
            <w:tcW w:w="2500" w:type="pct"/>
            <w:vAlign w:val="center"/>
          </w:tcPr>
          <w:p w14:paraId="1174DF3F" w14:textId="464508A0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Operational instructions for the Terraform scaffold.</w:t>
            </w:r>
          </w:p>
        </w:tc>
      </w:tr>
      <w:tr w:rsidR="002A50CF" w:rsidRPr="002A50CF" w14:paraId="2CA7B8A4" w14:textId="77777777" w:rsidTr="002A50CF">
        <w:tc>
          <w:tcPr>
            <w:tcW w:w="2500" w:type="pct"/>
            <w:vAlign w:val="center"/>
          </w:tcPr>
          <w:p w14:paraId="1AC9E21D" w14:textId="6168CA59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infra/google/versions.tf</w:t>
            </w:r>
          </w:p>
        </w:tc>
        <w:tc>
          <w:tcPr>
            <w:tcW w:w="2500" w:type="pct"/>
            <w:vAlign w:val="center"/>
          </w:tcPr>
          <w:p w14:paraId="4DF43525" w14:textId="0C27AB93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Terraform and Google provider version constraints.</w:t>
            </w:r>
          </w:p>
        </w:tc>
      </w:tr>
      <w:tr w:rsidR="002A50CF" w:rsidRPr="002A50CF" w14:paraId="44BC7CAF" w14:textId="77777777" w:rsidTr="002A50CF">
        <w:tc>
          <w:tcPr>
            <w:tcW w:w="2500" w:type="pct"/>
            <w:vAlign w:val="center"/>
          </w:tcPr>
          <w:p w14:paraId="39632A25" w14:textId="68EDE7D0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infra/google/variables.tf</w:t>
            </w:r>
          </w:p>
        </w:tc>
        <w:tc>
          <w:tcPr>
            <w:tcW w:w="2500" w:type="pct"/>
            <w:vAlign w:val="center"/>
          </w:tcPr>
          <w:p w14:paraId="2C549A9E" w14:textId="09E3065C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Reusable variables and validation.</w:t>
            </w:r>
          </w:p>
        </w:tc>
      </w:tr>
      <w:tr w:rsidR="002A50CF" w:rsidRPr="002A50CF" w14:paraId="4D90AB1E" w14:textId="77777777" w:rsidTr="002A50CF">
        <w:tc>
          <w:tcPr>
            <w:tcW w:w="2500" w:type="pct"/>
            <w:vAlign w:val="center"/>
          </w:tcPr>
          <w:p w14:paraId="0E0824E3" w14:textId="6577AB32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infra/google/main.tf</w:t>
            </w:r>
          </w:p>
        </w:tc>
        <w:tc>
          <w:tcPr>
            <w:tcW w:w="2500" w:type="pct"/>
            <w:vAlign w:val="center"/>
          </w:tcPr>
          <w:p w14:paraId="697BCDBD" w14:textId="3AEF8AB6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Project APIs, buckets, BigQuery datasets, service accounts and IAM bindings.</w:t>
            </w:r>
          </w:p>
        </w:tc>
      </w:tr>
      <w:tr w:rsidR="002A50CF" w:rsidRPr="002A50CF" w14:paraId="3B27F64F" w14:textId="77777777" w:rsidTr="002A50CF">
        <w:tc>
          <w:tcPr>
            <w:tcW w:w="2500" w:type="pct"/>
            <w:vAlign w:val="center"/>
          </w:tcPr>
          <w:p w14:paraId="42018779" w14:textId="12A93107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infra/google/outputs.tf</w:t>
            </w:r>
          </w:p>
        </w:tc>
        <w:tc>
          <w:tcPr>
            <w:tcW w:w="2500" w:type="pct"/>
            <w:vAlign w:val="center"/>
          </w:tcPr>
          <w:p w14:paraId="4FB7042C" w14:textId="7FCA82E6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Bucket, dataset and service-account outputs.</w:t>
            </w:r>
          </w:p>
        </w:tc>
      </w:tr>
      <w:tr w:rsidR="002A50CF" w:rsidRPr="002A50CF" w14:paraId="4FFF7D54" w14:textId="77777777" w:rsidTr="002A50CF">
        <w:tc>
          <w:tcPr>
            <w:tcW w:w="2500" w:type="pct"/>
            <w:vAlign w:val="center"/>
          </w:tcPr>
          <w:p w14:paraId="072104E0" w14:textId="170CBBF3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infra/google/envs/dev.tfvars.example</w:t>
            </w:r>
          </w:p>
        </w:tc>
        <w:tc>
          <w:tcPr>
            <w:tcW w:w="2500" w:type="pct"/>
            <w:vAlign w:val="center"/>
          </w:tcPr>
          <w:p w14:paraId="18C4C67E" w14:textId="5E931FA2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DEV placeholder configuration.</w:t>
            </w:r>
          </w:p>
        </w:tc>
      </w:tr>
      <w:tr w:rsidR="002A50CF" w:rsidRPr="002A50CF" w14:paraId="2DE80BD5" w14:textId="77777777" w:rsidTr="002A50CF">
        <w:tc>
          <w:tcPr>
            <w:tcW w:w="2500" w:type="pct"/>
            <w:vAlign w:val="center"/>
          </w:tcPr>
          <w:p w14:paraId="1777EA24" w14:textId="4D317932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infra/google/envs/hml.tfvars.example</w:t>
            </w:r>
          </w:p>
        </w:tc>
        <w:tc>
          <w:tcPr>
            <w:tcW w:w="2500" w:type="pct"/>
            <w:vAlign w:val="center"/>
          </w:tcPr>
          <w:p w14:paraId="6E5E2CC2" w14:textId="7E0349DA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HML placeholder configuration.</w:t>
            </w:r>
          </w:p>
        </w:tc>
      </w:tr>
      <w:tr w:rsidR="002A50CF" w:rsidRPr="002A50CF" w14:paraId="3989F72F" w14:textId="77777777" w:rsidTr="002A50CF">
        <w:tc>
          <w:tcPr>
            <w:tcW w:w="2500" w:type="pct"/>
            <w:vAlign w:val="center"/>
          </w:tcPr>
          <w:p w14:paraId="3A1ABFDF" w14:textId="5F353677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infra/google/envs/prd.tfvars.example</w:t>
            </w:r>
          </w:p>
        </w:tc>
        <w:tc>
          <w:tcPr>
            <w:tcW w:w="2500" w:type="pct"/>
            <w:vAlign w:val="center"/>
          </w:tcPr>
          <w:p w14:paraId="2F3FB185" w14:textId="17776041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PRD placeholder configuration.</w:t>
            </w:r>
          </w:p>
        </w:tc>
      </w:tr>
    </w:tbl>
    <w:p w14:paraId="029A2684" w14:textId="77777777" w:rsidR="002A50CF" w:rsidRDefault="002A50CF" w:rsidP="002A50CF"/>
    <w:p w14:paraId="44D3D6DB" w14:textId="122EFA33" w:rsidR="002A50CF" w:rsidRDefault="002A50CF" w:rsidP="002A50CF">
      <w:pPr>
        <w:pStyle w:val="Heading1"/>
      </w:pPr>
      <w:r>
        <w:t>7. Terraform workflow</w:t>
      </w:r>
    </w:p>
    <w:p w14:paraId="69B57E3F" w14:textId="05586184" w:rsidR="002A50CF" w:rsidRDefault="002A50CF" w:rsidP="002A50CF">
      <w:pPr>
        <w:pStyle w:val="ListParagraph"/>
        <w:numPr>
          <w:ilvl w:val="0"/>
          <w:numId w:val="10"/>
        </w:numPr>
      </w:pPr>
      <w:r>
        <w:t>Confirm landing-zone decisions: project IDs, billing, region, organization policies, state bucket and allowed identity model.</w:t>
      </w:r>
    </w:p>
    <w:p w14:paraId="6E1BCDAD" w14:textId="03779418" w:rsidR="002A50CF" w:rsidRDefault="002A50CF" w:rsidP="002A50CF">
      <w:pPr>
        <w:pStyle w:val="ListParagraph"/>
        <w:numPr>
          <w:ilvl w:val="0"/>
          <w:numId w:val="10"/>
        </w:numPr>
      </w:pPr>
      <w:r>
        <w:t>Copy one environment example to an approved private tfvars file.</w:t>
      </w:r>
    </w:p>
    <w:p w14:paraId="43D5D03E" w14:textId="339C4779" w:rsidR="002A50CF" w:rsidRDefault="002A50CF" w:rsidP="002A50CF">
      <w:pPr>
        <w:pStyle w:val="ListParagraph"/>
        <w:numPr>
          <w:ilvl w:val="0"/>
          <w:numId w:val="10"/>
        </w:numPr>
      </w:pPr>
      <w:r>
        <w:t>Run terraform init with the approved remote backend.</w:t>
      </w:r>
    </w:p>
    <w:p w14:paraId="4B883F01" w14:textId="6F54524E" w:rsidR="002A50CF" w:rsidRDefault="002A50CF" w:rsidP="002A50CF">
      <w:pPr>
        <w:pStyle w:val="ListParagraph"/>
        <w:numPr>
          <w:ilvl w:val="0"/>
          <w:numId w:val="10"/>
        </w:numPr>
      </w:pPr>
      <w:r>
        <w:t>Run terraform fmt and terraform validate.</w:t>
      </w:r>
    </w:p>
    <w:p w14:paraId="0512A746" w14:textId="042CB139" w:rsidR="002A50CF" w:rsidRDefault="002A50CF" w:rsidP="002A50CF">
      <w:pPr>
        <w:pStyle w:val="ListParagraph"/>
        <w:numPr>
          <w:ilvl w:val="0"/>
          <w:numId w:val="10"/>
        </w:numPr>
      </w:pPr>
      <w:r>
        <w:t>Run terraform plan with the selected environment file.</w:t>
      </w:r>
    </w:p>
    <w:p w14:paraId="4ABEDC85" w14:textId="6900A8CA" w:rsidR="002A50CF" w:rsidRDefault="002A50CF" w:rsidP="002A50CF">
      <w:pPr>
        <w:pStyle w:val="ListParagraph"/>
        <w:numPr>
          <w:ilvl w:val="0"/>
          <w:numId w:val="10"/>
        </w:numPr>
      </w:pPr>
      <w:r>
        <w:t>Review resource names, IAM, lifecycle and labels.</w:t>
      </w:r>
    </w:p>
    <w:p w14:paraId="1C6B24A9" w14:textId="3E783649" w:rsidR="002A50CF" w:rsidRDefault="002A50CF" w:rsidP="002A50CF">
      <w:pPr>
        <w:pStyle w:val="ListParagraph"/>
        <w:numPr>
          <w:ilvl w:val="0"/>
          <w:numId w:val="10"/>
        </w:numPr>
      </w:pPr>
      <w:r>
        <w:t>Apply only after approval from the platform owner and data owner.</w:t>
      </w:r>
    </w:p>
    <w:p w14:paraId="7CCC7EB2" w14:textId="44EDD484" w:rsidR="002A50CF" w:rsidRDefault="002A50CF" w:rsidP="002A50CF">
      <w:pPr>
        <w:pStyle w:val="ListParagraph"/>
        <w:numPr>
          <w:ilvl w:val="0"/>
          <w:numId w:val="10"/>
        </w:numPr>
      </w:pPr>
      <w:r>
        <w:t>Promote the same module to HML and PRD using environment-specific variables.</w:t>
      </w:r>
    </w:p>
    <w:p w14:paraId="3E606D1D" w14:textId="2FDDAF05" w:rsidR="002A50CF" w:rsidRDefault="002A50CF" w:rsidP="002A50CF">
      <w:pPr>
        <w:pStyle w:val="Heading1"/>
      </w:pPr>
      <w:r>
        <w:t>8. Required landing-zone decisions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522"/>
        <w:gridCol w:w="3522"/>
        <w:gridCol w:w="3520"/>
      </w:tblGrid>
      <w:tr w:rsidR="002A50CF" w:rsidRPr="002A50CF" w14:paraId="48E77EE8" w14:textId="77777777" w:rsidTr="002A50CF">
        <w:tc>
          <w:tcPr>
            <w:tcW w:w="1667" w:type="pct"/>
            <w:shd w:val="clear" w:color="auto" w:fill="033189"/>
            <w:vAlign w:val="center"/>
          </w:tcPr>
          <w:p w14:paraId="3C055C17" w14:textId="4D645241" w:rsidR="002A50CF" w:rsidRPr="002A50CF" w:rsidRDefault="002A50CF" w:rsidP="002A50CF">
            <w:pPr>
              <w:rPr>
                <w:b/>
                <w:color w:val="FFFFFF"/>
                <w:sz w:val="16"/>
              </w:rPr>
            </w:pPr>
            <w:r w:rsidRPr="002A50CF">
              <w:rPr>
                <w:b/>
                <w:color w:val="FFFFFF"/>
                <w:sz w:val="16"/>
              </w:rPr>
              <w:t>Decision</w:t>
            </w:r>
          </w:p>
        </w:tc>
        <w:tc>
          <w:tcPr>
            <w:tcW w:w="1667" w:type="pct"/>
            <w:shd w:val="clear" w:color="auto" w:fill="033189"/>
            <w:vAlign w:val="center"/>
          </w:tcPr>
          <w:p w14:paraId="34AAA9F6" w14:textId="1CB470BD" w:rsidR="002A50CF" w:rsidRPr="002A50CF" w:rsidRDefault="002A50CF" w:rsidP="002A50CF">
            <w:pPr>
              <w:rPr>
                <w:b/>
                <w:color w:val="FFFFFF"/>
                <w:sz w:val="16"/>
              </w:rPr>
            </w:pPr>
            <w:r w:rsidRPr="002A50CF">
              <w:rPr>
                <w:b/>
                <w:color w:val="FFFFFF"/>
                <w:sz w:val="16"/>
              </w:rPr>
              <w:t>Needed for</w:t>
            </w:r>
          </w:p>
        </w:tc>
        <w:tc>
          <w:tcPr>
            <w:tcW w:w="1667" w:type="pct"/>
            <w:shd w:val="clear" w:color="auto" w:fill="033189"/>
            <w:vAlign w:val="center"/>
          </w:tcPr>
          <w:p w14:paraId="12470069" w14:textId="5155D66E" w:rsidR="002A50CF" w:rsidRPr="002A50CF" w:rsidRDefault="002A50CF" w:rsidP="002A50CF">
            <w:pPr>
              <w:rPr>
                <w:b/>
                <w:color w:val="FFFFFF"/>
                <w:sz w:val="16"/>
              </w:rPr>
            </w:pPr>
            <w:r w:rsidRPr="002A50CF">
              <w:rPr>
                <w:b/>
                <w:color w:val="FFFFFF"/>
                <w:sz w:val="16"/>
              </w:rPr>
              <w:t>Default in scaffold</w:t>
            </w:r>
          </w:p>
        </w:tc>
      </w:tr>
      <w:tr w:rsidR="002A50CF" w:rsidRPr="002A50CF" w14:paraId="36BDE7A7" w14:textId="77777777" w:rsidTr="002A50CF">
        <w:tc>
          <w:tcPr>
            <w:tcW w:w="1667" w:type="pct"/>
            <w:vAlign w:val="center"/>
          </w:tcPr>
          <w:p w14:paraId="73FC5E0C" w14:textId="651016A5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Google Cloud project IDs</w:t>
            </w:r>
          </w:p>
        </w:tc>
        <w:tc>
          <w:tcPr>
            <w:tcW w:w="1667" w:type="pct"/>
            <w:vAlign w:val="center"/>
          </w:tcPr>
          <w:p w14:paraId="33B0F569" w14:textId="3541AC3B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All resources.</w:t>
            </w:r>
          </w:p>
        </w:tc>
        <w:tc>
          <w:tcPr>
            <w:tcW w:w="1667" w:type="pct"/>
            <w:vAlign w:val="center"/>
          </w:tcPr>
          <w:p w14:paraId="26C38B26" w14:textId="337929AD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Placeholder only.</w:t>
            </w:r>
          </w:p>
        </w:tc>
      </w:tr>
      <w:tr w:rsidR="002A50CF" w:rsidRPr="002A50CF" w14:paraId="4F7A8115" w14:textId="77777777" w:rsidTr="002A50CF">
        <w:tc>
          <w:tcPr>
            <w:tcW w:w="1667" w:type="pct"/>
            <w:vAlign w:val="center"/>
          </w:tcPr>
          <w:p w14:paraId="2E6CCA03" w14:textId="4A40AE4F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Billing account and folder/org</w:t>
            </w:r>
          </w:p>
        </w:tc>
        <w:tc>
          <w:tcPr>
            <w:tcW w:w="1667" w:type="pct"/>
            <w:vAlign w:val="center"/>
          </w:tcPr>
          <w:p w14:paraId="1E8E8E7D" w14:textId="2E6BEC16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Project creation or project selection.</w:t>
            </w:r>
          </w:p>
        </w:tc>
        <w:tc>
          <w:tcPr>
            <w:tcW w:w="1667" w:type="pct"/>
            <w:vAlign w:val="center"/>
          </w:tcPr>
          <w:p w14:paraId="5DFD0A21" w14:textId="7D4CC43B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Out of scope for this repository.</w:t>
            </w:r>
          </w:p>
        </w:tc>
      </w:tr>
      <w:tr w:rsidR="002A50CF" w:rsidRPr="002A50CF" w14:paraId="71707A9B" w14:textId="77777777" w:rsidTr="002A50CF">
        <w:tc>
          <w:tcPr>
            <w:tcW w:w="1667" w:type="pct"/>
            <w:vAlign w:val="center"/>
          </w:tcPr>
          <w:p w14:paraId="29B6EE74" w14:textId="05110D23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Region</w:t>
            </w:r>
          </w:p>
        </w:tc>
        <w:tc>
          <w:tcPr>
            <w:tcW w:w="1667" w:type="pct"/>
            <w:vAlign w:val="center"/>
          </w:tcPr>
          <w:p w14:paraId="69E69A3A" w14:textId="7A31BB5F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Cloud Run, Workflows, Scheduler and bucket location.</w:t>
            </w:r>
          </w:p>
        </w:tc>
        <w:tc>
          <w:tcPr>
            <w:tcW w:w="1667" w:type="pct"/>
            <w:vAlign w:val="center"/>
          </w:tcPr>
          <w:p w14:paraId="4EB784DA" w14:textId="60EE2C89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europe-west1 placeholder.</w:t>
            </w:r>
          </w:p>
        </w:tc>
      </w:tr>
      <w:tr w:rsidR="002A50CF" w:rsidRPr="002A50CF" w14:paraId="74F1E9C3" w14:textId="77777777" w:rsidTr="002A50CF">
        <w:tc>
          <w:tcPr>
            <w:tcW w:w="1667" w:type="pct"/>
            <w:vAlign w:val="center"/>
          </w:tcPr>
          <w:p w14:paraId="031C7D3B" w14:textId="2C2F7BE2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State backend bucket</w:t>
            </w:r>
          </w:p>
        </w:tc>
        <w:tc>
          <w:tcPr>
            <w:tcW w:w="1667" w:type="pct"/>
            <w:vAlign w:val="center"/>
          </w:tcPr>
          <w:p w14:paraId="76FCE9B7" w14:textId="34B04719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Terraform remote state.</w:t>
            </w:r>
          </w:p>
        </w:tc>
        <w:tc>
          <w:tcPr>
            <w:tcW w:w="1667" w:type="pct"/>
            <w:vAlign w:val="center"/>
          </w:tcPr>
          <w:p w14:paraId="5F9F14E8" w14:textId="69A4542F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Placeholder in README.</w:t>
            </w:r>
          </w:p>
        </w:tc>
      </w:tr>
      <w:tr w:rsidR="002A50CF" w:rsidRPr="002A50CF" w14:paraId="4B411297" w14:textId="77777777" w:rsidTr="002A50CF">
        <w:tc>
          <w:tcPr>
            <w:tcW w:w="1667" w:type="pct"/>
            <w:vAlign w:val="center"/>
          </w:tcPr>
          <w:p w14:paraId="7FA1C3BD" w14:textId="603E8190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Hostname and perimeter</w:t>
            </w:r>
          </w:p>
        </w:tc>
        <w:tc>
          <w:tcPr>
            <w:tcW w:w="1667" w:type="pct"/>
            <w:vAlign w:val="center"/>
          </w:tcPr>
          <w:p w14:paraId="7BDF2B0F" w14:textId="58FD6021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Public/private access model.</w:t>
            </w:r>
          </w:p>
        </w:tc>
        <w:tc>
          <w:tcPr>
            <w:tcW w:w="1667" w:type="pct"/>
            <w:vAlign w:val="center"/>
          </w:tcPr>
          <w:p w14:paraId="3B83D2F7" w14:textId="0B5DC4A2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Deferred to Cloudflare/IAP decision.</w:t>
            </w:r>
          </w:p>
        </w:tc>
      </w:tr>
      <w:tr w:rsidR="002A50CF" w:rsidRPr="002A50CF" w14:paraId="72C5CB92" w14:textId="77777777" w:rsidTr="002A50CF">
        <w:tc>
          <w:tcPr>
            <w:tcW w:w="1667" w:type="pct"/>
            <w:vAlign w:val="center"/>
          </w:tcPr>
          <w:p w14:paraId="1A7301ED" w14:textId="274D2AE2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Admin identity provider</w:t>
            </w:r>
          </w:p>
        </w:tc>
        <w:tc>
          <w:tcPr>
            <w:tcW w:w="1667" w:type="pct"/>
            <w:vAlign w:val="center"/>
          </w:tcPr>
          <w:p w14:paraId="491D971F" w14:textId="5672E423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Admin Panel authorization.</w:t>
            </w:r>
          </w:p>
        </w:tc>
        <w:tc>
          <w:tcPr>
            <w:tcW w:w="1667" w:type="pct"/>
            <w:vAlign w:val="center"/>
          </w:tcPr>
          <w:p w14:paraId="0F3B58AE" w14:textId="10A6E9DC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Deferred to security decision.</w:t>
            </w:r>
          </w:p>
        </w:tc>
      </w:tr>
      <w:tr w:rsidR="002A50CF" w:rsidRPr="002A50CF" w14:paraId="621B53A2" w14:textId="77777777" w:rsidTr="002A50CF">
        <w:tc>
          <w:tcPr>
            <w:tcW w:w="1667" w:type="pct"/>
            <w:vAlign w:val="center"/>
          </w:tcPr>
          <w:p w14:paraId="291FA15E" w14:textId="6E6659E9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Retention policy</w:t>
            </w:r>
          </w:p>
        </w:tc>
        <w:tc>
          <w:tcPr>
            <w:tcW w:w="1667" w:type="pct"/>
            <w:vAlign w:val="center"/>
          </w:tcPr>
          <w:p w14:paraId="3D7E5A68" w14:textId="67943A4D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Bronze assets, rejected payloads and logs.</w:t>
            </w:r>
          </w:p>
        </w:tc>
        <w:tc>
          <w:tcPr>
            <w:tcW w:w="1667" w:type="pct"/>
            <w:vAlign w:val="center"/>
          </w:tcPr>
          <w:p w14:paraId="335F17A8" w14:textId="3C8D8326" w:rsidR="002A50CF" w:rsidRPr="002A50CF" w:rsidRDefault="002A50CF" w:rsidP="002A50CF">
            <w:pPr>
              <w:rPr>
                <w:sz w:val="16"/>
              </w:rPr>
            </w:pPr>
            <w:r>
              <w:rPr>
                <w:sz w:val="16"/>
              </w:rPr>
              <w:t>Conservative defaults in tfvars examples.</w:t>
            </w:r>
          </w:p>
        </w:tc>
      </w:tr>
    </w:tbl>
    <w:p w14:paraId="3FC9ABD9" w14:textId="77777777" w:rsidR="002A50CF" w:rsidRDefault="002A50CF" w:rsidP="002A50CF"/>
    <w:p w14:paraId="380DED58" w14:textId="6864E42F" w:rsidR="002A50CF" w:rsidRDefault="002A50CF" w:rsidP="002A50CF">
      <w:pPr>
        <w:pStyle w:val="Heading1"/>
      </w:pPr>
      <w:r>
        <w:t>9. Definition of Done for LAZA-034</w:t>
      </w:r>
    </w:p>
    <w:p w14:paraId="5B1CBA59" w14:textId="6260FC5A" w:rsidR="002A50CF" w:rsidRDefault="002A50CF" w:rsidP="002A50CF">
      <w:pPr>
        <w:pStyle w:val="ListParagraph"/>
        <w:numPr>
          <w:ilvl w:val="0"/>
          <w:numId w:val="11"/>
        </w:numPr>
      </w:pPr>
      <w:r>
        <w:t>Terraform scaffold is versioned in the repository.</w:t>
      </w:r>
    </w:p>
    <w:p w14:paraId="71F006A3" w14:textId="15559E5A" w:rsidR="002A50CF" w:rsidRDefault="002A50CF" w:rsidP="002A50CF">
      <w:pPr>
        <w:pStyle w:val="ListParagraph"/>
        <w:numPr>
          <w:ilvl w:val="0"/>
          <w:numId w:val="11"/>
        </w:numPr>
      </w:pPr>
      <w:r>
        <w:t>DEV, HML and PRD variable examples exist with no secrets.</w:t>
      </w:r>
    </w:p>
    <w:p w14:paraId="1759444C" w14:textId="14A7429C" w:rsidR="002A50CF" w:rsidRDefault="002A50CF" w:rsidP="002A50CF">
      <w:pPr>
        <w:pStyle w:val="ListParagraph"/>
        <w:numPr>
          <w:ilvl w:val="0"/>
          <w:numId w:val="11"/>
        </w:numPr>
      </w:pPr>
      <w:r>
        <w:t>BigQuery datasets match the local medallion schema names.</w:t>
      </w:r>
    </w:p>
    <w:p w14:paraId="0E842E17" w14:textId="44BD7857" w:rsidR="002A50CF" w:rsidRDefault="002A50CF" w:rsidP="002A50CF">
      <w:pPr>
        <w:pStyle w:val="ListParagraph"/>
        <w:numPr>
          <w:ilvl w:val="0"/>
          <w:numId w:val="11"/>
        </w:numPr>
      </w:pPr>
      <w:r>
        <w:t>Storage buckets cover landing, archive, rejected, manifests and logs.</w:t>
      </w:r>
    </w:p>
    <w:p w14:paraId="1A59C575" w14:textId="55DB7357" w:rsidR="002A50CF" w:rsidRDefault="002A50CF" w:rsidP="002A50CF">
      <w:pPr>
        <w:pStyle w:val="ListParagraph"/>
        <w:numPr>
          <w:ilvl w:val="0"/>
          <w:numId w:val="11"/>
        </w:numPr>
      </w:pPr>
      <w:r>
        <w:t>Service accounts are separated by pipeline responsibility.</w:t>
      </w:r>
    </w:p>
    <w:p w14:paraId="405B5E4B" w14:textId="5A8D8122" w:rsidR="002A50CF" w:rsidRDefault="002A50CF" w:rsidP="002A50CF">
      <w:pPr>
        <w:pStyle w:val="ListParagraph"/>
        <w:numPr>
          <w:ilvl w:val="0"/>
          <w:numId w:val="11"/>
        </w:numPr>
      </w:pPr>
      <w:r>
        <w:t>The backlog points to this document and the IaC scaffold.</w:t>
      </w:r>
    </w:p>
    <w:p w14:paraId="3130068A" w14:textId="1F0B5E51" w:rsidR="002A50CF" w:rsidRDefault="002A50CF" w:rsidP="002A50CF">
      <w:pPr>
        <w:pStyle w:val="ListParagraph"/>
        <w:numPr>
          <w:ilvl w:val="0"/>
          <w:numId w:val="11"/>
        </w:numPr>
      </w:pPr>
      <w:r>
        <w:t>No Google resource is created from this task.</w:t>
      </w:r>
    </w:p>
    <w:p w14:paraId="41D9F92C" w14:textId="0CC274D6" w:rsidR="002A50CF" w:rsidRDefault="002A50CF" w:rsidP="002A50CF">
      <w:pPr>
        <w:pStyle w:val="Heading1"/>
      </w:pPr>
      <w:r>
        <w:t>10. Next step</w:t>
      </w:r>
    </w:p>
    <w:p w14:paraId="264821F4" w14:textId="1B643071" w:rsidR="002A50CF" w:rsidRDefault="002A50CF" w:rsidP="002A50CF">
      <w:r>
        <w:t>LAZA-035 should use the IPCN indicator as the first portability proof after the landing-zone values are confirmed and the DEV environment is applied.</w:t>
      </w:r>
    </w:p>
    <w:p w14:paraId="28C4C045" w14:textId="77777777" w:rsidR="002A50CF" w:rsidRPr="002A50CF" w:rsidRDefault="002A50CF" w:rsidP="002A50CF"/>
    <w:sectPr w:rsidR="002A50CF" w:rsidRPr="002A50CF" w:rsidSect="00034616">
      <w:headerReference w:type="default" r:id="rId8"/>
      <w:footerReference w:type="default" r:id="rId9"/>
      <w:pgSz w:w="11900" w:h="16840"/>
      <w:pgMar w:top="1291" w:right="701" w:bottom="49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6F957" w14:textId="77777777" w:rsidR="00631367" w:rsidRDefault="00631367">
      <w:pPr>
        <w:spacing w:after="0" w:line="240" w:lineRule="auto"/>
      </w:pPr>
      <w:r>
        <w:separator/>
      </w:r>
    </w:p>
  </w:endnote>
  <w:endnote w:type="continuationSeparator" w:id="0">
    <w:p w14:paraId="076616E7" w14:textId="77777777" w:rsidR="00631367" w:rsidRDefault="006313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明朝">
    <w:panose1 w:val="00000000000000000000"/>
    <w:charset w:val="8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コシック">
    <w:panose1 w:val="00000000000000000000"/>
    <w:charset w:val="80"/>
    <w:family w:val="roman"/>
    <w:notTrueType/>
    <w:pitch w:val="default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3623" w14:textId="77777777" w:rsidR="007C3F3F" w:rsidRPr="005F22F8" w:rsidRDefault="00965A70">
    <w:pPr>
      <w:pStyle w:val="Footer"/>
    </w:pPr>
    <w:r w:rsidRPr="005F22F8"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47097191" wp14:editId="50569646">
              <wp:simplePos x="0" y="0"/>
              <wp:positionH relativeFrom="column">
                <wp:posOffset>-353011</wp:posOffset>
              </wp:positionH>
              <wp:positionV relativeFrom="paragraph">
                <wp:posOffset>528173</wp:posOffset>
              </wp:positionV>
              <wp:extent cx="7539990" cy="91001"/>
              <wp:effectExtent l="0" t="0" r="16510" b="10795"/>
              <wp:wrapNone/>
              <wp:docPr id="3" name="Caixa of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39990" cy="91001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6350">
                        <a:solidFill>
                          <a:schemeClr val="bg1">
                            <a:lumMod val="65000"/>
                          </a:schemeClr>
                        </a:solidFill>
                      </a:ln>
                    </wps:spPr>
                    <wps:txbx>
                      <w:txbxContent>
                        <w:p w14:paraId="075637E7" w14:textId="77777777" w:rsidR="007C3F3F" w:rsidRPr="005F22F8" w:rsidRDefault="007C3F3F" w:rsidP="009E5CB0">
                          <w:pPr>
                            <w:tabs>
                              <w:tab w:val="left" w:pos="5812"/>
                              <w:tab w:val="right" w:pos="11482"/>
                            </w:tabs>
                            <w:rPr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7097191" id="_x0000_t202" coordsize="21600,21600" o:spt="202" path="m,l,21600r21600,l21600,xe">
              <v:stroke joinstyle="miter"/>
              <v:path gradientshapeok="t" o:connecttype="rect"/>
            </v:shapetype>
            <v:shape id="Caixa of Texto 3" o:spid="_x0000_s1028" type="#_x0000_t202" style="position:absolute;margin-left:-27.8pt;margin-top:41.6pt;width:593.7pt;height:7.15pt;z-index:25165824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" fillcolor="#a5a5a5 [2092]" strokecolor="#a5a5a5 [2092]" strokeweight=".5pt">
              <v:textbox>
                <w:txbxContent>
                  <w:p w14:paraId="075637E7" w14:textId="77777777" w:rsidR="007C3F3F" w:rsidRPr="005F22F8" w:rsidRDefault="007C3F3F" w:rsidP="009E5CB0">
                    <w:pPr>
                      <w:tabs>
                        <w:tab w:val="left" w:pos="5812"/>
                        <w:tab w:val="right" w:pos="11482"/>
                      </w:tabs>
                      <w:rPr>
                        <w:b/>
                        <w:color w:val="FFFFFF" w:themeColor="background1"/>
                        <w:sz w:val="40"/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0ABB6" w14:textId="77777777" w:rsidR="00631367" w:rsidRDefault="00631367">
      <w:pPr>
        <w:spacing w:after="0" w:line="240" w:lineRule="auto"/>
      </w:pPr>
      <w:r>
        <w:separator/>
      </w:r>
    </w:p>
  </w:footnote>
  <w:footnote w:type="continuationSeparator" w:id="0">
    <w:p w14:paraId="7D79794B" w14:textId="77777777" w:rsidR="00631367" w:rsidRDefault="006313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4FDC4" w14:textId="490F5438" w:rsidR="007C3F3F" w:rsidRPr="005F22F8" w:rsidRDefault="00965A70">
    <w:pPr>
      <w:pStyle w:val="Header"/>
    </w:pPr>
    <w:r w:rsidRPr="005F22F8">
      <w:rPr>
        <w:noProof/>
      </w:rPr>
      <w:drawing>
        <wp:anchor distT="0" distB="0" distL="114300" distR="114300" simplePos="0" relativeHeight="251658243" behindDoc="0" locked="0" layoutInCell="1" allowOverlap="1" wp14:anchorId="4DD91B30" wp14:editId="494B14D4">
          <wp:simplePos x="0" y="0"/>
          <wp:positionH relativeFrom="column">
            <wp:posOffset>-398467</wp:posOffset>
          </wp:positionH>
          <wp:positionV relativeFrom="paragraph">
            <wp:posOffset>-375139</wp:posOffset>
          </wp:positionV>
          <wp:extent cx="846945" cy="267068"/>
          <wp:effectExtent l="0" t="0" r="4445" b="0"/>
          <wp:wrapNone/>
          <wp:docPr id="1055312578" name="Picture 4" descr="Keyrus EPM - Make data matter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eyrus EPM - Make data matter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143" t="29544" r="12883" b="27332"/>
                  <a:stretch>
                    <a:fillRect/>
                  </a:stretch>
                </pic:blipFill>
                <pic:spPr bwMode="auto">
                  <a:xfrm>
                    <a:off x="0" y="0"/>
                    <a:ext cx="846945" cy="26706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F22F8">
      <w:fldChar w:fldCharType="begin"/>
    </w:r>
    <w:r w:rsidRPr="005F22F8">
      <w:instrText xml:space="preserve"> INCLUDEPICTURE "https://keyrus-epm.com/hs-fs/hubfs/Logos/Keyrus%20-%20Color%20K%20%2B%20Eyrus%20white%20Simple.png?width=458&amp;height=249&amp;name=Keyrus%20-%20Color%20K%20%2B%20Eyrus%20white%20Simple.png" \* MERGEFORMATINET </w:instrText>
    </w:r>
    <w:r w:rsidRPr="005F22F8">
      <w:fldChar w:fldCharType="separate"/>
    </w:r>
    <w:r w:rsidRPr="005F22F8">
      <w:fldChar w:fldCharType="end"/>
    </w:r>
    <w:r w:rsidRPr="005F22F8">
      <w:t xml:space="preserve"> </w:t>
    </w:r>
    <w:r w:rsidRPr="005F22F8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0FBF06F9" wp14:editId="7319DEC0">
              <wp:simplePos x="0" y="0"/>
              <wp:positionH relativeFrom="column">
                <wp:posOffset>-551180</wp:posOffset>
              </wp:positionH>
              <wp:positionV relativeFrom="paragraph">
                <wp:posOffset>-60325</wp:posOffset>
              </wp:positionV>
              <wp:extent cx="7539990" cy="337185"/>
              <wp:effectExtent l="0" t="0" r="16510" b="18415"/>
              <wp:wrapNone/>
              <wp:docPr id="2" name="Caixa of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39990" cy="33718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6350">
                        <a:solidFill>
                          <a:schemeClr val="bg1">
                            <a:lumMod val="65000"/>
                          </a:schemeClr>
                        </a:solidFill>
                      </a:ln>
                    </wps:spPr>
                    <wps:txbx>
                      <w:txbxContent>
                        <w:p w14:paraId="2073C015" w14:textId="00487CC4" w:rsidR="007C3F3F" w:rsidRPr="005F22F8" w:rsidRDefault="00965A70" w:rsidP="00EF77B2">
                          <w:pPr>
                            <w:pStyle w:val="Header"/>
                            <w:tabs>
                              <w:tab w:val="center" w:pos="5812"/>
                              <w:tab w:val="right" w:pos="11340"/>
                            </w:tabs>
                            <w:ind w:left="84"/>
                            <w:jc w:val="center"/>
                            <w:rPr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>
                            <w:rPr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>LAZA Bronze Raw Ingestion</w:t>
                          </w:r>
                        </w:p>
                        <w:p w14:paraId="139C967C" w14:textId="77777777" w:rsidR="007C3F3F" w:rsidRPr="005F22F8" w:rsidRDefault="007C3F3F" w:rsidP="00897AEB">
                          <w:pPr>
                            <w:tabs>
                              <w:tab w:val="left" w:pos="5812"/>
                              <w:tab w:val="right" w:pos="11482"/>
                            </w:tabs>
                            <w:rPr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FBF06F9" id="_x0000_t202" coordsize="21600,21600" o:spt="202" path="m,l,21600r21600,l21600,xe">
              <v:stroke joinstyle="miter"/>
              <v:path gradientshapeok="t" o:connecttype="rect"/>
            </v:shapetype>
            <v:shape id="Caixa of Texto 2" o:spid="_x0000_s1026" type="#_x0000_t202" style="position:absolute;margin-left:-43.4pt;margin-top:-4.75pt;width:593.7pt;height:26.55pt;z-index:25165824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" fillcolor="#a5a5a5 [2092]" strokecolor="#a5a5a5 [2092]" strokeweight=".5pt">
              <v:textbox>
                <w:txbxContent>
                  <w:p w14:paraId="2073C015" w14:textId="00487CC4" w:rsidR="007C3F3F" w:rsidRPr="005F22F8" w:rsidRDefault="00965A70" w:rsidP="00EF77B2">
                    <w:pPr>
                      <w:pStyle w:val="Header"/>
                      <w:tabs>
                        <w:tab w:val="center" w:pos="5812"/>
                        <w:tab w:val="right" w:pos="11340"/>
                      </w:tabs>
                      <w:ind w:left="84"/>
                      <w:jc w:val="center"/>
                      <w:rPr>
                        <w:color w:val="FFFFFF" w:themeColor="background1"/>
                        <w:sz w:val="32"/>
                        <w:szCs w:val="32"/>
                      </w:rPr>
                    </w:pPr>
                    <w:r>
                      <w:rPr>
                        <w:b/>
                        <w:color w:val="FFFFFF" w:themeColor="background1"/>
                        <w:sz w:val="32"/>
                        <w:szCs w:val="32"/>
                      </w:rPr>
                      <w:t>LAZA Bronze Raw Ingestion</w:t>
                    </w:r>
                  </w:p>
                  <w:p w14:paraId="139C967C" w14:textId="77777777" w:rsidR="007C3F3F" w:rsidRPr="005F22F8" w:rsidRDefault="007C3F3F" w:rsidP="00897AEB">
                    <w:pPr>
                      <w:tabs>
                        <w:tab w:val="left" w:pos="5812"/>
                        <w:tab w:val="right" w:pos="11482"/>
                      </w:tabs>
                      <w:rPr>
                        <w:b/>
                        <w:color w:val="FFFFFF" w:themeColor="background1"/>
                        <w:sz w:val="40"/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Pr="005F22F8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130287F" wp14:editId="40638F84">
              <wp:simplePos x="0" y="0"/>
              <wp:positionH relativeFrom="column">
                <wp:posOffset>-556697</wp:posOffset>
              </wp:positionH>
              <wp:positionV relativeFrom="paragraph">
                <wp:posOffset>-449580</wp:posOffset>
              </wp:positionV>
              <wp:extent cx="7545400" cy="442595"/>
              <wp:effectExtent l="0" t="0" r="11430" b="14605"/>
              <wp:wrapNone/>
              <wp:docPr id="1" name="Caixa of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45400" cy="442595"/>
                      </a:xfrm>
                      <a:prstGeom prst="rect">
                        <a:avLst/>
                      </a:prstGeom>
                      <a:solidFill>
                        <a:srgbClr val="003189"/>
                      </a:solidFill>
                      <a:ln w="6350">
                        <a:solidFill>
                          <a:srgbClr val="00B0F0"/>
                        </a:solidFill>
                      </a:ln>
                    </wps:spPr>
                    <wps:txbx>
                      <w:txbxContent>
                        <w:p w14:paraId="7AA3A69B" w14:textId="3E3BED27" w:rsidR="007C3F3F" w:rsidRPr="005F22F8" w:rsidRDefault="00965A70" w:rsidP="006F186C">
                          <w:pPr>
                            <w:pStyle w:val="Header"/>
                            <w:tabs>
                              <w:tab w:val="center" w:pos="5812"/>
                              <w:tab w:val="right" w:pos="11340"/>
                            </w:tabs>
                            <w:rPr>
                              <w:color w:val="FFFFFF" w:themeColor="background1"/>
                            </w:rPr>
                          </w:pPr>
                          <w:r w:rsidRPr="005F22F8">
                            <w:rPr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  <w:tab/>
                          </w:r>
                          <w:sdt>
                            <w:sdtPr>
                              <w:rPr>
                                <w:b/>
                                <w:color w:val="FFFFFF" w:themeColor="background1"/>
                                <w:sz w:val="40"/>
                                <w:szCs w:val="40"/>
                              </w:rPr>
                              <w:id w:val="1513722417"/>
                              <w:docPartObj>
                                <w:docPartGallery w:val="Page Numbers (Top of Page)"/>
                                <w:docPartUnique/>
                              </w:docPartObj>
                            </w:sdtPr>
                            <w:sdtEndPr/>
                            <w:sdtContent>
                              <w:r w:rsidRPr="005F22F8">
                                <w:rPr>
                                  <w:b/>
                                  <w:color w:val="FFFFFF" w:themeColor="background1"/>
                                  <w:sz w:val="40"/>
                                  <w:szCs w:val="40"/>
                                </w:rPr>
                                <w:t xml:space="preserve"> - </w:t>
                              </w:r>
                              <w:r w:rsidRPr="005F22F8">
                                <w:rPr>
                                  <w:b/>
                                  <w:color w:val="FFFFFF" w:themeColor="background1"/>
                                  <w:sz w:val="40"/>
                                  <w:szCs w:val="40"/>
                                </w:rPr>
                                <w:fldChar w:fldCharType="begin"/>
                              </w:r>
                              <w:r w:rsidRPr="005F22F8">
                                <w:rPr>
                                  <w:b/>
                                  <w:color w:val="FFFFFF" w:themeColor="background1"/>
                                  <w:sz w:val="40"/>
                                  <w:szCs w:val="40"/>
                                </w:rPr>
                                <w:instrText xml:space="preserve"> PAGE </w:instrText>
                              </w:r>
                              <w:r w:rsidRPr="005F22F8">
                                <w:rPr>
                                  <w:b/>
                                  <w:color w:val="FFFFFF" w:themeColor="background1"/>
                                  <w:sz w:val="40"/>
                                  <w:szCs w:val="40"/>
                                </w:rPr>
                                <w:fldChar w:fldCharType="separate"/>
                              </w:r>
                              <w:r w:rsidRPr="005F22F8">
                                <w:rPr>
                                  <w:b/>
                                  <w:color w:val="FFFFFF" w:themeColor="background1"/>
                                  <w:sz w:val="40"/>
                                  <w:szCs w:val="40"/>
                                </w:rPr>
                                <w:t>1</w:t>
                              </w:r>
                              <w:r w:rsidRPr="005F22F8">
                                <w:rPr>
                                  <w:b/>
                                  <w:color w:val="FFFFFF" w:themeColor="background1"/>
                                  <w:sz w:val="40"/>
                                  <w:szCs w:val="40"/>
                                </w:rPr>
                                <w:fldChar w:fldCharType="end"/>
                              </w:r>
                            </w:sdtContent>
                          </w:sdt>
                          <w:r w:rsidRPr="005F22F8">
                            <w:rPr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  <w:t xml:space="preserve"> -</w:t>
                          </w:r>
                          <w:r w:rsidRPr="005F22F8">
                            <w:rPr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  <w:tab/>
                          </w:r>
                        </w:p>
                        <w:p w14:paraId="733B8210" w14:textId="77777777" w:rsidR="007C3F3F" w:rsidRPr="005F22F8" w:rsidRDefault="007C3F3F" w:rsidP="006F186C">
                          <w:pPr>
                            <w:tabs>
                              <w:tab w:val="left" w:pos="5812"/>
                              <w:tab w:val="right" w:pos="11482"/>
                            </w:tabs>
                            <w:rPr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1130287F" id="Caixa of Texto 1" o:spid="_x0000_s1027" type="#_x0000_t202" style="position:absolute;margin-left:-43.85pt;margin-top:-35.4pt;width:594.15pt;height:34.85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" fillcolor="#003189" strokecolor="#00b0f0" strokeweight=".5pt">
              <v:textbox>
                <w:txbxContent>
                  <w:p w14:paraId="7AA3A69B" w14:textId="3E3BED27" w:rsidR="007C3F3F" w:rsidRPr="005F22F8" w:rsidRDefault="00965A70" w:rsidP="006F186C">
                    <w:pPr>
                      <w:pStyle w:val="Header"/>
                      <w:tabs>
                        <w:tab w:val="center" w:pos="5812"/>
                        <w:tab w:val="right" w:pos="11340"/>
                      </w:tabs>
                      <w:rPr>
                        <w:color w:val="FFFFFF" w:themeColor="background1"/>
                      </w:rPr>
                    </w:pPr>
                    <w:r w:rsidRPr="005F22F8">
                      <w:rPr>
                        <w:b/>
                        <w:color w:val="FFFFFF" w:themeColor="background1"/>
                        <w:sz w:val="40"/>
                        <w:szCs w:val="40"/>
                      </w:rPr>
                      <w:tab/>
                    </w:r>
                    <w:sdt>
                      <w:sdtPr>
                        <w:rPr>
                          <w:b/>
                          <w:color w:val="FFFFFF" w:themeColor="background1"/>
                          <w:sz w:val="40"/>
                          <w:szCs w:val="40"/>
                        </w:rPr>
                        <w:id w:val="1513722417"/>
                        <w:docPartObj>
                          <w:docPartGallery w:val="Page Numbers (Top of Page)"/>
                          <w:docPartUnique/>
                        </w:docPartObj>
                      </w:sdtPr>
                      <w:sdtEndPr/>
                      <w:sdtContent>
                        <w:r w:rsidRPr="005F22F8">
                          <w:rPr>
                            <w:b/>
                            <w:color w:val="FFFFFF" w:themeColor="background1"/>
                            <w:sz w:val="40"/>
                            <w:szCs w:val="40"/>
                          </w:rPr>
                          <w:t xml:space="preserve"> - </w:t>
                        </w:r>
                        <w:r w:rsidRPr="005F22F8">
                          <w:rPr>
                            <w:b/>
                            <w:color w:val="FFFFFF" w:themeColor="background1"/>
                            <w:sz w:val="40"/>
                            <w:szCs w:val="40"/>
                          </w:rPr>
                          <w:fldChar w:fldCharType="begin"/>
                        </w:r>
                        <w:r w:rsidRPr="005F22F8">
                          <w:rPr>
                            <w:b/>
                            <w:color w:val="FFFFFF" w:themeColor="background1"/>
                            <w:sz w:val="40"/>
                            <w:szCs w:val="40"/>
                          </w:rPr>
                          <w:instrText xml:space="preserve"> PAGE </w:instrText>
                        </w:r>
                        <w:r w:rsidRPr="005F22F8">
                          <w:rPr>
                            <w:b/>
                            <w:color w:val="FFFFFF" w:themeColor="background1"/>
                            <w:sz w:val="40"/>
                            <w:szCs w:val="40"/>
                          </w:rPr>
                          <w:fldChar w:fldCharType="separate"/>
                        </w:r>
                        <w:r w:rsidRPr="005F22F8">
                          <w:rPr>
                            <w:b/>
                            <w:color w:val="FFFFFF" w:themeColor="background1"/>
                            <w:sz w:val="40"/>
                            <w:szCs w:val="40"/>
                          </w:rPr>
                          <w:t>1</w:t>
                        </w:r>
                        <w:r w:rsidRPr="005F22F8">
                          <w:rPr>
                            <w:b/>
                            <w:color w:val="FFFFFF" w:themeColor="background1"/>
                            <w:sz w:val="40"/>
                            <w:szCs w:val="40"/>
                          </w:rPr>
                          <w:fldChar w:fldCharType="end"/>
                        </w:r>
                      </w:sdtContent>
                    </w:sdt>
                    <w:r w:rsidRPr="005F22F8">
                      <w:rPr>
                        <w:b/>
                        <w:color w:val="FFFFFF" w:themeColor="background1"/>
                        <w:sz w:val="40"/>
                        <w:szCs w:val="40"/>
                      </w:rPr>
                      <w:t xml:space="preserve"> -</w:t>
                    </w:r>
                    <w:r w:rsidRPr="005F22F8">
                      <w:rPr>
                        <w:b/>
                        <w:color w:val="FFFFFF" w:themeColor="background1"/>
                        <w:sz w:val="40"/>
                        <w:szCs w:val="40"/>
                      </w:rPr>
                      <w:tab/>
                    </w:r>
                  </w:p>
                  <w:p w14:paraId="733B8210" w14:textId="77777777" w:rsidR="007C3F3F" w:rsidRPr="005F22F8" w:rsidRDefault="007C3F3F" w:rsidP="006F186C">
                    <w:pPr>
                      <w:tabs>
                        <w:tab w:val="left" w:pos="5812"/>
                        <w:tab w:val="right" w:pos="11482"/>
                      </w:tabs>
                      <w:rPr>
                        <w:b/>
                        <w:color w:val="FFFFFF" w:themeColor="background1"/>
                        <w:sz w:val="40"/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B72830"/>
    <w:multiLevelType w:val="singleLevel"/>
    <w:tmpl w:val="0416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nsid w:val="60776F69"/>
    <w:multiLevelType w:val="singleLevel"/>
    <w:tmpl w:val="0416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693262312">
    <w:abstractNumId w:val="8"/>
  </w:num>
  <w:num w:numId="2" w16cid:durableId="1520049430">
    <w:abstractNumId w:val="6"/>
  </w:num>
  <w:num w:numId="3" w16cid:durableId="1451969208">
    <w:abstractNumId w:val="5"/>
  </w:num>
  <w:num w:numId="4" w16cid:durableId="700669757">
    <w:abstractNumId w:val="4"/>
  </w:num>
  <w:num w:numId="5" w16cid:durableId="926158782">
    <w:abstractNumId w:val="7"/>
  </w:num>
  <w:num w:numId="6" w16cid:durableId="668406993">
    <w:abstractNumId w:val="3"/>
  </w:num>
  <w:num w:numId="7" w16cid:durableId="2073039314">
    <w:abstractNumId w:val="2"/>
  </w:num>
  <w:num w:numId="8" w16cid:durableId="707265158">
    <w:abstractNumId w:val="1"/>
  </w:num>
  <w:num w:numId="9" w16cid:durableId="502859266">
    <w:abstractNumId w:val="0"/>
  </w:num>
  <w:num w:numId="10" w16cid:durableId="638265186">
    <w:abstractNumId w:val="9"/>
  </w:num>
  <w:num w:numId="11" w16cid:durableId="3212735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69DC"/>
    <w:rsid w:val="0015074B"/>
    <w:rsid w:val="0029639D"/>
    <w:rsid w:val="002A50CF"/>
    <w:rsid w:val="002E3D3D"/>
    <w:rsid w:val="00326F90"/>
    <w:rsid w:val="004B7FDB"/>
    <w:rsid w:val="0052627E"/>
    <w:rsid w:val="005E40C4"/>
    <w:rsid w:val="00631367"/>
    <w:rsid w:val="00793127"/>
    <w:rsid w:val="007C3F3F"/>
    <w:rsid w:val="008A79D4"/>
    <w:rsid w:val="009218E3"/>
    <w:rsid w:val="00965A70"/>
    <w:rsid w:val="00A83842"/>
    <w:rsid w:val="00AA1D8D"/>
    <w:rsid w:val="00B47730"/>
    <w:rsid w:val="00B529A0"/>
    <w:rsid w:val="00B62C64"/>
    <w:rsid w:val="00B82363"/>
    <w:rsid w:val="00BE45A0"/>
    <w:rsid w:val="00C47E53"/>
    <w:rsid w:val="00C52DBB"/>
    <w:rsid w:val="00CB0664"/>
    <w:rsid w:val="00DC41BA"/>
    <w:rsid w:val="00E50F5C"/>
    <w:rsid w:val="00EC06D8"/>
    <w:rsid w:val="00EC694D"/>
    <w:rsid w:val="00F957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9A827B4-E25B-4B91-8D98-43ABC9B21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3318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FF6B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96F3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3318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8F0000" w:themeColor="accent3" w:themeShade="BF"/>
    </w:rPr>
    <w:tblPr>
      <w:tblStyleRowBandSize w:val="1"/>
      <w:tblStyleColBandSize w:val="1"/>
      <w:tblBorders>
        <w:top w:val="single" w:sz="8" w:space="0" w:color="C00000" w:themeColor="accent3"/>
        <w:bottom w:val="single" w:sz="8" w:space="0" w:color="C00000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0000" w:themeColor="accent3"/>
          <w:left w:val="nil"/>
          <w:bottom w:val="single" w:sz="8" w:space="0" w:color="C00000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0000" w:themeColor="accent3"/>
          <w:left w:val="nil"/>
          <w:bottom w:val="single" w:sz="8" w:space="0" w:color="C00000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0B0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0B0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0000" w:themeColor="accent3"/>
        <w:left w:val="single" w:sz="8" w:space="0" w:color="C00000" w:themeColor="accent3"/>
        <w:bottom w:val="single" w:sz="8" w:space="0" w:color="C00000" w:themeColor="accent3"/>
        <w:right w:val="single" w:sz="8" w:space="0" w:color="C00000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000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0000" w:themeColor="accent3"/>
          <w:left w:val="single" w:sz="8" w:space="0" w:color="C00000" w:themeColor="accent3"/>
          <w:bottom w:val="single" w:sz="8" w:space="0" w:color="C00000" w:themeColor="accent3"/>
          <w:right w:val="single" w:sz="8" w:space="0" w:color="C000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0000" w:themeColor="accent3"/>
          <w:left w:val="single" w:sz="8" w:space="0" w:color="C00000" w:themeColor="accent3"/>
          <w:bottom w:val="single" w:sz="8" w:space="0" w:color="C00000" w:themeColor="accent3"/>
          <w:right w:val="single" w:sz="8" w:space="0" w:color="C00000" w:themeColor="accent3"/>
        </w:tcBorders>
      </w:tcPr>
    </w:tblStylePr>
    <w:tblStylePr w:type="band1Horz">
      <w:tblPr/>
      <w:tcPr>
        <w:tcBorders>
          <w:top w:val="single" w:sz="8" w:space="0" w:color="C00000" w:themeColor="accent3"/>
          <w:left w:val="single" w:sz="8" w:space="0" w:color="C00000" w:themeColor="accent3"/>
          <w:bottom w:val="single" w:sz="8" w:space="0" w:color="C00000" w:themeColor="accent3"/>
          <w:right w:val="single" w:sz="8" w:space="0" w:color="C00000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0000" w:themeColor="accent3"/>
        <w:left w:val="single" w:sz="8" w:space="0" w:color="C00000" w:themeColor="accent3"/>
        <w:bottom w:val="single" w:sz="8" w:space="0" w:color="C00000" w:themeColor="accent3"/>
        <w:right w:val="single" w:sz="8" w:space="0" w:color="C00000" w:themeColor="accent3"/>
        <w:insideH w:val="single" w:sz="8" w:space="0" w:color="C00000" w:themeColor="accent3"/>
        <w:insideV w:val="single" w:sz="8" w:space="0" w:color="C00000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0000" w:themeColor="accent3"/>
          <w:left w:val="single" w:sz="8" w:space="0" w:color="C00000" w:themeColor="accent3"/>
          <w:bottom w:val="single" w:sz="18" w:space="0" w:color="C00000" w:themeColor="accent3"/>
          <w:right w:val="single" w:sz="8" w:space="0" w:color="C00000" w:themeColor="accent3"/>
          <w:insideH w:val="nil"/>
          <w:insideV w:val="single" w:sz="8" w:space="0" w:color="C00000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0000" w:themeColor="accent3"/>
          <w:left w:val="single" w:sz="8" w:space="0" w:color="C00000" w:themeColor="accent3"/>
          <w:bottom w:val="single" w:sz="8" w:space="0" w:color="C00000" w:themeColor="accent3"/>
          <w:right w:val="single" w:sz="8" w:space="0" w:color="C00000" w:themeColor="accent3"/>
          <w:insideH w:val="nil"/>
          <w:insideV w:val="single" w:sz="8" w:space="0" w:color="C00000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0000" w:themeColor="accent3"/>
          <w:left w:val="single" w:sz="8" w:space="0" w:color="C00000" w:themeColor="accent3"/>
          <w:bottom w:val="single" w:sz="8" w:space="0" w:color="C00000" w:themeColor="accent3"/>
          <w:right w:val="single" w:sz="8" w:space="0" w:color="C00000" w:themeColor="accent3"/>
        </w:tcBorders>
      </w:tcPr>
    </w:tblStylePr>
    <w:tblStylePr w:type="band1Vert">
      <w:tblPr/>
      <w:tcPr>
        <w:tcBorders>
          <w:top w:val="single" w:sz="8" w:space="0" w:color="C00000" w:themeColor="accent3"/>
          <w:left w:val="single" w:sz="8" w:space="0" w:color="C00000" w:themeColor="accent3"/>
          <w:bottom w:val="single" w:sz="8" w:space="0" w:color="C00000" w:themeColor="accent3"/>
          <w:right w:val="single" w:sz="8" w:space="0" w:color="C00000" w:themeColor="accent3"/>
        </w:tcBorders>
        <w:shd w:val="clear" w:color="auto" w:fill="FFB0B0" w:themeFill="accent3" w:themeFillTint="3F"/>
      </w:tcPr>
    </w:tblStylePr>
    <w:tblStylePr w:type="band1Horz">
      <w:tblPr/>
      <w:tcPr>
        <w:tcBorders>
          <w:top w:val="single" w:sz="8" w:space="0" w:color="C00000" w:themeColor="accent3"/>
          <w:left w:val="single" w:sz="8" w:space="0" w:color="C00000" w:themeColor="accent3"/>
          <w:bottom w:val="single" w:sz="8" w:space="0" w:color="C00000" w:themeColor="accent3"/>
          <w:right w:val="single" w:sz="8" w:space="0" w:color="C00000" w:themeColor="accent3"/>
          <w:insideV w:val="single" w:sz="8" w:space="0" w:color="C00000" w:themeColor="accent3"/>
        </w:tcBorders>
        <w:shd w:val="clear" w:color="auto" w:fill="FFB0B0" w:themeFill="accent3" w:themeFillTint="3F"/>
      </w:tcPr>
    </w:tblStylePr>
    <w:tblStylePr w:type="band2Horz">
      <w:tblPr/>
      <w:tcPr>
        <w:tcBorders>
          <w:top w:val="single" w:sz="8" w:space="0" w:color="C00000" w:themeColor="accent3"/>
          <w:left w:val="single" w:sz="8" w:space="0" w:color="C00000" w:themeColor="accent3"/>
          <w:bottom w:val="single" w:sz="8" w:space="0" w:color="C00000" w:themeColor="accent3"/>
          <w:right w:val="single" w:sz="8" w:space="0" w:color="C00000" w:themeColor="accent3"/>
          <w:insideV w:val="single" w:sz="8" w:space="0" w:color="C00000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1010" w:themeColor="accent3" w:themeTint="BF"/>
        <w:left w:val="single" w:sz="8" w:space="0" w:color="FF1010" w:themeColor="accent3" w:themeTint="BF"/>
        <w:bottom w:val="single" w:sz="8" w:space="0" w:color="FF1010" w:themeColor="accent3" w:themeTint="BF"/>
        <w:right w:val="single" w:sz="8" w:space="0" w:color="FF1010" w:themeColor="accent3" w:themeTint="BF"/>
        <w:insideH w:val="single" w:sz="8" w:space="0" w:color="FF101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010" w:themeColor="accent3" w:themeTint="BF"/>
          <w:left w:val="single" w:sz="8" w:space="0" w:color="FF1010" w:themeColor="accent3" w:themeTint="BF"/>
          <w:bottom w:val="single" w:sz="8" w:space="0" w:color="FF1010" w:themeColor="accent3" w:themeTint="BF"/>
          <w:right w:val="single" w:sz="8" w:space="0" w:color="FF1010" w:themeColor="accent3" w:themeTint="BF"/>
          <w:insideH w:val="nil"/>
          <w:insideV w:val="nil"/>
        </w:tcBorders>
        <w:shd w:val="clear" w:color="auto" w:fill="C0000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010" w:themeColor="accent3" w:themeTint="BF"/>
          <w:left w:val="single" w:sz="8" w:space="0" w:color="FF1010" w:themeColor="accent3" w:themeTint="BF"/>
          <w:bottom w:val="single" w:sz="8" w:space="0" w:color="FF1010" w:themeColor="accent3" w:themeTint="BF"/>
          <w:right w:val="single" w:sz="8" w:space="0" w:color="FF101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0B0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0B0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000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000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000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0000" w:themeColor="accent3"/>
        <w:bottom w:val="single" w:sz="8" w:space="0" w:color="C00000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0000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0000" w:themeColor="accent3"/>
          <w:bottom w:val="single" w:sz="8" w:space="0" w:color="C000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0000" w:themeColor="accent3"/>
          <w:bottom w:val="single" w:sz="8" w:space="0" w:color="C00000" w:themeColor="accent3"/>
        </w:tcBorders>
      </w:tcPr>
    </w:tblStylePr>
    <w:tblStylePr w:type="band1Vert">
      <w:tblPr/>
      <w:tcPr>
        <w:shd w:val="clear" w:color="auto" w:fill="FFB0B0" w:themeFill="accent3" w:themeFillTint="3F"/>
      </w:tcPr>
    </w:tblStylePr>
    <w:tblStylePr w:type="band1Horz">
      <w:tblPr/>
      <w:tcPr>
        <w:shd w:val="clear" w:color="auto" w:fill="FFB0B0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0000" w:themeColor="accent3"/>
        <w:left w:val="single" w:sz="8" w:space="0" w:color="C00000" w:themeColor="accent3"/>
        <w:bottom w:val="single" w:sz="8" w:space="0" w:color="C00000" w:themeColor="accent3"/>
        <w:right w:val="single" w:sz="8" w:space="0" w:color="C00000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000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0000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0000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0000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0B0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0B0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1010" w:themeColor="accent3" w:themeTint="BF"/>
        <w:left w:val="single" w:sz="8" w:space="0" w:color="FF1010" w:themeColor="accent3" w:themeTint="BF"/>
        <w:bottom w:val="single" w:sz="8" w:space="0" w:color="FF1010" w:themeColor="accent3" w:themeTint="BF"/>
        <w:right w:val="single" w:sz="8" w:space="0" w:color="FF1010" w:themeColor="accent3" w:themeTint="BF"/>
        <w:insideH w:val="single" w:sz="8" w:space="0" w:color="FF1010" w:themeColor="accent3" w:themeTint="BF"/>
        <w:insideV w:val="single" w:sz="8" w:space="0" w:color="FF1010" w:themeColor="accent3" w:themeTint="BF"/>
      </w:tblBorders>
    </w:tblPr>
    <w:tcPr>
      <w:shd w:val="clear" w:color="auto" w:fill="FFB0B0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01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060" w:themeFill="accent3" w:themeFillTint="7F"/>
      </w:tcPr>
    </w:tblStylePr>
    <w:tblStylePr w:type="band1Horz">
      <w:tblPr/>
      <w:tcPr>
        <w:shd w:val="clear" w:color="auto" w:fill="FF6060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0000" w:themeColor="accent3"/>
        <w:left w:val="single" w:sz="8" w:space="0" w:color="C00000" w:themeColor="accent3"/>
        <w:bottom w:val="single" w:sz="8" w:space="0" w:color="C00000" w:themeColor="accent3"/>
        <w:right w:val="single" w:sz="8" w:space="0" w:color="C00000" w:themeColor="accent3"/>
        <w:insideH w:val="single" w:sz="8" w:space="0" w:color="C00000" w:themeColor="accent3"/>
        <w:insideV w:val="single" w:sz="8" w:space="0" w:color="C00000" w:themeColor="accent3"/>
      </w:tblBorders>
    </w:tblPr>
    <w:tcPr>
      <w:shd w:val="clear" w:color="auto" w:fill="FFB0B0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FDFD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FBF" w:themeFill="accent3" w:themeFillTint="33"/>
      </w:tcPr>
    </w:tblStylePr>
    <w:tblStylePr w:type="band1Vert">
      <w:tblPr/>
      <w:tcPr>
        <w:shd w:val="clear" w:color="auto" w:fill="FF6060" w:themeFill="accent3" w:themeFillTint="7F"/>
      </w:tcPr>
    </w:tblStylePr>
    <w:tblStylePr w:type="band1Horz">
      <w:tblPr/>
      <w:tcPr>
        <w:tcBorders>
          <w:insideH w:val="single" w:sz="6" w:space="0" w:color="C00000" w:themeColor="accent3"/>
          <w:insideV w:val="single" w:sz="6" w:space="0" w:color="C00000" w:themeColor="accent3"/>
        </w:tcBorders>
        <w:shd w:val="clear" w:color="auto" w:fill="FF606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0B0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0000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0000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0000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0000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06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060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0000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F00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F000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F000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F000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F0000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C00000" w:themeColor="accent3"/>
        <w:bottom w:val="single" w:sz="4" w:space="0" w:color="C00000" w:themeColor="accent3"/>
        <w:right w:val="single" w:sz="4" w:space="0" w:color="C00000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DFD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3000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30000" w:themeColor="accent3" w:themeShade="99"/>
          <w:insideV w:val="nil"/>
        </w:tcBorders>
        <w:shd w:val="clear" w:color="auto" w:fill="73000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0000" w:themeFill="accent3" w:themeFillShade="99"/>
      </w:tcPr>
    </w:tblStylePr>
    <w:tblStylePr w:type="band1Vert">
      <w:tblPr/>
      <w:tcPr>
        <w:shd w:val="clear" w:color="auto" w:fill="FF7F7F" w:themeFill="accent3" w:themeFillTint="66"/>
      </w:tcPr>
    </w:tblStylePr>
    <w:tblStylePr w:type="band1Horz">
      <w:tblPr/>
      <w:tcPr>
        <w:shd w:val="clear" w:color="auto" w:fill="FF6060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0000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000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DFD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0B0" w:themeFill="accent3" w:themeFillTint="3F"/>
      </w:tcPr>
    </w:tblStylePr>
    <w:tblStylePr w:type="band1Horz">
      <w:tblPr/>
      <w:tcPr>
        <w:shd w:val="clear" w:color="auto" w:fill="FFBFBF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90000" w:themeFill="accent3" w:themeFillShade="CC"/>
      </w:tcPr>
    </w:tblStylePr>
    <w:tblStylePr w:type="lastRow">
      <w:rPr>
        <w:b/>
        <w:bCs/>
        <w:color w:val="99000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BFBF" w:themeFill="accent3" w:themeFillTint="33"/>
    </w:tcPr>
    <w:tblStylePr w:type="firstRow">
      <w:rPr>
        <w:b/>
        <w:bCs/>
      </w:rPr>
      <w:tblPr/>
      <w:tcPr>
        <w:shd w:val="clear" w:color="auto" w:fill="FF7F7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7F7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F000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F0000" w:themeFill="accent3" w:themeFillShade="BF"/>
      </w:tcPr>
    </w:tblStylePr>
    <w:tblStylePr w:type="band1Vert">
      <w:tblPr/>
      <w:tcPr>
        <w:shd w:val="clear" w:color="auto" w:fill="FF6060" w:themeFill="accent3" w:themeFillTint="7F"/>
      </w:tcPr>
    </w:tblStylePr>
    <w:tblStylePr w:type="band1Horz">
      <w:tblPr/>
      <w:tcPr>
        <w:shd w:val="clear" w:color="auto" w:fill="FF6060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C00000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コシック"/>
        <a:font script="Hang" typeface="맑은 고딕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MS 明朝"/>
        <a:font script="Hang" typeface="맑은 고딕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1032</Words>
  <Characters>5579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Teixeira</cp:lastModifiedBy>
  <cp:revision>11</cp:revision>
  <dcterms:created xsi:type="dcterms:W3CDTF">2013-12-23T23:15:00Z</dcterms:created>
  <dcterms:modified xsi:type="dcterms:W3CDTF">2026-07-17T16:59:00Z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3a7a5c93-77e7-46de-8b42-b77cbdb95c84</vt:lpwstr>
  </property>
</Properties>
</file>