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7.png" ContentType="image/png"/>
  <Override PartName="/word/media/rId65.svgz" ContentType="image/svg+xml"/>
  <Override PartName="/word/media/rId71.svgz" ContentType="image/svg+xml"/>
  <Override PartName="/word/media/rId81.svgz" ContentType="image/svg+xml"/>
  <Override PartName="/word/media/rId88.svgz" ContentType="image/svg+xml"/>
  <Override PartName="/word/media/rId68.png" ContentType="image/png"/>
  <Override PartName="/word/media/rId74.png" ContentType="image/png"/>
  <Override PartName="/word/media/rId84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for some tutorials.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Much of this lab is example code with some narration to give you a sense of what’s going on.</w:t>
            </w:r>
            <w:r>
              <w:t xml:space="preserve"> </w:t>
            </w:r>
            <w:r>
              <w:t xml:space="preserve">However, when you see a box like this it means you need to do something!</w:t>
            </w:r>
          </w:p>
        </w:tc>
      </w:tr>
    </w:tbl>
    <w:p>
      <w:pPr>
        <w:pStyle w:val="BodyText"/>
      </w:pPr>
      <w:r>
        <w:t xml:space="preserve">As with Lab 01, you should push your final code to GitHub and submit your rendered PDF or DOCX file to Canvas.</w:t>
      </w:r>
    </w:p>
    <w:bookmarkStart w:id="35" w:name="setup"/>
    <w:p>
      <w:pPr>
        <w:pStyle w:val="Heading2"/>
      </w:pPr>
      <w:r>
        <w:t xml:space="preserve">1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0" w:name="clone-the-repository"/>
    <w:p>
      <w:pPr>
        <w:pStyle w:val="Heading3"/>
      </w:pPr>
      <w:r>
        <w:t xml:space="preserve">1.1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29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0"/>
    <w:bookmarkStart w:id="33" w:name="install-required-packages"/>
    <w:p>
      <w:pPr>
        <w:pStyle w:val="Heading3"/>
      </w:pPr>
      <w:r>
        <w:t xml:space="preserve">1.2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29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2"/>
        </w:numPr>
        <w:pStyle w:val="Compact"/>
      </w:pPr>
      <w:r>
        <w:t xml:space="preserve">Open the</w:t>
      </w:r>
      <w:r>
        <w:t xml:space="preserve"> </w:t>
      </w:r>
      <w:hyperlink r:id="rId31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2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2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2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2"/>
      </w:r>
    </w:p>
    <w:bookmarkEnd w:id="33"/>
    <w:bookmarkStart w:id="34" w:name="looking-ahead"/>
    <w:p>
      <w:pPr>
        <w:pStyle w:val="Heading3"/>
      </w:pPr>
      <w:r>
        <w:t xml:space="preserve">1.3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3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4"/>
    <w:bookmarkEnd w:id="35"/>
    <w:bookmarkStart w:id="45" w:name="refresher-quarto-basics"/>
    <w:p>
      <w:pPr>
        <w:pStyle w:val="Heading2"/>
      </w:pPr>
      <w:r>
        <w:t xml:space="preserve">2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37" w:name="document-metadata"/>
    <w:p>
      <w:pPr>
        <w:pStyle w:val="Heading3"/>
      </w:pPr>
      <w:r>
        <w:t xml:space="preserve">2.1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37"/>
    <w:bookmarkStart w:id="38" w:name="latex-math"/>
    <w:p>
      <w:pPr>
        <w:pStyle w:val="Heading3"/>
      </w:pPr>
      <w:r>
        <w:t xml:space="preserve">2.2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38"/>
    <w:bookmarkStart w:id="39" w:name="source-code"/>
    <w:p>
      <w:pPr>
        <w:pStyle w:val="Heading3"/>
      </w:pPr>
      <w:r>
        <w:t xml:space="preserve">2.3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NormalTok"/>
        </w:rPr>
        <w:t xml:space="preserve">f(x) =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π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x /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f(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39"/>
    <w:bookmarkStart w:id="41" w:name="code-blocks"/>
    <w:p>
      <w:pPr>
        <w:pStyle w:val="Heading3"/>
      </w:pPr>
      <w:r>
        <w:t xml:space="preserve">2.4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NormalTok"/>
        </w:rPr>
        <w:t xml:space="preserve">f(x) =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π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x /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f(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1"/>
    <w:bookmarkStart w:id="44" w:name="citations"/>
    <w:p>
      <w:pPr>
        <w:pStyle w:val="Heading3"/>
      </w:pPr>
      <w:r>
        <w:t xml:space="preserve">2.5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2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4"/>
    <w:bookmarkEnd w:id="45"/>
    <w:bookmarkStart w:id="95" w:name="julia-quickstart"/>
    <w:p>
      <w:pPr>
        <w:pStyle w:val="Heading2"/>
      </w:pPr>
      <w:r>
        <w:t xml:space="preserve">3 Julia Quickstart</w:t>
      </w:r>
    </w:p>
    <w:bookmarkStart w:id="46" w:name="loading-packages"/>
    <w:p>
      <w:pPr>
        <w:pStyle w:val="Heading3"/>
      </w:pPr>
      <w:r>
        <w:t xml:space="preserve">3.1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4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4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4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6"/>
    <w:bookmarkStart w:id="54" w:name="read-in-data"/>
    <w:p>
      <w:pPr>
        <w:pStyle w:val="Heading3"/>
      </w:pPr>
      <w:r>
        <w:t xml:space="preserve">3.2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0" w:name="annotated-cell-9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0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1" w:name="annotated-cell-10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2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3" w:name="annotated-cell-11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4"/>
    <w:bookmarkStart w:id="58" w:name="subsetting-and-renaming"/>
    <w:p>
      <w:pPr>
        <w:pStyle w:val="Heading3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5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6" w:name="annotated-cell-12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7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8"/>
    <w:bookmarkStart w:id="61" w:name="writing-a-function"/>
    <w:p>
      <w:pPr>
        <w:pStyle w:val="Heading3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  <w:r>
        <w:t xml:space="preserve"> </w:t>
      </w:r>
      <w:r>
        <w:t xml:space="preserve">This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Writing functions is an important part of programming effectively.</w:t>
      </w:r>
      <w:r>
        <w:t xml:space="preserve"> </w:t>
      </w:r>
      <w:r>
        <w:t xml:space="preserve">Let’s write a function that takes in a year and returns a DataFrame with the data for that year, following the steps we’ve explored above.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61"/>
    <w:bookmarkStart w:id="64" w:name="combining-files"/>
    <w:p>
      <w:pPr>
        <w:pStyle w:val="Heading3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 and ensure they are the last 3 hours of 2021-12-31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64"/>
    <w:bookmarkStart w:id="77" w:name="time-series-plot"/>
    <w:p>
      <w:pPr>
        <w:pStyle w:val="Heading3"/>
      </w:pPr>
      <w:r>
        <w:t xml:space="preserve">3.6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21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70" w:name="annotated-cell-2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Change the</w:t>
            </w:r>
            <w:r>
              <w:t xml:space="preserve"> </w:t>
            </w:r>
            <w:r>
              <w:rPr>
                <w:rStyle w:val="VerbatimChar"/>
              </w:rPr>
              <w:t xml:space="preserve">t_start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t_end</w:t>
            </w:r>
            <w:r>
              <w:t xml:space="preserve"> </w:t>
            </w:r>
            <w:r>
              <w:t xml:space="preserve">dates so that you plot March 2020.</w:t>
            </w:r>
            <w:r>
              <w:t xml:space="preserve"> </w:t>
            </w:r>
            <w:r>
              <w:t xml:space="preserve">What do you notice?</w:t>
            </w:r>
          </w:p>
        </w:tc>
      </w:tr>
    </w:tbl>
    <w:bookmarkEnd w:id="77"/>
    <w:bookmarkStart w:id="94" w:name="climatology"/>
    <w:p>
      <w:pPr>
        <w:pStyle w:val="Heading3"/>
      </w:pPr>
      <w:r>
        <w:t xml:space="preserve">3.7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8"/>
      </w:r>
    </w:p>
    <w:bookmarkStart w:id="79" w:name="annotated-cell-2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80" w:name="annotated-cell-2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0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ndex_files/figure-docx/cell-15-output-1.sv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What do you notice?</w:t>
            </w:r>
          </w:p>
        </w:tc>
      </w:tr>
    </w:tbl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25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index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7" Target="media/rId47.png" /><Relationship Type="http://schemas.openxmlformats.org/officeDocument/2006/relationships/image" Id="rId65" Target="media/rId65.svgz" /><Relationship Type="http://schemas.openxmlformats.org/officeDocument/2006/relationships/image" Id="rId71" Target="media/rId71.svgz" /><Relationship Type="http://schemas.openxmlformats.org/officeDocument/2006/relationships/image" Id="rId81" Target="media/rId81.svgz" /><Relationship Type="http://schemas.openxmlformats.org/officeDocument/2006/relationships/image" Id="rId88" Target="media/rId88.svgz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image" Id="rId84" Target="media/rId84.png" /><Relationship Type="http://schemas.openxmlformats.org/officeDocument/2006/relationships/image" Id="rId91" Target="media/rId91.png" /><Relationship Type="http://schemas.openxmlformats.org/officeDocument/2006/relationships/hyperlink" Id="rId25" Target="../../resources.qmd" TargetMode="External" /><Relationship Type="http://schemas.openxmlformats.org/officeDocument/2006/relationships/hyperlink" Id="rId29" Target="../lab-01/index.qmd" TargetMode="External" /><Relationship Type="http://schemas.openxmlformats.org/officeDocument/2006/relationships/hyperlink" Id="rId55" Target="https://api.tidesandcurrents.noaa.gov/api/prod/responseHelp.html" TargetMode="External" /><Relationship Type="http://schemas.openxmlformats.org/officeDocument/2006/relationships/hyperlink" Id="rId31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2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3" Target="https://quarto.org/docs/authoring/footnotes-and-citations.html" TargetMode="External" /><Relationship Type="http://schemas.openxmlformats.org/officeDocument/2006/relationships/hyperlink" Id="rId36" Target="https://quarto.org/docs/authoring/markdown-basics.html" TargetMode="External" /><Relationship Type="http://schemas.openxmlformats.org/officeDocument/2006/relationships/hyperlink" Id="rId40" Target="https://quarto.org/docs/computations/julia.html" TargetMode="External" /><Relationship Type="http://schemas.openxmlformats.org/officeDocument/2006/relationships/hyperlink" Id="rId42" Target="https://retorque.re/zotero-better-bibtex/" TargetMode="External" /><Relationship Type="http://schemas.openxmlformats.org/officeDocument/2006/relationships/hyperlink" Id="rId57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29" Target="../lab-01/index.qmd" TargetMode="External" /><Relationship Type="http://schemas.openxmlformats.org/officeDocument/2006/relationships/hyperlink" Id="rId55" Target="https://api.tidesandcurrents.noaa.gov/api/prod/responseHelp.html" TargetMode="External" /><Relationship Type="http://schemas.openxmlformats.org/officeDocument/2006/relationships/hyperlink" Id="rId31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2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3" Target="https://quarto.org/docs/authoring/footnotes-and-citations.html" TargetMode="External" /><Relationship Type="http://schemas.openxmlformats.org/officeDocument/2006/relationships/hyperlink" Id="rId36" Target="https://quarto.org/docs/authoring/markdown-basics.html" TargetMode="External" /><Relationship Type="http://schemas.openxmlformats.org/officeDocument/2006/relationships/hyperlink" Id="rId40" Target="https://quarto.org/docs/computations/julia.html" TargetMode="External" /><Relationship Type="http://schemas.openxmlformats.org/officeDocument/2006/relationships/hyperlink" Id="rId42" Target="https://retorque.re/zotero-better-bibtex/" TargetMode="External" /><Relationship Type="http://schemas.openxmlformats.org/officeDocument/2006/relationships/hyperlink" Id="rId57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2024-01-19T05:39:38Z</dcterms:created>
  <dcterms:modified xsi:type="dcterms:W3CDTF">2024-01-19T05:39:38Z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