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5.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Kyle</w:t>
      </w:r>
      <w:r>
        <w:t xml:space="preserve"> </w:t>
      </w:r>
      <w:r>
        <w:t xml:space="preserve">Olcott</w:t>
      </w:r>
      <w:r>
        <w:t xml:space="preserve"> </w:t>
      </w:r>
      <w:r>
        <w:t xml:space="preserve">(kto1)</w:t>
      </w:r>
      <w:r>
        <w:t xml:space="preserve"> </w:t>
      </w:r>
      <w:r>
        <w:t xml:space="preserve">and</w:t>
      </w:r>
      <w:r>
        <w:t xml:space="preserve"> </w:t>
      </w:r>
      <w:r>
        <w:t xml:space="preserve">Patricia</w:t>
      </w:r>
      <w:r>
        <w:t xml:space="preserve"> </w:t>
      </w:r>
      <w:r>
        <w:t xml:space="preserve">Hashimoto</w:t>
      </w:r>
      <w:r>
        <w:t xml:space="preserve"> </w:t>
      </w:r>
      <w:r>
        <w:t xml:space="preserve">(pch3)</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oblem-statement"/>
    <w:p>
      <w:pPr>
        <w:pStyle w:val="Heading2"/>
      </w:pPr>
      <w:r>
        <w:t xml:space="preserve">0.1 Problem Statement</w:t>
      </w:r>
    </w:p>
    <w:p>
      <w:pPr>
        <w:pStyle w:val="FirstParagraph"/>
      </w:pPr>
      <w:r>
        <w:t xml:space="preserve">Currently, our model bases the cost of reconstructing the house each year based on the current value of the house. In the real world, however, house prices have consistently risen with an average appreciation rate of about 4.5% annually in the United States. Furthermore, our model fails to capture the increased cost of construction due to scarcity after a natural disaster. These two missing features may lead to our model greatly underestimating the cost of reconstruction in future years as a $100k construction job now may cost millions in the future. This discrepancy may lead to our model favoring lower elevations than higher ones, raising the vulnerability of houses which use this decision support tool when elevating their house against flood events.</w:t>
      </w:r>
    </w:p>
    <w:bookmarkEnd w:id="20"/>
    <w:bookmarkStart w:id="21" w:name="selected-feature"/>
    <w:p>
      <w:pPr>
        <w:pStyle w:val="Heading2"/>
      </w:pPr>
      <w:r>
        <w:t xml:space="preserve">0.2 Selected Feature</w:t>
      </w:r>
    </w:p>
    <w:p>
      <w:pPr>
        <w:pStyle w:val="FirstParagraph"/>
      </w:pPr>
      <w:r>
        <w:t xml:space="preserve">The two features added to the model are a scarcity factor as well as a housing market discount rate. The housing market discount rate will represent the rate at which the value of the house increases per year. By multiplying the value of the house by this rate each year, the model will be able to more accurately capture the actual cost of reconstruction at later years where our house may be worth millions more. However, uncertainty in the housing market and the possibility of our house’s value ballooning and diluting the influence early years’ NPVs have may have us look into decreasing discount rates for this feature.</w:t>
      </w:r>
    </w:p>
    <w:p>
      <w:pPr>
        <w:pStyle w:val="BodyText"/>
      </w:pPr>
      <w:r>
        <w:t xml:space="preserve">The scarcity factor will raise the cost of reconstruction further by multiplying it with the annual damages. This factor will change between SOW’s and will likely depend on the magnitude of the flood event in order to differentiate scarcity during low damage and high damage flooding events.</w:t>
      </w:r>
    </w:p>
    <w:bookmarkEnd w:id="21"/>
    <w:bookmarkStart w:id="28" w:name="literature-review"/>
    <w:p>
      <w:pPr>
        <w:pStyle w:val="Heading1"/>
      </w:pPr>
      <w:r>
        <w:t xml:space="preserve">1. Literature Review</w:t>
      </w:r>
    </w:p>
    <w:p>
      <w:pPr>
        <w:pStyle w:val="FirstParagraph"/>
      </w:pPr>
      <w:r>
        <w:t xml:space="preserve">The majority of articles refer to construction cost increases after natural disasters as</w:t>
      </w:r>
      <w:r>
        <w:t xml:space="preserve"> </w:t>
      </w:r>
      <w:r>
        <w:t xml:space="preserve">“</w:t>
      </w:r>
      <w:r>
        <w:t xml:space="preserve">demand surges</w:t>
      </w:r>
      <w:r>
        <w:t xml:space="preserve">”</w:t>
      </w:r>
      <w:r>
        <w:t xml:space="preserve">. While many factors are theorized to play into demand surges, such as increased labor costs, material costs, etc., there is little consensus of how these factors quantitatively play into the value of the demand surge following a hazard (Olesen et. al., 2011). Despite the lack of formal consensus on the topic, though, demand surge can still be approximately modeled based on historical data and basing our assumptions on previous research. For example, the paper with the highest claimed demand surge was 20%</w:t>
      </w:r>
      <w:r>
        <w:t xml:space="preserve"> </w:t>
      </w:r>
      <w:r>
        <w:t xml:space="preserve">(Olsen and Porter 2011)</w:t>
      </w:r>
      <w:r>
        <w:t xml:space="preserve">. From this, we can make assumptions about our boundaries for the demand surge with it ranging from 0-20%. Further research on this topic has also shown that there is a correlation between hazard magnitude and labor costs in East Coast states during hurricane season, a factor commonly known to influence demand surges</w:t>
      </w:r>
      <w:r>
        <w:t xml:space="preserve"> </w:t>
      </w:r>
      <w:r>
        <w:t xml:space="preserve">(Olsen and Porter 2013)</w:t>
      </w:r>
      <w:r>
        <w:t xml:space="preserve">. Using these findings, we can build our model to be a function where the input is the intensity of the hazard and the output is the demand surge. Finally, previous articles have included models for demand surge using a linear relationship</w:t>
      </w:r>
      <w:r>
        <w:t xml:space="preserve"> </w:t>
      </w:r>
      <w:r>
        <w:t xml:space="preserve">(Olsen and Porter 2013)</w:t>
      </w:r>
      <w:r>
        <w:t xml:space="preserve">. Copying this method can complete the function discussed previously, as our relationship between hazard intensity and demand surge can simply be modeled as a linear relationship too.</w:t>
      </w:r>
    </w:p>
    <w:p>
      <w:pPr>
        <w:pStyle w:val="BodyText"/>
      </w:pPr>
      <w:r>
        <w:t xml:space="preserve">The current average housing market discount rate based on the average % increase in the US house price index is 4.5%</w:t>
      </w:r>
      <w:r>
        <w:t xml:space="preserve"> </w:t>
      </w:r>
      <w:r>
        <w:t xml:space="preserve">(S&amp;P Dow Jones Indices LLC; retrieved from FRED 2024)</w:t>
      </w:r>
      <w:r>
        <w:t xml:space="preserve">. As seen in the histogram below, the values for these discount rates each year are approximately normally distributed, which means our expected discount rate for housing will also be its average. Compounding the value of our house by 4.5% each year, though, may create an effect where earlier years, where the value of the house is low, may have low influence on the NPV compared to higher years. Looking at articles concerning a decreasing discount rate, many have referenced France and the United Kingdom’s governments use of a decreasing discount rate where it is periodically decreased based on prior calculations</w:t>
      </w:r>
      <w:r>
        <w:t xml:space="preserve"> </w:t>
      </w:r>
      <w:r>
        <w:t xml:space="preserve">(Cropper et al. 2014)</w:t>
      </w:r>
      <w:r>
        <w:t xml:space="preserve">. A similar method can be employed here, where after a set amount of time during our 60 analysis period, the 4.5% discount rate drops.</w:t>
      </w:r>
    </w:p>
    <w:p>
      <w:pPr>
        <w:pStyle w:val="BodyText"/>
      </w:pPr>
      <w:r>
        <w:drawing>
          <wp:inline>
            <wp:extent cx="5334000" cy="3298190"/>
            <wp:effectExtent b="0" l="0" r="0" t="0"/>
            <wp:docPr descr="" title="" id="23" name="Picture"/>
            <a:graphic>
              <a:graphicData uri="http://schemas.openxmlformats.org/drawingml/2006/picture">
                <pic:pic>
                  <pic:nvPicPr>
                    <pic:cNvPr descr="PriceDist.png" id="24" name="Picture"/>
                    <pic:cNvPicPr>
                      <a:picLocks noChangeArrowheads="1" noChangeAspect="1"/>
                    </pic:cNvPicPr>
                  </pic:nvPicPr>
                  <pic:blipFill>
                    <a:blip r:embed="rId22"/>
                    <a:stretch>
                      <a:fillRect/>
                    </a:stretch>
                  </pic:blipFill>
                  <pic:spPr bwMode="auto">
                    <a:xfrm>
                      <a:off x="0" y="0"/>
                      <a:ext cx="5334000" cy="3298190"/>
                    </a:xfrm>
                    <a:prstGeom prst="rect">
                      <a:avLst/>
                    </a:prstGeom>
                    <a:noFill/>
                    <a:ln w="9525">
                      <a:noFill/>
                      <a:headEnd/>
                      <a:tailEnd/>
                    </a:ln>
                  </pic:spPr>
                </pic:pic>
              </a:graphicData>
            </a:graphic>
          </wp:inline>
        </w:drawing>
      </w:r>
    </w:p>
    <w:p>
      <w:pPr>
        <w:pStyle w:val="BodyText"/>
      </w:pPr>
      <w:r>
        <w:t xml:space="preserve">Figure 1: Distribution of House Price Increases</w:t>
      </w:r>
    </w:p>
    <w:p>
      <w:pPr>
        <w:pStyle w:val="BodyText"/>
      </w:pPr>
      <w:r>
        <w:drawing>
          <wp:inline>
            <wp:extent cx="5334000" cy="3195558"/>
            <wp:effectExtent b="0" l="0" r="0" t="0"/>
            <wp:docPr descr="" title="" id="26" name="Picture"/>
            <a:graphic>
              <a:graphicData uri="http://schemas.openxmlformats.org/drawingml/2006/picture">
                <pic:pic>
                  <pic:nvPicPr>
                    <pic:cNvPr descr="UKDR.png" id="27" name="Picture"/>
                    <pic:cNvPicPr>
                      <a:picLocks noChangeArrowheads="1" noChangeAspect="1"/>
                    </pic:cNvPicPr>
                  </pic:nvPicPr>
                  <pic:blipFill>
                    <a:blip r:embed="rId25"/>
                    <a:stretch>
                      <a:fillRect/>
                    </a:stretch>
                  </pic:blipFill>
                  <pic:spPr bwMode="auto">
                    <a:xfrm>
                      <a:off x="0" y="0"/>
                      <a:ext cx="5334000" cy="3195558"/>
                    </a:xfrm>
                    <a:prstGeom prst="rect">
                      <a:avLst/>
                    </a:prstGeom>
                    <a:noFill/>
                    <a:ln w="9525">
                      <a:noFill/>
                      <a:headEnd/>
                      <a:tailEnd/>
                    </a:ln>
                  </pic:spPr>
                </pic:pic>
              </a:graphicData>
            </a:graphic>
          </wp:inline>
        </w:drawing>
      </w:r>
      <w:r>
        <w:t xml:space="preserve"> </w:t>
      </w:r>
      <w:r>
        <w:t xml:space="preserve">Figure 2: United Kingdom Social Decreasing Discount Rate</w:t>
      </w:r>
    </w:p>
    <w:bookmarkEnd w:id="28"/>
    <w:bookmarkStart w:id="34" w:name="methodology"/>
    <w:p>
      <w:pPr>
        <w:pStyle w:val="Heading1"/>
      </w:pPr>
      <w:r>
        <w:t xml:space="preserve">2. Methodology</w:t>
      </w:r>
    </w:p>
    <w:bookmarkStart w:id="29" w:name="implementation"/>
    <w:p>
      <w:pPr>
        <w:pStyle w:val="Heading2"/>
      </w:pPr>
      <w:r>
        <w:t xml:space="preserve">2.1 Implementation</w:t>
      </w:r>
    </w:p>
    <w:p>
      <w:pPr>
        <w:pStyle w:val="FirstParagraph"/>
      </w:pPr>
      <w:r>
        <w:t xml:space="preserve">The scarcity/demand surge feature will be added by assuming a linear relationship between the damage of the house and the demand surge magnitude. The highest value for a demand surge was found to be around 20%. Thus, if a house was damaged by 50%, the demand surge will be 50% of 20%, which is 10%. This 10% will then be multiplied unto the damage that the house suffered in order to model how much more it would cost to rebuild under scarcity. For the example before, this would be 50% * (1 + 10%) = 55% damage.</w:t>
      </w:r>
    </w:p>
    <w:p>
      <w:pPr>
        <w:pStyle w:val="BodyText"/>
      </w:pPr>
      <w:r>
        <w:t xml:space="preserve">For the housing discount rate, since we can roughly approximate the distribution of the house price index changes to be normally distributed, the expected annual increase in the house’s value can simply be modeled as 4.5% (it’s average value). In order to implement the decreased discount rate along with this, the UK’s model will be used with our housing discount rate decreasing by 0.5% at 25 years.</w:t>
      </w:r>
    </w:p>
    <w:p>
      <w:pPr>
        <w:pStyle w:val="BodyText"/>
      </w:pPr>
      <w:r>
        <w:t xml:space="preserve">In this cell, the house structure is created by defining its value, area for elevation costs, and it’s height above the gauge.</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12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r>
        <w:br/>
      </w:r>
      <w:r>
        <w:br/>
      </w: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w:t>
      </w:r>
    </w:p>
    <w:p>
      <w:pPr>
        <w:pStyle w:val="FirstParagraph"/>
      </w:pPr>
      <w:r>
        <w:t xml:space="preserve">Here the infastructure to make the SOWs are created. The functions shown all sample a state variable in the SOW such as, the sea level rise scenario, the storm surge distribution, the discount rate, and the housing market discount rate.</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1.25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house_discount_rate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0.045</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discount_rate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house_discount </w:t>
      </w:r>
      <w:r>
        <w:rPr>
          <w:rStyle w:val="OperatorTok"/>
        </w:rPr>
        <w:t xml:space="preserve">=</w:t>
      </w:r>
      <w:r>
        <w:rPr>
          <w:rStyle w:val="NormalTok"/>
        </w:rPr>
        <w:t xml:space="preserve"> </w:t>
      </w:r>
      <w:r>
        <w:rPr>
          <w:rStyle w:val="FunctionTok"/>
        </w:rPr>
        <w:t xml:space="preserve">house_discount_rate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discount_rate, house_discount)</w:t>
      </w:r>
      <w:r>
        <w:br/>
      </w:r>
      <w:r>
        <w:rPr>
          <w:rStyle w:val="KeywordTok"/>
        </w:rPr>
        <w:t xml:space="preserve">end</w:t>
      </w:r>
    </w:p>
    <w:p>
      <w:pPr>
        <w:pStyle w:val="FirstParagraph"/>
      </w:pPr>
      <w:r>
        <w:t xml:space="preserve">Finally, a seed is set so we can compare different runs of the model with the SOWs changing. Using the functions defined in the last cell, the SOWs are created. With these SOWs, we can run the model using the source code.</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421521</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10_000</w:t>
      </w:r>
      <w:r>
        <w:br/>
      </w:r>
      <w:r>
        <w:rPr>
          <w:rStyle w:val="NormalTok"/>
        </w:rPr>
        <w:t xml:space="preserve">N_SOW_opt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to start</w:t>
      </w:r>
      <w:r>
        <w:br/>
      </w:r>
      <w:r>
        <w:rPr>
          <w:rStyle w:val="NormalTok"/>
        </w:rPr>
        <w:t xml:space="preserve">sows </w:t>
      </w:r>
      <w:r>
        <w:rPr>
          <w:rStyle w:val="OperatorTok"/>
        </w:rPr>
        <w:t xml:space="preserve">=</w:t>
      </w:r>
      <w:r>
        <w:rPr>
          <w:rStyle w:val="NormalTok"/>
        </w:rPr>
        <w:t xml:space="preserve"> [</w:t>
      </w:r>
      <w:r>
        <w:rPr>
          <w:rStyle w:val="FunctionTok"/>
        </w:rPr>
        <w:t xml:space="preserve">draw_sow</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bookmarkEnd w:id="29"/>
    <w:bookmarkStart w:id="33" w:name="validation"/>
    <w:p>
      <w:pPr>
        <w:pStyle w:val="Heading2"/>
      </w:pPr>
      <w:r>
        <w:t xml:space="preserve">2.2 Validation</w:t>
      </w:r>
    </w:p>
    <w:p>
      <w:pPr>
        <w:pStyle w:val="FirstParagraph"/>
      </w:pPr>
      <w:r>
        <w:t xml:space="preserve">To confirm that the implementation of the housing discount rate is taking place as expected, we look at one randomly sampled state of the world and a select few years. The expected actual damages computed as a function of the sampled sea level rise, sampled storm surge distribution, and housing characteristics that do not change are shown.</w:t>
      </w:r>
    </w:p>
    <w:p>
      <w:pPr>
        <w:pStyle w:val="BodyText"/>
      </w:pPr>
      <w:r>
        <w:t xml:space="preserve">Then the expected actual damages calculated based on one possible state of the world and the same fixed house characteristics used in the full implementation are shown with one action option of elevating the house 1 foot in a limited number of possible years. The housing multiplier for each year, which takes into account a housing</w:t>
      </w:r>
      <w:r>
        <w:t xml:space="preserve"> </w:t>
      </w:r>
      <w:r>
        <w:t xml:space="preserve">“</w:t>
      </w:r>
      <w:r>
        <w:t xml:space="preserve">discount rate</w:t>
      </w:r>
      <w:r>
        <w:t xml:space="preserve">”</w:t>
      </w:r>
      <w:r>
        <w:t xml:space="preserve"> </w:t>
      </w:r>
      <w:r>
        <w:t xml:space="preserve">that describes the housing value appreciation rate, estimated here as 4.5%, is also shown. Because the housing value increased by 4.5% each year, the multiplier is continuously compounding. Next, the expected actual damage calculated for each year for a house of the given value, $250,000, is shown. These values confirm that the calculations are taking place as intended.</w:t>
      </w:r>
    </w:p>
    <w:p>
      <w:pPr>
        <w:pStyle w:val="SourceCode"/>
      </w:pPr>
      <w:r>
        <w:rPr>
          <w:rStyle w:val="FunctionTok"/>
        </w:rPr>
        <w:t xml:space="preserve">run_sim</w:t>
      </w:r>
      <w:r>
        <w:rPr>
          <w:rStyle w:val="NormalTok"/>
        </w:rPr>
        <w:t xml:space="preserve">(</w:t>
      </w:r>
      <w:r>
        <w:rPr>
          <w:rStyle w:val="FunctionTok"/>
        </w:rPr>
        <w:t xml:space="preserve">Action</w:t>
      </w:r>
      <w:r>
        <w:rPr>
          <w:rStyle w:val="NormalTok"/>
        </w:rPr>
        <w:t xml:space="preserve">.(</w:t>
      </w:r>
      <w:r>
        <w:rPr>
          <w:rStyle w:val="FloatTok"/>
        </w:rPr>
        <w:t xml:space="preserve">1.0</w:t>
      </w:r>
      <w:r>
        <w:rPr>
          <w:rStyle w:val="NormalTok"/>
        </w:rPr>
        <w:t xml:space="preserve">), </w:t>
      </w:r>
      <w:r>
        <w:rPr>
          <w:rStyle w:val="FunctionTok"/>
        </w:rPr>
        <w:t xml:space="preserve">first</w:t>
      </w:r>
      <w:r>
        <w:rPr>
          <w:rStyle w:val="NormalTok"/>
        </w:rPr>
        <w:t xml:space="preserve">(sows),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NormalTok"/>
        </w:rPr>
        <w:t xml:space="preserve">[</w:t>
      </w:r>
      <w:r>
        <w:rPr>
          <w:rStyle w:val="FloatTok"/>
        </w:rPr>
        <w:t xml:space="preserve">2024</w:t>
      </w:r>
      <w:r>
        <w:rPr>
          <w:rStyle w:val="NormalTok"/>
        </w:rPr>
        <w:t xml:space="preserve">, </w:t>
      </w:r>
      <w:r>
        <w:rPr>
          <w:rStyle w:val="FloatTok"/>
        </w:rPr>
        <w:t xml:space="preserve">2030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EAD w/out Scarcity: [0.011266557810949235, 0.01156077841743563]</w:t>
      </w:r>
      <w:r>
        <w:br/>
      </w:r>
      <w:r>
        <w:br/>
      </w:r>
      <w:r>
        <w:rPr>
          <w:rStyle w:val="VerbatimChar"/>
        </w:rPr>
        <w:t xml:space="preserve">EAD w/ Scarcity: [0.011291944875930727, 0.011587508736959039]</w:t>
      </w:r>
      <w:r>
        <w:br/>
      </w:r>
      <w:r>
        <w:br/>
      </w:r>
      <w:r>
        <w:rPr>
          <w:rStyle w:val="VerbatimChar"/>
        </w:rPr>
        <w:t xml:space="preserve">Housing discount rates: 0.045 at 1 years</w:t>
      </w:r>
      <w:r>
        <w:br/>
      </w:r>
      <w:r>
        <w:rPr>
          <w:rStyle w:val="VerbatimChar"/>
        </w:rPr>
        <w:t xml:space="preserve">Housing discount rates: 0.045 at 2 years</w:t>
      </w:r>
      <w:r>
        <w:br/>
      </w:r>
      <w:r>
        <w:rPr>
          <w:rStyle w:val="VerbatimChar"/>
        </w:rPr>
        <w:t xml:space="preserve">EAD given housing val. and discount: [2822.9862189826817, 3027.2366575305487]</w:t>
      </w:r>
    </w:p>
    <w:p>
      <w:pPr>
        <w:pStyle w:val="SourceCode"/>
      </w:pPr>
      <w:r>
        <w:rPr>
          <w:rStyle w:val="VerbatimChar"/>
        </w:rPr>
        <w:t xml:space="preserve">-66274.2244878452</w:t>
      </w:r>
    </w:p>
    <w:p>
      <w:pPr>
        <w:pStyle w:val="FirstParagraph"/>
      </w:pPr>
      <w:r>
        <w:t xml:space="preserve">For example, for an expected actual damage share of 0.011587508736959039 in 2030,</w:t>
      </w:r>
    </w:p>
    <w:p>
      <w:pPr>
        <w:pStyle w:val="BodyText"/>
      </w:pPr>
      <m:oMath>
        <m:r>
          <m:t>E</m:t>
        </m:r>
        <m:r>
          <m:t>A</m:t>
        </m:r>
        <m:r>
          <m:t>D</m:t>
        </m:r>
        <m:r>
          <m:rPr>
            <m:sty m:val="p"/>
          </m:rPr>
          <m:t>=</m:t>
        </m:r>
        <m:r>
          <m:t>0.011587508736959039</m:t>
        </m:r>
        <m:r>
          <m:rPr>
            <m:sty m:val="p"/>
          </m:rPr>
          <m:t>*</m:t>
        </m:r>
        <m:r>
          <m:t>250000</m:t>
        </m:r>
        <m:r>
          <m:rPr>
            <m:sty m:val="p"/>
          </m:rPr>
          <m:t>*</m:t>
        </m:r>
        <m:sSup>
          <m:e>
            <m:d>
              <m:dPr>
                <m:begChr m:val="("/>
                <m:endChr m:val=")"/>
                <m:sepChr m:val=""/>
                <m:grow/>
              </m:dPr>
              <m:e>
                <m:r>
                  <m:t>1.045</m:t>
                </m:r>
              </m:e>
            </m:d>
          </m:e>
          <m:sup>
            <m:r>
              <m:t>5</m:t>
            </m:r>
          </m:sup>
        </m:sSup>
        <m:r>
          <m:rPr>
            <m:sty m:val="p"/>
          </m:rPr>
          <m:t>=</m:t>
        </m:r>
        <m:r>
          <m:t>3772.4876436159875</m:t>
        </m:r>
      </m:oMath>
      <w:r>
        <w:t xml:space="preserve">.</w:t>
      </w:r>
    </w:p>
    <w:p>
      <w:pPr>
        <w:pStyle w:val="BodyText"/>
      </w:pPr>
      <w:r>
        <w:t xml:space="preserve">A visual check confirms the increasing house value:</w:t>
      </w:r>
    </w:p>
    <w:p>
      <w:pPr>
        <w:pStyle w:val="SourceCode"/>
      </w:pPr>
      <w:r>
        <w:rPr>
          <w:rStyle w:val="NormalTok"/>
        </w:rPr>
        <w:t xml:space="preserve">test_tuple </w:t>
      </w:r>
      <w:r>
        <w:rPr>
          <w:rStyle w:val="OperatorTok"/>
        </w:rPr>
        <w:t xml:space="preserve">=</w:t>
      </w:r>
      <w:r>
        <w:rPr>
          <w:rStyle w:val="NormalTok"/>
        </w:rPr>
        <w:t xml:space="preserve"> </w:t>
      </w:r>
      <w:r>
        <w:rPr>
          <w:rStyle w:val="FunctionTok"/>
        </w:rPr>
        <w:t xml:space="preserve">run_sim</w:t>
      </w:r>
      <w:r>
        <w:rPr>
          <w:rStyle w:val="NormalTok"/>
        </w:rPr>
        <w:t xml:space="preserve">(</w:t>
      </w:r>
      <w:r>
        <w:rPr>
          <w:rStyle w:val="FunctionTok"/>
        </w:rPr>
        <w:t xml:space="preserve">Action</w:t>
      </w:r>
      <w:r>
        <w:rPr>
          <w:rStyle w:val="NormalTok"/>
        </w:rPr>
        <w:t xml:space="preserve">.(</w:t>
      </w:r>
      <w:r>
        <w:rPr>
          <w:rStyle w:val="FloatTok"/>
        </w:rPr>
        <w:t xml:space="preserve">1.0</w:t>
      </w:r>
      <w:r>
        <w:rPr>
          <w:rStyle w:val="NormalTok"/>
        </w:rPr>
        <w:t xml:space="preserve">), </w:t>
      </w:r>
      <w:r>
        <w:rPr>
          <w:rStyle w:val="FunctionTok"/>
        </w:rPr>
        <w:t xml:space="preserve">first</w:t>
      </w:r>
      <w:r>
        <w:rPr>
          <w:rStyle w:val="NormalTok"/>
        </w:rPr>
        <w:t xml:space="preserve">(sows),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2065</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br/>
      </w:r>
      <w:r>
        <w:rPr>
          <w:rStyle w:val="FunctionTok"/>
        </w:rPr>
        <w:t xml:space="preserve">plot</w:t>
      </w:r>
      <w:r>
        <w:rPr>
          <w:rStyle w:val="NormalTok"/>
        </w:rPr>
        <w:t xml:space="preserve">(</w:t>
      </w:r>
      <w:r>
        <w:rPr>
          <w:rStyle w:val="FloatTok"/>
        </w:rPr>
        <w:t xml:space="preserve">2024</w:t>
      </w:r>
      <w:r>
        <w:rPr>
          <w:rStyle w:val="OperatorTok"/>
        </w:rPr>
        <w:t xml:space="preserve">:</w:t>
      </w:r>
      <w:r>
        <w:rPr>
          <w:rStyle w:val="FloatTok"/>
        </w:rPr>
        <w:t xml:space="preserve">2065</w:t>
      </w:r>
      <w:r>
        <w:rPr>
          <w:rStyle w:val="NormalTok"/>
        </w:rPr>
        <w:t xml:space="preserve">, </w:t>
      </w:r>
      <w:r>
        <w:rPr>
          <w:rStyle w:val="FunctionTok"/>
        </w:rPr>
        <w:t xml:space="preserve">last</w:t>
      </w:r>
      <w:r>
        <w:rPr>
          <w:rStyle w:val="NormalTok"/>
        </w:rPr>
        <w:t xml:space="preserve">(test_tuple);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"House Value [USD]"</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"House Value Over Time"</w:t>
      </w:r>
      <w:r>
        <w:rPr>
          <w:rStyle w:val="NormalTok"/>
        </w:rPr>
        <w:t xml:space="preserve">)</w:t>
      </w:r>
    </w:p>
    <w:p>
      <w:pPr>
        <w:pStyle w:val="FirstParagraph"/>
      </w:pPr>
      <w:r>
        <w:drawing>
          <wp:inline>
            <wp:extent cx="4572000" cy="3657600"/>
            <wp:effectExtent b="0" l="0" r="0" t="0"/>
            <wp:docPr descr="" title="" id="31" name="Picture"/>
            <a:graphic>
              <a:graphicData uri="http://schemas.openxmlformats.org/drawingml/2006/picture">
                <pic:pic>
                  <pic:nvPicPr>
                    <pic:cNvPr descr="template_files/figure-docx/cell-9-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 demand surge is calculated by taking 20% of the expected damage. This value is added to one to create a multiplier that is applied to the expected damage again to calculate the expected damage under scarcity induced by the demand surge.</w:t>
      </w:r>
    </w:p>
    <w:p>
      <w:pPr>
        <w:pStyle w:val="BodyText"/>
      </w:pPr>
      <w:r>
        <w:t xml:space="preserve">This example confirms that these calculations are occurring correctly. For example, for an EAD of 0.01156077841743563 in 2030:</w:t>
      </w:r>
    </w:p>
    <w:p>
      <w:pPr>
        <w:pStyle w:val="BodyText"/>
      </w:pPr>
      <m:oMath>
        <m:d>
          <m:dPr>
            <m:begChr m:val="("/>
            <m:endChr m:val=")"/>
            <m:sepChr m:val=""/>
            <m:grow/>
          </m:dPr>
          <m:e>
            <m:r>
              <m:t>0.01156077841743563</m:t>
            </m:r>
            <m:r>
              <m:rPr>
                <m:sty m:val="p"/>
              </m:rPr>
              <m:t>*</m:t>
            </m:r>
            <m:r>
              <m:t>0.2</m:t>
            </m:r>
            <m:r>
              <m:rPr>
                <m:sty m:val="p"/>
              </m:rPr>
              <m:t>+</m:t>
            </m:r>
            <m:r>
              <m:t>1</m:t>
            </m:r>
          </m:e>
        </m:d>
        <m:r>
          <m:rPr>
            <m:sty m:val="p"/>
          </m:rPr>
          <m:t>*</m:t>
        </m:r>
        <m:r>
          <m:t>0.01156077841743563</m:t>
        </m:r>
        <m:r>
          <m:rPr>
            <m:sty m:val="p"/>
          </m:rPr>
          <m:t>=</m:t>
        </m:r>
        <m:r>
          <m:t>0.011587508736959039</m:t>
        </m:r>
      </m:oMath>
      <w:r>
        <w:t xml:space="preserve">.</w:t>
      </w:r>
    </w:p>
    <w:p>
      <w:pPr>
        <w:pStyle w:val="BodyText"/>
      </w:pPr>
      <w:r>
        <w:t xml:space="preserve">These simplified examples of the values resulting from the implementation of expected damage given scarcity and house value appreciation indicate that the additions to the simulation are operating as intended.</w:t>
      </w:r>
    </w:p>
    <w:bookmarkEnd w:id="33"/>
    <w:bookmarkEnd w:id="34"/>
    <w:bookmarkStart w:id="38" w:name="results"/>
    <w:p>
      <w:pPr>
        <w:pStyle w:val="Heading1"/>
      </w:pPr>
      <w:r>
        <w:t xml:space="preserve">3. Results</w:t>
      </w:r>
    </w:p>
    <w:p>
      <w:pPr>
        <w:pStyle w:val="FirstParagraph"/>
      </w:pPr>
      <w:r>
        <w:t xml:space="preserve">This cell created a vector of NPVs at each elevation. Three other nearly identical cells are also used to run the other functions using different implemented features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npvs_moore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w:t>
      </w:r>
      <w:r>
        <w:rPr>
          <w:rStyle w:val="ConstantTok"/>
        </w:rPr>
        <w:t xml:space="preserve">false</w:t>
      </w:r>
      <w:r>
        <w:rPr>
          <w:rStyle w:val="NormalTok"/>
        </w:rPr>
        <w:t xml:space="preserve">, </w:t>
      </w:r>
      <w:r>
        <w:rPr>
          <w:rStyle w:val="ConstantTok"/>
        </w:rPr>
        <w:t xml:space="preserve">false</w:t>
      </w:r>
      <w:r>
        <w:rPr>
          <w:rStyle w:val="NormalTok"/>
        </w:rPr>
        <w:t xml:space="preserve">)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r>
        <w:br/>
      </w:r>
      <w:r>
        <w:rPr>
          <w:rStyle w:val="NormalTok"/>
        </w:rPr>
        <w:t xml:space="preserve">npvsnew </w:t>
      </w:r>
      <w:r>
        <w:rPr>
          <w:rStyle w:val="OperatorTok"/>
        </w:rPr>
        <w:t xml:space="preserve">=</w:t>
      </w:r>
      <w:r>
        <w:rPr>
          <w:rStyle w:val="NormalTok"/>
        </w:rPr>
        <w:t xml:space="preserve"> npvs_moore</w:t>
      </w:r>
    </w:p>
    <w:p>
      <w:pPr>
        <w:pStyle w:val="FirstParagraph"/>
      </w:pPr>
      <w:r>
        <w:t xml:space="preserve">The vectors of NPVs are then plotted together in this cell.</w:t>
      </w:r>
    </w:p>
    <w:p>
      <w:pPr>
        <w:pStyle w:val="SourceCode"/>
      </w:pPr>
      <w:r>
        <w:rPr>
          <w:rStyle w:val="FunctionTok"/>
        </w:rPr>
        <w:t xml:space="preserve">plot</w:t>
      </w:r>
      <w:r>
        <w:rPr>
          <w:rStyle w:val="NormalTok"/>
        </w:rPr>
        <w:t xml:space="preserve">(</w:t>
      </w:r>
      <w:r>
        <w:br/>
      </w:r>
      <w:r>
        <w:rPr>
          <w:rStyle w:val="NormalTok"/>
        </w:rPr>
        <w:t xml:space="preserve">    elevations_try,</w:t>
      </w:r>
      <w:r>
        <w:br/>
      </w:r>
      <w:r>
        <w:rPr>
          <w:rStyle w:val="NormalTok"/>
        </w:rPr>
        <w:t xml:space="preserve">    npvs_moore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xlabel</w:t>
      </w:r>
      <w:r>
        <w:rPr>
          <w:rStyle w:val="OperatorTok"/>
        </w:rPr>
        <w:t xml:space="preserve">=</w:t>
      </w:r>
      <w:r>
        <w:rPr>
          <w:rStyle w:val="StringTok"/>
        </w:rPr>
        <w:t xml:space="preserve">"Elevation [ft]"</w:t>
      </w:r>
      <w:r>
        <w:rPr>
          <w:rStyle w:val="NormalTok"/>
        </w:rPr>
        <w:t xml:space="preserve">,</w:t>
      </w:r>
      <w:r>
        <w:br/>
      </w:r>
      <w:r>
        <w:rPr>
          <w:rStyle w:val="NormalTok"/>
        </w:rPr>
        <w:t xml:space="preserve">    ylabel</w:t>
      </w:r>
      <w:r>
        <w:rPr>
          <w:rStyle w:val="OperatorTok"/>
        </w:rPr>
        <w:t xml:space="preserve">=</w:t>
      </w:r>
      <w:r>
        <w:rPr>
          <w:rStyle w:val="StringTok"/>
        </w:rPr>
        <w:t xml:space="preserve">"NPV [1000 USD]"</w:t>
      </w:r>
      <w:r>
        <w:rPr>
          <w:rStyle w:val="NormalTok"/>
        </w:rPr>
        <w:t xml:space="preserve">,</w:t>
      </w:r>
      <w:r>
        <w:br/>
      </w:r>
      <w:r>
        <w:rPr>
          <w:rStyle w:val="NormalTok"/>
        </w:rPr>
        <w:t xml:space="preserve">    label</w:t>
      </w:r>
      <w:r>
        <w:rPr>
          <w:rStyle w:val="OperatorTok"/>
        </w:rPr>
        <w:t xml:space="preserve">=</w:t>
      </w:r>
      <w:r>
        <w:rPr>
          <w:rStyle w:val="StringTok"/>
        </w:rPr>
        <w:t xml:space="preserve">"Old Model NPVs"</w:t>
      </w:r>
      <w:r>
        <w:rPr>
          <w:rStyle w:val="NormalTok"/>
        </w:rPr>
        <w:t xml:space="preserve">,</w:t>
      </w:r>
      <w:r>
        <w:br/>
      </w:r>
      <w:r>
        <w:rPr>
          <w:rStyle w:val="NormalTok"/>
        </w:rPr>
        <w:t xml:space="preserve">    marker</w:t>
      </w:r>
      <w:r>
        <w:rPr>
          <w:rStyle w:val="OperatorTok"/>
        </w:rPr>
        <w:t xml:space="preserve">=:</w:t>
      </w:r>
      <w:r>
        <w:rPr>
          <w:rStyle w:val="NormalTok"/>
        </w:rPr>
        <w:t xml:space="preserve">circle,</w:t>
      </w:r>
      <w:r>
        <w:br/>
      </w:r>
      <w:r>
        <w:rPr>
          <w:rStyle w:val="NormalTok"/>
        </w:rPr>
        <w:t xml:space="preserve">    title </w:t>
      </w:r>
      <w:r>
        <w:rPr>
          <w:rStyle w:val="OperatorTok"/>
        </w:rPr>
        <w:t xml:space="preserve">=</w:t>
      </w:r>
      <w:r>
        <w:rPr>
          <w:rStyle w:val="NormalTok"/>
        </w:rPr>
        <w:t xml:space="preserve"> </w:t>
      </w:r>
      <w:r>
        <w:rPr>
          <w:rStyle w:val="StringTok"/>
        </w:rPr>
        <w:t xml:space="preserve">"NPV vs. Elevation Actions using Different Model Features"</w:t>
      </w:r>
      <w:r>
        <w:rPr>
          <w:rStyle w:val="NormalTok"/>
        </w:rPr>
        <w:t xml:space="preserve">,</w:t>
      </w:r>
      <w:r>
        <w:br/>
      </w:r>
      <w:r>
        <w:rPr>
          <w:rStyle w:val="NormalTok"/>
        </w:rPr>
        <w:t xml:space="preserve">)</w:t>
      </w:r>
      <w:r>
        <w:br/>
      </w:r>
      <w:r>
        <w:rPr>
          <w:rStyle w:val="FunctionTok"/>
        </w:rPr>
        <w:t xml:space="preserve">plot!</w:t>
      </w:r>
      <w:r>
        <w:rPr>
          <w:rStyle w:val="NormalTok"/>
        </w:rPr>
        <w:t xml:space="preserve">(elevations_try, npvsnew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"New Model NPVs"</w:t>
      </w:r>
      <w:r>
        <w:rPr>
          <w:rStyle w:val="NormalTok"/>
        </w:rPr>
        <w:t xml:space="preserve">, marker</w:t>
      </w:r>
      <w:r>
        <w:rPr>
          <w:rStyle w:val="OperatorTok"/>
        </w:rPr>
        <w:t xml:space="preserve">=:</w:t>
      </w:r>
      <w:r>
        <w:rPr>
          <w:rStyle w:val="NormalTok"/>
        </w:rPr>
        <w:t xml:space="preserve">circle)</w:t>
      </w:r>
      <w:r>
        <w:br/>
      </w:r>
      <w:r>
        <w:rPr>
          <w:rStyle w:val="FunctionTok"/>
        </w:rPr>
        <w:t xml:space="preserve">plot!</w:t>
      </w:r>
      <w:r>
        <w:rPr>
          <w:rStyle w:val="NormalTok"/>
        </w:rPr>
        <w:t xml:space="preserve">(elevations_try, npvsscarcity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"NPVs w/ only Demand Surge"</w:t>
      </w:r>
      <w:r>
        <w:rPr>
          <w:rStyle w:val="NormalTok"/>
        </w:rPr>
        <w:t xml:space="preserve">, marker</w:t>
      </w:r>
      <w:r>
        <w:rPr>
          <w:rStyle w:val="OperatorTok"/>
        </w:rPr>
        <w:t xml:space="preserve">=:</w:t>
      </w:r>
      <w:r>
        <w:rPr>
          <w:rStyle w:val="NormalTok"/>
        </w:rPr>
        <w:t xml:space="preserve">circle)</w:t>
      </w:r>
      <w:r>
        <w:br/>
      </w:r>
      <w:r>
        <w:rPr>
          <w:rStyle w:val="FunctionTok"/>
        </w:rPr>
        <w:t xml:space="preserve">plot!</w:t>
      </w:r>
      <w:r>
        <w:rPr>
          <w:rStyle w:val="NormalTok"/>
        </w:rPr>
        <w:t xml:space="preserve">(elevations_try, npvshouse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"NPVs w/ only House Value Increase"</w:t>
      </w:r>
      <w:r>
        <w:rPr>
          <w:rStyle w:val="NormalTok"/>
        </w:rPr>
        <w:t xml:space="preserve">, marker</w:t>
      </w:r>
      <w:r>
        <w:rPr>
          <w:rStyle w:val="OperatorTok"/>
        </w:rPr>
        <w:t xml:space="preserve">=:</w:t>
      </w:r>
      <w:r>
        <w:rPr>
          <w:rStyle w:val="NormalTok"/>
        </w:rPr>
        <w:t xml:space="preserve">circle)</w:t>
      </w:r>
    </w:p>
    <w:p>
      <w:pPr>
        <w:pStyle w:val="FirstParagraph"/>
      </w:pPr>
      <w:r>
        <w:drawing>
          <wp:inline>
            <wp:extent cx="4572000" cy="3657600"/>
            <wp:effectExtent b="0" l="0" r="0" t="0"/>
            <wp:docPr descr="" title="" id="36" name="Picture"/>
            <a:graphic>
              <a:graphicData uri="http://schemas.openxmlformats.org/drawingml/2006/picture">
                <pic:pic>
                  <pic:nvPicPr>
                    <pic:cNvPr descr="template_files/figure-docx/cell-14-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 graph above shows the NPV vs. Elevation for 4 different models: the old model with no features, models using only the demand surge feature and housing market discount rate feature, and both features.</w:t>
      </w:r>
    </w:p>
    <w:bookmarkEnd w:id="38"/>
    <w:bookmarkStart w:id="41" w:name="conclusions"/>
    <w:p>
      <w:pPr>
        <w:pStyle w:val="Heading1"/>
      </w:pPr>
      <w:r>
        <w:t xml:space="preserve">4. Conclusions</w:t>
      </w:r>
    </w:p>
    <w:bookmarkStart w:id="39" w:name="discussion"/>
    <w:p>
      <w:pPr>
        <w:pStyle w:val="Heading2"/>
      </w:pPr>
      <w:r>
        <w:t xml:space="preserve">4.1 Discussion</w:t>
      </w:r>
    </w:p>
    <w:p>
      <w:pPr>
        <w:pStyle w:val="FirstParagraph"/>
      </w:pPr>
      <w:r>
        <w:t xml:space="preserve">As seen from our results, the two implemented features significantly decrease the NPV at each elevation, showing that our old model was underestimating the construction costs by nearly a factor of 3 at some elevations. Furthermore, the features significantly reduced the robustness of lower elevations as the damages that those actions do suffer from matter much more with the cost of reconstruction increasing. While an optimal elevation action was not found for our new model due to the max elevation action being 14ft, the general trend in our NPV vs. Elevation graph shows that an optimal solution can eventually be found at a higher elevation. This trend supports our expectation at the beginning of the project that these features would favor higher elevations that are subject to little or no damages from flooding. These findings are important in the context of climate risk management as significantly underestimating factors that play into the NPV can have catastrophic consequences with unexpected repair costs if actions are taken based on this decision support tool.</w:t>
      </w:r>
    </w:p>
    <w:p>
      <w:pPr>
        <w:pStyle w:val="BodyText"/>
      </w:pPr>
      <w:r>
        <w:t xml:space="preserve">Some limitations of our model are that the house value still does not accurately capture the construction costs for the house. While the assumption that the house value is directly related to construction costs is used in both our old and new model, part of that value also includes items which do not necessarily need to be repaired, such as the land, or location positively influencing house price. Finding a method to separate the value of the physical house from other factors may be useful to implement in the future. Furthermore, due to how construction costs significantly change over time, this model may greatly benefit from the inclusion of sequential decisions as lower elevation actions can be taken while the house value is low, and higher elevations actions taken in later years when construction costs matter more. If implemented, though, it may be useful to model the increased cost associated with elevating a house in later years.</w:t>
      </w:r>
    </w:p>
    <w:p>
      <w:pPr>
        <w:pStyle w:val="BodyText"/>
      </w:pPr>
      <w:r>
        <w:t xml:space="preserve">Finally, looking at each feature individually, we see that the demand surge has little effect on the NPV. This makes sense as many of our EAD values, such as the ones used in the validation are very low, and would result in a low scarcity factor. The main change in NPV comes from the housing market discount rate. This also makes sense as the value of the house being compounded every year will significantly increase its value, resulting in much higher construction costs. For example, the $250,000 house in our model should have a value of $3 million after the 60 year analysis period.</w:t>
      </w:r>
    </w:p>
    <w:bookmarkEnd w:id="39"/>
    <w:bookmarkStart w:id="40" w:name="conclusions-1"/>
    <w:p>
      <w:pPr>
        <w:pStyle w:val="Heading2"/>
      </w:pPr>
      <w:r>
        <w:t xml:space="preserve">4.2 Conclusions</w:t>
      </w:r>
    </w:p>
    <w:p>
      <w:pPr>
        <w:pStyle w:val="FirstParagraph"/>
      </w:pPr>
      <w:r>
        <w:t xml:space="preserve">Our implemented features successfully solve the issue posed in the problem statement. The issue of rising house prices not being fully captured is solved by the inclusion of a housing discount rate that increases the value of our house each year. Furthermore, the issue of scarcity is also fixed by creating a demand surge factor based on the intensity of the flood hazard that further increases the cost to repair the house each year. These features both work to change the magnitude of construction costs at different elevations, raising the optimal elevation significantly.</w:t>
      </w:r>
    </w:p>
    <w:p>
      <w:pPr>
        <w:pStyle w:val="BodyText"/>
      </w:pPr>
      <w:r>
        <w:t xml:space="preserve">These findings implicate that models which fail to capture the changing cost of construction over time may be significantly underestimating the optimal elevation for a house. This is particularly concerning as in the context of climate risk management, as overestimating precautions is often better than underestimating them, especially when the safety of people, such as the homeowners, are at stake. Using these features, homeowners can make a more informed decision when elevating their house so that they do not find themselves in a situation where there are more repair costs than originally anticipated. Further research in this area could analyze the possible factors that play into a demand surge and furthering a consensus on a concrete definition for it. Quantitative analysis for the demand surge would greatly benefit climate risk management models as many costs aside the house repairs will generally also be raised due to scarcity following a natural disaster.</w:t>
      </w:r>
    </w:p>
    <w:bookmarkEnd w:id="40"/>
    <w:bookmarkEnd w:id="41"/>
    <w:bookmarkStart w:id="50" w:name="references"/>
    <w:p>
      <w:pPr>
        <w:pStyle w:val="Heading1"/>
      </w:pPr>
      <w:r>
        <w:t xml:space="preserve">5. References</w:t>
      </w:r>
    </w:p>
    <w:bookmarkStart w:id="49" w:name="refs"/>
    <w:bookmarkStart w:id="43" w:name="ref-cropper2014"/>
    <w:p>
      <w:pPr>
        <w:pStyle w:val="Bibliography"/>
      </w:pPr>
      <w:r>
        <w:t xml:space="preserve">Cropper, Maureen L., Mark C. Freeman, Ben Groom, and William A. Pizer. 2014.</w:t>
      </w:r>
      <w:r>
        <w:t xml:space="preserve"> </w:t>
      </w:r>
      <w:r>
        <w:t xml:space="preserve">“Declining Discount Rates.”</w:t>
      </w:r>
      <w:r>
        <w:t xml:space="preserve"> </w:t>
      </w:r>
      <w:r>
        <w:rPr>
          <w:iCs/>
          <w:i/>
        </w:rPr>
        <w:t xml:space="preserve">The American Economic Review</w:t>
      </w:r>
      <w:r>
        <w:t xml:space="preserve"> </w:t>
      </w:r>
      <w:r>
        <w:t xml:space="preserve">104 (5): 538–43.</w:t>
      </w:r>
      <w:r>
        <w:t xml:space="preserve"> </w:t>
      </w:r>
      <w:hyperlink r:id="rId42">
        <w:r>
          <w:rPr>
            <w:rStyle w:val="Hyperlink"/>
          </w:rPr>
          <w:t xml:space="preserve">http://www.jstor.org/stable/42920994</w:t>
        </w:r>
      </w:hyperlink>
      <w:r>
        <w:t xml:space="preserve">.</w:t>
      </w:r>
    </w:p>
    <w:bookmarkEnd w:id="43"/>
    <w:bookmarkStart w:id="45" w:name="ref-olsenporter2011"/>
    <w:p>
      <w:pPr>
        <w:pStyle w:val="Bibliography"/>
      </w:pPr>
      <w:r>
        <w:t xml:space="preserve">Olsen, Anna H., and Keith A. Porter. 2011.</w:t>
      </w:r>
      <w:r>
        <w:t xml:space="preserve"> </w:t>
      </w:r>
      <w:r>
        <w:t xml:space="preserve">“What We Know about Demand Surge.”</w:t>
      </w:r>
      <w:r>
        <w:t xml:space="preserve"> </w:t>
      </w:r>
      <w:r>
        <w:rPr>
          <w:iCs/>
          <w:i/>
        </w:rPr>
        <w:t xml:space="preserve">Natural Hazards Review</w:t>
      </w:r>
      <w:r>
        <w:t xml:space="preserve"> </w:t>
      </w:r>
      <w:r>
        <w:t xml:space="preserve">12 (2): 62–71.</w:t>
      </w:r>
      <w:r>
        <w:t xml:space="preserve"> </w:t>
      </w:r>
      <w:hyperlink r:id="rId44">
        <w:r>
          <w:rPr>
            <w:rStyle w:val="Hyperlink"/>
          </w:rPr>
          <w:t xml:space="preserve">https://doi.org/10.1061/(ASCE)NH.1527-6996.0000028</w:t>
        </w:r>
      </w:hyperlink>
      <w:r>
        <w:t xml:space="preserve">.</w:t>
      </w:r>
    </w:p>
    <w:bookmarkEnd w:id="45"/>
    <w:bookmarkStart w:id="47" w:name="ref-olsenporter2013"/>
    <w:p>
      <w:pPr>
        <w:pStyle w:val="Bibliography"/>
      </w:pPr>
      <w:r>
        <w:t xml:space="preserve">———. 2013.</w:t>
      </w:r>
      <w:r>
        <w:t xml:space="preserve"> </w:t>
      </w:r>
      <w:r>
        <w:t xml:space="preserve">“Storm Surge to Demand Surge: Exploratory Study ofHurricanes, Labor Wages, and Material Prices.”</w:t>
      </w:r>
      <w:r>
        <w:t xml:space="preserve"> </w:t>
      </w:r>
      <w:r>
        <w:rPr>
          <w:iCs/>
          <w:i/>
        </w:rPr>
        <w:t xml:space="preserve">Natural Hazards Review</w:t>
      </w:r>
      <w:r>
        <w:t xml:space="preserve"> </w:t>
      </w:r>
      <w:r>
        <w:t xml:space="preserve">14 (4): 211–85.</w:t>
      </w:r>
      <w:r>
        <w:t xml:space="preserve"> </w:t>
      </w:r>
      <w:hyperlink r:id="rId46">
        <w:r>
          <w:rPr>
            <w:rStyle w:val="Hyperlink"/>
          </w:rPr>
          <w:t xml:space="preserve">https://doi.org/10.1061/(ASCE)NH.1527-6996.000011</w:t>
        </w:r>
      </w:hyperlink>
      <w:r>
        <w:t xml:space="preserve">.</w:t>
      </w:r>
    </w:p>
    <w:bookmarkEnd w:id="47"/>
    <w:bookmarkStart w:id="48" w:name="ref-fred"/>
    <w:p>
      <w:pPr>
        <w:pStyle w:val="Bibliography"/>
      </w:pPr>
      <w:r>
        <w:t xml:space="preserve">S&amp;P Dow Jones Indices LLC; retrieved from FRED, Federal Reserve Bank of St. Louis. 2024.</w:t>
      </w:r>
      <w:r>
        <w:t xml:space="preserve"> </w:t>
      </w:r>
      <w:r>
        <w:t xml:space="preserve">“S&amp;p CoreLogic Case-Shiller u.s. National Home Price Index [CSUSHPISA].”</w:t>
      </w:r>
      <w:r>
        <w:t xml:space="preserve"> </w:t>
      </w:r>
      <w:r>
        <w:t xml:space="preserve">https://fred.stlouisfed.org/series/CSUSHPISA.</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5" Target="media/rId35.svg" /><Relationship Type="http://schemas.openxmlformats.org/officeDocument/2006/relationships/image" Id="rId30" Target="media/rId30.svg" /><Relationship Type="http://schemas.openxmlformats.org/officeDocument/2006/relationships/hyperlink" Id="rId42" Target="http://www.jstor.org/stable/42920994" TargetMode="External" /><Relationship Type="http://schemas.openxmlformats.org/officeDocument/2006/relationships/hyperlink" Id="rId44" Target="https://doi.org/10.1061/(ASCE)NH.1527-6996.0000028" TargetMode="External" /><Relationship Type="http://schemas.openxmlformats.org/officeDocument/2006/relationships/hyperlink" Id="rId46" Target="https://doi.org/10.1061/(ASCE)NH.1527-6996.000011" TargetMode="External" /></Relationships>
</file>

<file path=word/_rels/footnotes.xml.rels><?xml version="1.0" encoding="UTF-8"?><Relationships xmlns="http://schemas.openxmlformats.org/package/2006/relationships"><Relationship Type="http://schemas.openxmlformats.org/officeDocument/2006/relationships/hyperlink" Id="rId42" Target="http://www.jstor.org/stable/42920994" TargetMode="External" /><Relationship Type="http://schemas.openxmlformats.org/officeDocument/2006/relationships/hyperlink" Id="rId44" Target="https://doi.org/10.1061/(ASCE)NH.1527-6996.0000028" TargetMode="External" /><Relationship Type="http://schemas.openxmlformats.org/officeDocument/2006/relationships/hyperlink" Id="rId46" Target="https://doi.org/10.1061/(ASCE)NH.1527-6996.000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Kyle Olcott (kto1) and Patricia Hashimoto (pch3)</dc:creator>
  <cp:keywords/>
  <dcterms:created xsi:type="dcterms:W3CDTF">2024-04-30T09:31:42Z</dcterms:created>
  <dcterms:modified xsi:type="dcterms:W3CDTF">2024-04-30T09:31:42Z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references">
    <vt:lpwstr>references.bib</vt:lpwstr>
  </property>
  <property fmtid="{D5CDD505-2E9C-101B-9397-08002B2CF9AE}" pid="15" name="toc-title">
    <vt:lpwstr>Table of contents</vt:lpwstr>
  </property>
</Properties>
</file>