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4.png" ContentType="image/png"/>
  <Override PartName="/word/media/rId68.svgz" ContentType="image/svg+xml"/>
  <Override PartName="/word/media/rId76.svgz" ContentType="image/svg+xml"/>
  <Override PartName="/word/media/rId82.svgz" ContentType="image/svg+xml"/>
  <Override PartName="/word/media/rId62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29" w:name="instructions"/>
    <w:p>
      <w:pPr>
        <w:pStyle w:val="Heading2"/>
      </w:pPr>
      <w:r>
        <w:t xml:space="preserve">1.2 Instructions</w:t>
      </w:r>
    </w:p>
    <w:p>
      <w:pPr>
        <w:pStyle w:val="FirstParagraph"/>
      </w:pPr>
      <w:r>
        <w:t xml:space="preserve">I have provided you with a lot of template code.</w:t>
      </w:r>
    </w:p>
    <w:p>
      <w:pPr>
        <w:numPr>
          <w:ilvl w:val="0"/>
          <w:numId w:val="1002"/>
        </w:numPr>
      </w:pPr>
      <w:r>
        <w:t xml:space="preserve">Any code block that starts with ```{julia} is live code and will run.</w:t>
      </w:r>
    </w:p>
    <w:p>
      <w:pPr>
        <w:numPr>
          <w:ilvl w:val="1"/>
          <w:numId w:val="1003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1"/>
          <w:numId w:val="1003"/>
        </w:numPr>
        <w:pStyle w:val="Compact"/>
      </w:pPr>
      <w:r>
        <w:t xml:space="preserve">Do not change these blocks unless instructed</w:t>
      </w:r>
    </w:p>
    <w:p>
      <w:pPr>
        <w:numPr>
          <w:ilvl w:val="0"/>
          <w:numId w:val="1002"/>
        </w:numPr>
      </w:pPr>
      <w:r>
        <w:t xml:space="preserve">Any code block that starts with ```julia (without the brackets) is not live code and will not run.</w:t>
      </w:r>
    </w:p>
    <w:p>
      <w:pPr>
        <w:numPr>
          <w:ilvl w:val="1"/>
          <w:numId w:val="1004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1"/>
          <w:numId w:val="1004"/>
        </w:numPr>
        <w:pStyle w:val="Compact"/>
      </w:pPr>
      <w:r>
        <w:t xml:space="preserve">To make them live code, change the first line to ```{julia} (with the brackets).</w:t>
      </w:r>
    </w:p>
    <w:p>
      <w:pPr>
        <w:numPr>
          <w:ilvl w:val="0"/>
          <w:numId w:val="1002"/>
        </w:numPr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29"/>
    <w:bookmarkStart w:id="30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0"/>
    <w:bookmarkEnd w:id="31"/>
    <w:bookmarkStart w:id="37" w:name="setup"/>
    <w:p>
      <w:pPr>
        <w:pStyle w:val="Heading1"/>
      </w:pPr>
      <w:r>
        <w:t xml:space="preserve">2. Setup</w:t>
      </w:r>
    </w:p>
    <w:bookmarkStart w:id="32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</w:p>
    <w:bookmarkEnd w:id="32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3"/>
      </w:r>
    </w:p>
    <w:bookmarkEnd w:id="34"/>
    <w:bookmarkStart w:id="36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bookmarkStart w:id="35" w:name="annotated-cell-1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</w:p>
    <w:bookmarkEnd w:id="35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Note that this is live code and will run. If you have not yet installed the packages, you will see an error message. Don’t change this block – see instructions</w:t>
      </w:r>
    </w:p>
    <w:bookmarkEnd w:id="36"/>
    <w:bookmarkEnd w:id="37"/>
    <w:bookmarkStart w:id="58" w:name="reading-in-our-data"/>
    <w:p>
      <w:pPr>
        <w:pStyle w:val="Heading1"/>
      </w:pPr>
      <w:r>
        <w:t xml:space="preserve">3. Reading in our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38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3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39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2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0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1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bookmarkEnd w:id="42"/>
    <w:bookmarkStart w:id="47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43" w:name="annotated-cell-5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  <w:r>
        <w:br/>
      </w:r>
      <w:r>
        <w:br/>
      </w: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7"/>
    <w:bookmarkStart w:id="51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49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4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lsl);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1"/>
    <w:bookmarkStart w:id="54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4"/>
    <w:bookmarkStart w:id="57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7"/>
    <w:bookmarkEnd w:id="58"/>
    <w:bookmarkStart w:id="89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Specifically, 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Then, the code to read in the data from all years is also called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(it will overwrite the old definition of the variable).</w:t>
            </w:r>
            <w:r>
              <w:t xml:space="preserve"> </w:t>
            </w:r>
            <w:r>
              <w:t xml:space="preserve">This is normally bad practice.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</w:p>
        </w:tc>
      </w:tr>
    </w:tbl>
    <w:bookmarkStart w:id="65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1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1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structions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71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FirstParagraph"/>
      </w:pPr>
      <w:r>
        <w:t xml:space="preserve">Now we can plot it as above.</w:t>
      </w:r>
    </w:p>
    <w:bookmarkStart w:id="67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structions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instructions-3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2"/>
    <w:bookmarkStart w:id="81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3"/>
      </w:r>
    </w:p>
    <w:bookmarkStart w:id="74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structions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1"/>
    <w:bookmarkStart w:id="87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nstructions_files/figure-docx/cell-14-output-1.svg" id="8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87"/>
    <w:bookmarkStart w:id="88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notebook:</w:t>
      </w:r>
    </w:p>
    <w:p>
      <w:pPr>
        <w:numPr>
          <w:ilvl w:val="1"/>
          <w:numId w:val="1011"/>
        </w:numPr>
        <w:pStyle w:val="Compact"/>
      </w:pPr>
      <w:r>
        <w:t xml:space="preserve">Open comand palette</w:t>
      </w:r>
    </w:p>
    <w:p>
      <w:pPr>
        <w:numPr>
          <w:ilvl w:val="1"/>
          <w:numId w:val="1011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</w:t>
      </w:r>
      <w:r>
        <w:t xml:space="preserve">.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select</w:t>
      </w:r>
      <w:r>
        <w:t xml:space="preserve"> </w:t>
      </w:r>
      <w:r>
        <w:t xml:space="preserve">“</w:t>
      </w:r>
      <w:r>
        <w:t xml:space="preserve">render project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render DOCX</w:t>
      </w:r>
      <w:r>
        <w:t xml:space="preserve">”</w:t>
      </w:r>
      <w:r>
        <w:t xml:space="preserve"> </w:t>
      </w:r>
      <w:r>
        <w:t xml:space="preserve">or similar.</w:t>
      </w:r>
    </w:p>
    <w:p>
      <w:pPr>
        <w:numPr>
          <w:ilvl w:val="1"/>
          <w:numId w:val="1011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2"/>
        </w:numPr>
        <w:pStyle w:val="Compact"/>
      </w:pPr>
      <w:r>
        <w:t xml:space="preserve">Make sure your notebook looks right in the browser.</w:t>
      </w:r>
    </w:p>
    <w:p>
      <w:pPr>
        <w:numPr>
          <w:ilvl w:val="1"/>
          <w:numId w:val="1012"/>
        </w:numPr>
        <w:pStyle w:val="Compact"/>
      </w:pPr>
      <w:r>
        <w:t xml:space="preserve">At the top of the page near the table of contents (Right hand side) there is a tab that says</w:t>
      </w:r>
      <w:r>
        <w:t xml:space="preserve"> </w:t>
      </w:r>
      <w:r>
        <w:t xml:space="preserve">“</w:t>
      </w:r>
      <w:r>
        <w:t xml:space="preserve">Other Formats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MS Word</w:t>
      </w:r>
      <w:r>
        <w:t xml:space="preserve">”</w:t>
      </w:r>
      <w:r>
        <w:t xml:space="preserve">. Click on that to download a DOCX file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3"/>
        </w:numPr>
        <w:pStyle w:val="Compact"/>
      </w:pPr>
      <w:r>
        <w:t xml:space="preserve">Proofread before you submit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68" Target="media/rId68.svgz" /><Relationship Type="http://schemas.openxmlformats.org/officeDocument/2006/relationships/image" Id="rId76" Target="media/rId76.svgz" /><Relationship Type="http://schemas.openxmlformats.org/officeDocument/2006/relationships/image" Id="rId82" Target="media/rId82.svgz" /><Relationship Type="http://schemas.openxmlformats.org/officeDocument/2006/relationships/image" Id="rId62" Target="media/rId62.svgz" /><Relationship Type="http://schemas.openxmlformats.org/officeDocument/2006/relationships/hyperlink" Id="rId48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1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50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1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50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2023-08-31T16:57:25Z</dcterms:created>
  <dcterms:modified xsi:type="dcterms:W3CDTF">2023-08-31T16:57:25Z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