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46.png" ContentType="image/png"/>
  <Override PartName="/word/media/rId67.png" ContentType="image/png"/>
  <Override PartName="/word/media/rId74.png" ContentType="image/png"/>
  <Override PartName="/word/media/rId83.png" ContentType="image/png"/>
  <Override PartName="/word/media/rId91.png" ContentType="image/png"/>
  <Override PartName="/word/media/rId64.svgz" ContentType="image/svg+xml"/>
  <Override PartName="/word/media/rId71.svgz" ContentType="image/svg+xml"/>
  <Override PartName="/word/media/rId80.svgz" ContentType="image/svg+xml"/>
  <Override PartName="/word/media/rId88.svgz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02</w:t>
      </w:r>
    </w:p>
    <w:p>
      <w:pPr>
        <w:pStyle w:val="Subtitle"/>
      </w:pPr>
      <w:r>
        <w:t xml:space="preserve">Working</w:t>
      </w:r>
      <w:r>
        <w:t xml:space="preserve"> </w:t>
      </w:r>
      <w:r>
        <w:t xml:space="preserve">with</w:t>
      </w:r>
      <w:r>
        <w:t xml:space="preserve"> </w:t>
      </w:r>
      <w:r>
        <w:t xml:space="preserve">tabular</w:t>
      </w:r>
      <w:r>
        <w:t xml:space="preserve"> </w:t>
      </w:r>
      <w:r>
        <w:t xml:space="preserve">data</w:t>
      </w:r>
      <w:r>
        <w:t xml:space="preserve"> </w:t>
      </w:r>
      <w:r>
        <w:t xml:space="preserve">in</w:t>
      </w:r>
      <w:r>
        <w:t xml:space="preserve"> </w:t>
      </w:r>
      <w:r>
        <w:t xml:space="preserve">Julia</w:t>
      </w:r>
    </w:p>
    <w:p>
      <w:pPr>
        <w:pStyle w:val="Date"/>
      </w:pPr>
      <w:r>
        <w:t xml:space="preserve">2023-09-01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4" w:name="overview"/>
    <w:p>
      <w:pPr>
        <w:pStyle w:val="Heading1"/>
      </w:pPr>
      <w:r>
        <w:t xml:space="preserve">1. Overview</w:t>
      </w:r>
    </w:p>
    <w:p>
      <w:pPr>
        <w:pStyle w:val="FirstParagraph"/>
      </w:pPr>
      <w:r>
        <w:t xml:space="preserve">In this lab we will learn how to work with tabular data in Julia.</w:t>
      </w:r>
      <w:r>
        <w:t xml:space="preserve"> </w:t>
      </w:r>
      <w:r>
        <w:t xml:space="preserve">Specifically, you will get some experience using: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VerbatimChar"/>
          </w:rPr>
          <w:t xml:space="preserve">DataFrames.jl</w:t>
        </w:r>
      </w:hyperlink>
      <w:r>
        <w:t xml:space="preserve"> </w:t>
      </w:r>
      <w:r>
        <w:t xml:space="preserve">to store tabular data as a DataFrame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VerbatimChar"/>
          </w:rPr>
          <w:t xml:space="preserve">CSV.jl</w:t>
        </w:r>
      </w:hyperlink>
      <w:r>
        <w:t xml:space="preserve"> </w:t>
      </w:r>
      <w:r>
        <w:t xml:space="preserve">to read CSV files and convert them to DataFrames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VerbatimChar"/>
          </w:rPr>
          <w:t xml:space="preserve">DataFramesMeta.jl</w:t>
        </w:r>
      </w:hyperlink>
      <w:r>
        <w:t xml:space="preserve"> </w:t>
      </w:r>
      <w:r>
        <w:t xml:space="preserve">to manipulate DataFrames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VerbatimChar"/>
          </w:rPr>
          <w:t xml:space="preserve">Plots.jl</w:t>
        </w:r>
      </w:hyperlink>
      <w:r>
        <w:t xml:space="preserve"> </w:t>
      </w:r>
      <w:r>
        <w:t xml:space="preserve">and</w:t>
      </w:r>
      <w:r>
        <w:t xml:space="preserve"> </w:t>
      </w:r>
      <w:hyperlink r:id="rId24">
        <w:r>
          <w:rPr>
            <w:rStyle w:val="VerbatimChar"/>
          </w:rPr>
          <w:t xml:space="preserve">StatsPlots.jl</w:t>
        </w:r>
      </w:hyperlink>
      <w:r>
        <w:t xml:space="preserve"> </w:t>
      </w:r>
      <w:r>
        <w:t xml:space="preserve">to create visualizations</w:t>
      </w:r>
    </w:p>
    <w:bookmarkStart w:id="25" w:name="exploratory-modeling"/>
    <w:p>
      <w:pPr>
        <w:pStyle w:val="Heading2"/>
      </w:pPr>
      <w:r>
        <w:t xml:space="preserve">1.1 Exploratory modeling</w:t>
      </w:r>
    </w:p>
    <w:p>
      <w:pPr>
        <w:pStyle w:val="FirstParagraph"/>
      </w:pPr>
      <w:r>
        <w:t xml:space="preserve">Technically, what we are doing today is called</w:t>
      </w:r>
      <w:r>
        <w:t xml:space="preserve"> </w:t>
      </w:r>
      <w:r>
        <w:rPr>
          <w:iCs/>
          <w:i/>
        </w:rPr>
        <w:t xml:space="preserve">exploratory modeling</w:t>
      </w:r>
      <w:r>
        <w:t xml:space="preserve"> </w:t>
      </w:r>
      <w:r>
        <w:t xml:space="preserve">or</w:t>
      </w:r>
      <w:r>
        <w:t xml:space="preserve"> </w:t>
      </w:r>
      <w:r>
        <w:rPr>
          <w:iCs/>
          <w:i/>
        </w:rPr>
        <w:t xml:space="preserve">exploratory data analysis.</w:t>
      </w:r>
      <w:r>
        <w:t xml:space="preserve"> </w:t>
      </w:r>
      <w:r>
        <w:t xml:space="preserve">The latter is more common, but the former makes clear that all visualizations include some (usually implicit) conceptual model of the data.</w:t>
      </w:r>
      <w:r>
        <w:t xml:space="preserve"> </w:t>
      </w:r>
      <w:r>
        <w:t xml:space="preserve">You will find more resources if you search for</w:t>
      </w:r>
      <w:r>
        <w:t xml:space="preserve"> </w:t>
      </w:r>
      <w:r>
        <w:t xml:space="preserve">“</w:t>
      </w:r>
      <w:r>
        <w:t xml:space="preserve">exploratory data analysis</w:t>
      </w:r>
      <w:r>
        <w:t xml:space="preserve">”</w:t>
      </w:r>
      <w:r>
        <w:t xml:space="preserve">, however.</w:t>
      </w:r>
    </w:p>
    <w:bookmarkEnd w:id="25"/>
    <w:bookmarkStart w:id="31" w:name="how-to-use-this-template"/>
    <w:p>
      <w:pPr>
        <w:pStyle w:val="Heading2"/>
      </w:pPr>
      <w:r>
        <w:t xml:space="preserve">1.2 How to use this template</w:t>
      </w:r>
    </w:p>
    <w:p>
      <w:pPr>
        <w:pStyle w:val="FirstParagraph"/>
      </w:pPr>
      <w:r>
        <w:t xml:space="preserve">I have provided you with a lot of template code.</w:t>
      </w:r>
    </w:p>
    <w:p>
      <w:pPr>
        <w:pStyle w:val="BodyText"/>
      </w:pPr>
      <w:r>
        <w:t xml:space="preserve">Any code block that starts with</w:t>
      </w:r>
    </w:p>
    <w:p>
      <w:pPr>
        <w:pStyle w:val="SourceCode"/>
      </w:pPr>
      <w:r>
        <w:rPr>
          <w:rStyle w:val="VerbatimChar"/>
        </w:rPr>
        <w:t xml:space="preserve">```{julia}</w:t>
      </w:r>
    </w:p>
    <w:p>
      <w:pPr>
        <w:pStyle w:val="FirstParagraph"/>
      </w:pPr>
      <w:r>
        <w:t xml:space="preserve">is a</w:t>
      </w:r>
      <w:r>
        <w:t xml:space="preserve"> </w:t>
      </w:r>
      <w:r>
        <w:t xml:space="preserve">“</w:t>
      </w:r>
      <w:r>
        <w:t xml:space="preserve">live</w:t>
      </w:r>
      <w:r>
        <w:t xml:space="preserve">”</w:t>
      </w:r>
      <w:r>
        <w:t xml:space="preserve"> </w:t>
      </w:r>
      <w:hyperlink r:id="rId26">
        <w:r>
          <w:rPr>
            <w:rStyle w:val="Hyperlink"/>
          </w:rPr>
          <w:t xml:space="preserve">code block</w:t>
        </w:r>
      </w:hyperlink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will execute (run)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These blocks will automatically run when you render the document</w:t>
      </w:r>
    </w:p>
    <w:p>
      <w:pPr>
        <w:numPr>
          <w:ilvl w:val="0"/>
          <w:numId w:val="1002"/>
        </w:numPr>
        <w:pStyle w:val="Compact"/>
      </w:pPr>
      <w:r>
        <w:t xml:space="preserve">You can click</w:t>
      </w:r>
      <w:r>
        <w:t xml:space="preserve"> </w:t>
      </w:r>
      <w:r>
        <w:t xml:space="preserve">“</w:t>
      </w:r>
      <w:r>
        <w:t xml:space="preserve">Run Cell</w:t>
      </w:r>
      <w:r>
        <w:t xml:space="preserve">”</w:t>
      </w:r>
      <w:r>
        <w:t xml:space="preserve"> </w:t>
      </w:r>
      <w:r>
        <w:t xml:space="preserve">to run the cell</w:t>
      </w:r>
    </w:p>
    <w:p>
      <w:pPr>
        <w:numPr>
          <w:ilvl w:val="0"/>
          <w:numId w:val="1002"/>
        </w:numPr>
        <w:pStyle w:val="Compact"/>
      </w:pPr>
      <w:r>
        <w:t xml:space="preserve">Make sure you understand what the code does and ask questions (in-person or on Canvas) if you don’t</w:t>
      </w:r>
    </w:p>
    <w:p>
      <w:pPr>
        <w:numPr>
          <w:ilvl w:val="0"/>
          <w:numId w:val="1002"/>
        </w:numPr>
        <w:pStyle w:val="Compact"/>
      </w:pPr>
      <w:r>
        <w:t xml:space="preserve">Do not change these blocks unless instructed</w:t>
      </w:r>
    </w:p>
    <w:p>
      <w:pPr>
        <w:pStyle w:val="FirstParagraph"/>
      </w:pPr>
      <w:r>
        <w:t xml:space="preserve">Any code block that starts with</w:t>
      </w:r>
    </w:p>
    <w:p>
      <w:pPr>
        <w:pStyle w:val="SourceCode"/>
      </w:pPr>
      <w:r>
        <w:rPr>
          <w:rStyle w:val="VerbatimChar"/>
        </w:rPr>
        <w:t xml:space="preserve">```julia</w:t>
      </w:r>
    </w:p>
    <w:p>
      <w:pPr>
        <w:pStyle w:val="FirstParagraph"/>
      </w:pPr>
      <w:r>
        <w:t xml:space="preserve">is</w:t>
      </w:r>
      <w:r>
        <w:t xml:space="preserve"> </w:t>
      </w:r>
      <w:hyperlink r:id="rId27">
        <w:r>
          <w:rPr>
            <w:rStyle w:val="Hyperlink"/>
          </w:rPr>
          <w:t xml:space="preserve">source code</w:t>
        </w:r>
      </w:hyperlink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will not run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You should change these blocks to complete the lab, filling in blanks and adding code as needed.</w:t>
      </w:r>
    </w:p>
    <w:p>
      <w:pPr>
        <w:numPr>
          <w:ilvl w:val="0"/>
          <w:numId w:val="1003"/>
        </w:numPr>
        <w:pStyle w:val="Compact"/>
      </w:pPr>
      <w:r>
        <w:t xml:space="preserve">To make it a cell that you can run, add the brackets</w:t>
      </w:r>
    </w:p>
    <w:p>
      <w:pPr>
        <w:pStyle w:val="FirstParagraph"/>
      </w:pPr>
      <w:r>
        <w:t xml:space="preserve">Changes you are expected to make are marked as follows: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is an instruction.</w:t>
            </w:r>
          </w:p>
        </w:tc>
      </w:tr>
    </w:tbl>
    <w:bookmarkEnd w:id="31"/>
    <w:bookmarkStart w:id="33" w:name="getting-help"/>
    <w:p>
      <w:pPr>
        <w:pStyle w:val="Heading2"/>
      </w:pPr>
      <w:r>
        <w:t xml:space="preserve">1.3 Getting help</w:t>
      </w:r>
    </w:p>
    <w:p>
      <w:pPr>
        <w:pStyle w:val="FirstParagraph"/>
      </w:pPr>
      <w:r>
        <w:t xml:space="preserve">You may find the following Quarto documentation pages helpful:</w:t>
      </w:r>
    </w:p>
    <w:p>
      <w:pPr>
        <w:numPr>
          <w:ilvl w:val="0"/>
          <w:numId w:val="1004"/>
        </w:numPr>
        <w:pStyle w:val="Compact"/>
      </w:pPr>
      <w:hyperlink r:id="rId27">
        <w:r>
          <w:rPr>
            <w:rStyle w:val="Hyperlink"/>
          </w:rPr>
          <w:t xml:space="preserve">Using Julia</w:t>
        </w:r>
      </w:hyperlink>
    </w:p>
    <w:p>
      <w:pPr>
        <w:numPr>
          <w:ilvl w:val="0"/>
          <w:numId w:val="1004"/>
        </w:numPr>
        <w:pStyle w:val="Compact"/>
      </w:pPr>
      <w:hyperlink r:id="rId32">
        <w:r>
          <w:rPr>
            <w:rStyle w:val="Hyperlink"/>
          </w:rPr>
          <w:t xml:space="preserve">Markdown Basic</w:t>
        </w:r>
      </w:hyperlink>
    </w:p>
    <w:p>
      <w:pPr>
        <w:pStyle w:val="FirstParagraph"/>
      </w:pPr>
      <w:r>
        <w:t xml:space="preserve">Ask questions in class or post them on the Lab02 discussion on Canvas.</w:t>
      </w:r>
      <w:r>
        <w:t xml:space="preserve"> </w:t>
      </w:r>
      <w:r>
        <w:t xml:space="preserve">The sections of this lab are numbered, so refer to the number when asking questions on Canvas to make it easier for us to help you.</w:t>
      </w:r>
    </w:p>
    <w:bookmarkEnd w:id="33"/>
    <w:bookmarkEnd w:id="34"/>
    <w:bookmarkStart w:id="40" w:name="setup"/>
    <w:p>
      <w:pPr>
        <w:pStyle w:val="Heading1"/>
      </w:pPr>
      <w:r>
        <w:t xml:space="preserve">2. Setup</w:t>
      </w:r>
    </w:p>
    <w:bookmarkStart w:id="35" w:name="clone-the-respository"/>
    <w:p>
      <w:pPr>
        <w:pStyle w:val="Heading2"/>
      </w:pPr>
      <w:r>
        <w:t xml:space="preserve">2.1 Clone the respository</w:t>
      </w:r>
    </w:p>
    <w:p>
      <w:pPr>
        <w:pStyle w:val="FirstParagraph"/>
      </w:pPr>
      <w:r>
        <w:t xml:space="preserve">First, you’ll need to clone this repository to your computer.</w:t>
      </w:r>
      <w:r>
        <w:t xml:space="preserve"> </w:t>
      </w:r>
      <w:r>
        <w:t xml:space="preserve">As with Lab 01, I recommend to use GitHub Desktop or the built-in Git support in VS Code.</w:t>
      </w:r>
      <w:r>
        <w:t xml:space="preserve"> </w:t>
      </w:r>
      <w:r>
        <w:t xml:space="preserve">Remember to use the link from Canvas (</w:t>
      </w:r>
      <w:r>
        <w:rPr>
          <w:rStyle w:val="VerbatimChar"/>
        </w:rPr>
        <w:t xml:space="preserve">classroom.github.com/...</w:t>
      </w:r>
      <w:r>
        <w:t xml:space="preserve">).</w:t>
      </w:r>
    </w:p>
    <w:bookmarkEnd w:id="35"/>
    <w:bookmarkStart w:id="37" w:name="install-required-packages"/>
    <w:p>
      <w:pPr>
        <w:pStyle w:val="Heading2"/>
      </w:pPr>
      <w:r>
        <w:t xml:space="preserve">2.2 Install required packages</w:t>
      </w:r>
    </w:p>
    <w:p>
      <w:pPr>
        <w:numPr>
          <w:ilvl w:val="0"/>
          <w:numId w:val="1005"/>
        </w:numPr>
        <w:pStyle w:val="Compact"/>
      </w:pPr>
      <w:r>
        <w:t xml:space="preserve">In VS Code, open the command palette (Windows:</w:t>
      </w:r>
      <w:r>
        <w:t xml:space="preserve"> </w:t>
      </w:r>
      <w:r>
        <w:rPr>
          <w:rStyle w:val="VerbatimChar"/>
        </w:rPr>
        <w:t xml:space="preserve">Ctrl+Shift+P</w:t>
      </w:r>
      <w:r>
        <w:t xml:space="preserve">, Mac:</w:t>
      </w:r>
      <w:r>
        <w:t xml:space="preserve"> </w:t>
      </w:r>
      <w:r>
        <w:rPr>
          <w:rStyle w:val="VerbatimChar"/>
        </w:rPr>
        <w:t xml:space="preserve">Cmd+Shift+P</w:t>
      </w:r>
      <w:r>
        <w:t xml:space="preserve">) and select</w:t>
      </w:r>
      <w:r>
        <w:t xml:space="preserve"> </w:t>
      </w:r>
      <w:r>
        <w:rPr>
          <w:rStyle w:val="VerbatimChar"/>
        </w:rPr>
        <w:t xml:space="preserve">Julia: Start REPL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the package manager.</w:t>
      </w:r>
    </w:p>
    <w:p>
      <w:pPr>
        <w:numPr>
          <w:ilvl w:val="0"/>
          <w:numId w:val="1005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activate .</w:t>
      </w:r>
      <w:r>
        <w:t xml:space="preserve"> </w:t>
      </w:r>
      <w:r>
        <w:t xml:space="preserve">to activate the project environment.</w:t>
      </w:r>
    </w:p>
    <w:p>
      <w:pPr>
        <w:numPr>
          <w:ilvl w:val="0"/>
          <w:numId w:val="1005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to install the required packages. This may take a moment.</w:t>
      </w:r>
      <w:r>
        <w:rPr>
          <w:rStyle w:val="FootnoteReference"/>
        </w:rPr>
        <w:footnoteReference w:id="36"/>
      </w:r>
    </w:p>
    <w:bookmarkEnd w:id="37"/>
    <w:bookmarkStart w:id="38" w:name="using-statement"/>
    <w:p>
      <w:pPr>
        <w:pStyle w:val="Heading2"/>
      </w:pPr>
      <w:r>
        <w:t xml:space="preserve">2.3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In Julia we say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to import a package.</w:t>
      </w:r>
      <w:r>
        <w:t xml:space="preserve"> </w:t>
      </w:r>
      <w:r>
        <w:t xml:space="preserve">Typically we want to do this as early as possible in a script or notebook.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DataFramesMeta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StatsBase</w:t>
      </w:r>
      <w:r>
        <w:rPr>
          <w:rStyle w:val="NormalTok"/>
        </w:rPr>
        <w:t xml:space="preserve">: mean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p>
      <w:pPr>
        <w:pStyle w:val="FirstParagraph"/>
      </w:pPr>
      <w:r>
        <w:t xml:space="preserve">That this is a code block code and will run.</w:t>
      </w:r>
      <w:r>
        <w:t xml:space="preserve"> </w:t>
      </w:r>
      <w:r>
        <w:t xml:space="preserve">If you have not yet installed the packages, you will see an error message.</w:t>
      </w:r>
      <w:r>
        <w:t xml:space="preserve"> </w:t>
      </w:r>
      <w:r>
        <w:t xml:space="preserve">Don’t change this block – see instructions to install and instantiate.</w:t>
      </w:r>
    </w:p>
    <w:bookmarkEnd w:id="38"/>
    <w:bookmarkStart w:id="39" w:name="check"/>
    <w:p>
      <w:pPr>
        <w:pStyle w:val="Heading2"/>
      </w:pPr>
      <w:r>
        <w:t xml:space="preserve">2.4 Check</w:t>
      </w:r>
    </w:p>
    <w:p>
      <w:pPr>
        <w:pStyle w:val="FirstParagraph"/>
      </w:pPr>
      <w:r>
        <w:t xml:space="preserve">To make sure everything is working, you should open the command palette and select</w:t>
      </w:r>
      <w:r>
        <w:t xml:space="preserve"> </w:t>
      </w:r>
      <w:r>
        <w:rPr>
          <w:rStyle w:val="VerbatimChar"/>
        </w:rPr>
        <w:t xml:space="preserve">Quarto: Render HTML</w:t>
      </w:r>
      <w:r>
        <w:t xml:space="preserve">.</w:t>
      </w:r>
      <w:r>
        <w:t xml:space="preserve"> </w:t>
      </w:r>
      <w:r>
        <w:t xml:space="preserve">This will generate a HTML file from this notebook.</w:t>
      </w:r>
      <w:r>
        <w:t xml:space="preserve"> </w:t>
      </w:r>
      <w:r>
        <w:t xml:space="preserve">This is a good way to check that everything is working before you start editing code.</w:t>
      </w:r>
    </w:p>
    <w:bookmarkEnd w:id="39"/>
    <w:bookmarkEnd w:id="40"/>
    <w:bookmarkStart w:id="60" w:name="reading-data"/>
    <w:p>
      <w:pPr>
        <w:pStyle w:val="Heading1"/>
      </w:pPr>
      <w:r>
        <w:t xml:space="preserve">3. Reading data</w:t>
      </w:r>
    </w:p>
    <w:p>
      <w:pPr>
        <w:pStyle w:val="FirstParagraph"/>
      </w:pPr>
      <w:r>
        <w:t xml:space="preserve">We will use the</w:t>
      </w:r>
      <w:r>
        <w:t xml:space="preserve"> </w:t>
      </w:r>
      <w:r>
        <w:rPr>
          <w:rStyle w:val="VerbatimChar"/>
        </w:rPr>
        <w:t xml:space="preserve">CSV.jl</w:t>
      </w:r>
      <w:r>
        <w:t xml:space="preserve"> </w:t>
      </w:r>
      <w:r>
        <w:t xml:space="preserve">package to read in our data.</w:t>
      </w:r>
      <w:r>
        <w:t xml:space="preserve"> </w:t>
      </w:r>
      <w:r>
        <w:t xml:space="preserve">First, let’s define the file name</w:t>
      </w:r>
    </w:p>
    <w:bookmarkStart w:id="41" w:name="annotated-cell-2"/>
    <w:p>
      <w:pPr>
        <w:pStyle w:val="SourceCode"/>
      </w:pPr>
      <w:r>
        <w:rPr>
          <w:rStyle w:val="NormalTok"/>
        </w:rPr>
        <w:t xml:space="preserve">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"data/tidesandcurrents-8638610-1928-NAVD-GMT-metric.csv"</w:t>
      </w:r>
      <w:r>
        <w:rPr>
          <w:rStyle w:val="NormalTok"/>
        </w:rPr>
        <w:t xml:space="preserve">;</w:t>
      </w:r>
    </w:p>
    <w:bookmarkEnd w:id="41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Recall the semi-colon at the end of the line suppresses output. This is a good habit to get into when defining variables.</w:t>
      </w:r>
    </w:p>
    <w:p>
      <w:pPr>
        <w:pStyle w:val="FirstParagraph"/>
      </w:pPr>
      <w:r>
        <w:t xml:space="preserve">Next, we will use the</w:t>
      </w:r>
      <w:r>
        <w:t xml:space="preserve"> </w:t>
      </w:r>
      <w:r>
        <w:rPr>
          <w:rStyle w:val="VerbatimChar"/>
        </w:rPr>
        <w:t xml:space="preserve">CSV.jl</w:t>
      </w:r>
      <w:r>
        <w:t xml:space="preserve"> </w:t>
      </w:r>
      <w:r>
        <w:t xml:space="preserve">package to read in the data.</w:t>
      </w:r>
    </w:p>
    <w:bookmarkStart w:id="42" w:name="annotated-cell-3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bookmarkEnd w:id="42"/>
    <w:p>
      <w:pPr>
        <w:pStyle w:val="DefinitionTerm"/>
      </w:pPr>
      <w:r>
        <w:t xml:space="preserve">Line 1</w:t>
      </w:r>
    </w:p>
    <w:p>
      <w:pPr>
        <w:pStyle w:val="Definition"/>
      </w:pPr>
      <w:r>
        <w:rPr>
          <w:rStyle w:val="VerbatimChar"/>
        </w:rPr>
        <w:t xml:space="preserve">CSV.read</w:t>
      </w:r>
      <w:r>
        <w:t xml:space="preserve"> </w:t>
      </w:r>
      <w:r>
        <w:t xml:space="preserve">is a function that takes two arguments: the file name and the type of object to read the data into. In this case, we want a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rPr>
          <w:rStyle w:val="VerbatimChar"/>
        </w:rPr>
        <w:t xml:space="preserve">first</w:t>
      </w:r>
      <w:r>
        <w:t xml:space="preserve"> </w:t>
      </w:r>
      <w:r>
        <w:t xml:space="preserve">is a function that takes two arguments: the object to look at and the number of items to display. In this case, we want to look at the first 5 rows of the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FirstParagraph"/>
      </w:pPr>
      <w:r>
        <w:t xml:space="preserve">This data comes from the NOAA Tides and Currents website, specifically for a station at Sewells Point, VA for the year 1928.</w:t>
      </w:r>
      <w:r>
        <w:t xml:space="preserve"> </w:t>
      </w:r>
      <w:r>
        <w:t xml:space="preserve">NAVD refers to the North American Vertical Datum, which is a reference point for measuring sea level, and GMT refers to Greenwich Mean Time, which is the time zone used in the data (rather than local time).</w:t>
      </w:r>
    </w:p>
    <w:bookmarkStart w:id="45" w:name="dates"/>
    <w:p>
      <w:pPr>
        <w:pStyle w:val="Heading2"/>
      </w:pPr>
      <w:r>
        <w:t xml:space="preserve">3.1 Dates</w:t>
      </w:r>
    </w:p>
    <w:p>
      <w:pPr>
        <w:pStyle w:val="FirstParagraph"/>
      </w:pPr>
      <w:r>
        <w:t xml:space="preserve">We can see that our DataFrame has five columns, the first of which is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.</w:t>
      </w:r>
      <w:r>
        <w:t xml:space="preserve"> </w:t>
      </w:r>
      <w:r>
        <w:t xml:space="preserve">However, the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 </w:t>
      </w:r>
      <w:r>
        <w:t xml:space="preserve">column is being parsed as a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.</w:t>
      </w:r>
      <w:r>
        <w:t xml:space="preserve"> </w:t>
      </w:r>
      <w:r>
        <w:t xml:space="preserve">We want it to be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 from the</w:t>
      </w:r>
      <w:r>
        <w:t xml:space="preserve"> </w:t>
      </w:r>
      <w:r>
        <w:rPr>
          <w:rStyle w:val="VerbatimChar"/>
        </w:rPr>
        <w:t xml:space="preserve">Dates</w:t>
      </w:r>
      <w:r>
        <w:t xml:space="preserve"> </w:t>
      </w:r>
      <w:r>
        <w:t xml:space="preserve">package.</w:t>
      </w:r>
      <w:r>
        <w:t xml:space="preserve"> </w:t>
      </w:r>
      <w:r>
        <w:t xml:space="preserve">To do that, we need to tell Julia how the dates are formatted.</w:t>
      </w:r>
      <w:r>
        <w:t xml:space="preserve"> </w:t>
      </w:r>
      <w:r>
        <w:t xml:space="preserve">We could then manually convert, but</w:t>
      </w:r>
      <w:r>
        <w:t xml:space="preserve"> </w:t>
      </w:r>
      <w:r>
        <w:rPr>
          <w:rStyle w:val="VerbatimChar"/>
        </w:rPr>
        <w:t xml:space="preserve">CSV.read</w:t>
      </w:r>
      <w:r>
        <w:t xml:space="preserve"> </w:t>
      </w:r>
      <w:r>
        <w:t xml:space="preserve">has a kewyord argument that we can use</w:t>
      </w:r>
    </w:p>
    <w:bookmarkStart w:id="43" w:name="annotated-cell-4"/>
    <w:p>
      <w:pPr>
        <w:pStyle w:val="SourceCode"/>
      </w:pPr>
      <w:r>
        <w:rPr>
          <w:rStyle w:val="NormalTok"/>
        </w:rPr>
        <w:t xml:space="preserve">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DataFrame; dateformat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date_format)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43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is a string that tells Julia how the dates are formatted. For example,</w:t>
      </w:r>
      <w:r>
        <w:t xml:space="preserve"> </w:t>
      </w:r>
      <w:r>
        <w:rPr>
          <w:rStyle w:val="VerbatimChar"/>
        </w:rPr>
        <w:t xml:space="preserve">1928-01-01 00:00</w:t>
      </w:r>
      <w:r>
        <w:t xml:space="preserve">. See the</w:t>
      </w:r>
      <w:r>
        <w:t xml:space="preserve"> </w:t>
      </w:r>
      <w:hyperlink r:id="rId44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for more information.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rPr>
          <w:rStyle w:val="VerbatimChar"/>
        </w:rPr>
        <w:t xml:space="preserve">dateformat</w:t>
      </w:r>
      <w:r>
        <w:t xml:space="preserve"> </w:t>
      </w:r>
      <w:r>
        <w:t xml:space="preserve">is a</w:t>
      </w:r>
      <w:r>
        <w:t xml:space="preserve"> </w:t>
      </w:r>
      <w:r>
        <w:rPr>
          <w:iCs/>
          <w:i/>
        </w:rPr>
        <w:t xml:space="preserve">keyword argument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date_format</w:t>
      </w:r>
      <w:r>
        <w:t xml:space="preserve"> </w:t>
      </w:r>
      <w:r>
        <w:t xml:space="preserve">is a variable whose value is</w:t>
      </w:r>
      <w:r>
        <w:t xml:space="preserve"> </w:t>
      </w:r>
      <w:r>
        <w:rPr>
          <w:rStyle w:val="VerbatimChar"/>
        </w:rPr>
        <w:t xml:space="preserve">"yyyy-mm-dd HH:MM"</w:t>
      </w:r>
      <w:r>
        <w:t xml:space="preserve">. We could equivalently write</w:t>
      </w:r>
      <w:r>
        <w:t xml:space="preserve"> </w:t>
      </w:r>
      <w:r>
        <w:rPr>
          <w:rStyle w:val="VerbatimChar"/>
        </w:rPr>
        <w:t xml:space="preserve">dateformat="yyyy-mm-dd HH:MM"</w:t>
      </w:r>
      <w:r>
        <w:t xml:space="preserve">.</w:t>
      </w:r>
    </w:p>
    <w:bookmarkEnd w:id="45"/>
    <w:bookmarkStart w:id="49" w:name="water-levels"/>
    <w:p>
      <w:pPr>
        <w:pStyle w:val="Heading2"/>
      </w:pPr>
      <w:r>
        <w:t xml:space="preserve">3.2 Water levels</w:t>
      </w:r>
    </w:p>
    <w:p>
      <w:pPr>
        <w:pStyle w:val="FirstParagraph"/>
      </w:pPr>
      <w:r>
        <w:t xml:space="preserve">The next column is</w:t>
      </w:r>
      <w:r>
        <w:t xml:space="preserve"> </w:t>
      </w:r>
      <w:r>
        <w:t xml:space="preserve">“</w:t>
      </w:r>
      <w:r>
        <w:t xml:space="preserve">Water Level</w:t>
      </w:r>
      <w:r>
        <w:t xml:space="preserve">”</w:t>
      </w:r>
      <w:r>
        <w:t xml:space="preserve">, which is the height of the water above the reference point (NAVD) in meters.</w:t>
      </w:r>
      <w:r>
        <w:t xml:space="preserve"> </w:t>
      </w:r>
      <w:r>
        <w:t xml:space="preserve">We can see that this is being parsed as a float, which is what we want 👍.</w:t>
      </w:r>
      <w:r>
        <w:t xml:space="preserve"> </w:t>
      </w:r>
      <w:r>
        <w:t xml:space="preserve">However, you have to</w:t>
      </w:r>
      <w:r>
        <w:t xml:space="preserve"> </w:t>
      </w:r>
      <w:r>
        <w:rPr>
          <w:iCs/>
          <w:i/>
        </w:rPr>
        <w:t xml:space="preserve">know</w:t>
      </w:r>
      <w:r>
        <w:t xml:space="preserve"> </w:t>
      </w:r>
      <w:r>
        <w:t xml:space="preserve">that the data is in meters rather than inches or feet or something else.</w:t>
      </w:r>
      <w:r>
        <w:t xml:space="preserve"> </w:t>
      </w:r>
      <w:r>
        <w:t xml:space="preserve">To explicitly add information about the units, we can use the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package.</w:t>
      </w:r>
    </w:p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.*=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u</w:t>
      </w:r>
      <w:r>
        <w:rPr>
          <w:rStyle w:val="StringTok"/>
        </w:rPr>
        <w:t xml:space="preserve">"m"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Code explanation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6"/>
              </w:numPr>
              <w:pStyle w:val="Compact"/>
            </w:pPr>
            <w:r>
              <w:t xml:space="preserve">We select the column with water levels using its name. The</w:t>
            </w:r>
            <w:r>
              <w:t xml:space="preserve"> </w:t>
            </w:r>
            <w:r>
              <w:rPr>
                <w:rStyle w:val="VerbatimChar"/>
              </w:rPr>
              <w:t xml:space="preserve">!</w:t>
            </w:r>
            <w:r>
              <w:t xml:space="preserve"> </w:t>
            </w:r>
            <w:r>
              <w:t xml:space="preserve">means</w:t>
            </w:r>
            <w:r>
              <w:t xml:space="preserve"> </w:t>
            </w:r>
            <w:r>
              <w:t xml:space="preserve">“</w:t>
            </w:r>
            <w:r>
              <w:t xml:space="preserve">all rows</w:t>
            </w:r>
            <w:r>
              <w:t xml:space="preserve">”</w:t>
            </w:r>
            <w:r>
              <w:t xml:space="preserve">. Thus,</w:t>
            </w:r>
            <w:r>
              <w:t xml:space="preserve"> </w:t>
            </w:r>
            <w:r>
              <w:rPr>
                <w:rStyle w:val="VerbatimChar"/>
              </w:rPr>
              <w:t xml:space="preserve">df[!, " Water Level"]</w:t>
            </w:r>
            <w:r>
              <w:t xml:space="preserve"> </w:t>
            </w:r>
            <w:r>
              <w:t xml:space="preserve">is a vector of all the water levels stored.</w:t>
            </w:r>
          </w:p>
          <w:p>
            <w:pPr>
              <w:numPr>
                <w:ilvl w:val="0"/>
                <w:numId w:val="1006"/>
              </w:numPr>
              <w:pStyle w:val="Compact"/>
            </w:pPr>
            <w:r>
              <w:rPr>
                <w:rStyle w:val="VerbatimChar"/>
              </w:rPr>
              <w:t xml:space="preserve">*=</w:t>
            </w:r>
            <w:r>
              <w:t xml:space="preserve"> </w:t>
            </w:r>
            <w:r>
              <w:t xml:space="preserve">means to multiply in place. For example, if</w:t>
            </w:r>
            <w:r>
              <w:t xml:space="preserve"> </w:t>
            </w:r>
            <w:r>
              <w:rPr>
                <w:rStyle w:val="VerbatimChar"/>
              </w:rPr>
              <w:t xml:space="preserve">x=2</w:t>
            </w:r>
            <w:r>
              <w:t xml:space="preserve"> </w:t>
            </w:r>
            <w:r>
              <w:t xml:space="preserve">then</w:t>
            </w:r>
            <w:r>
              <w:t xml:space="preserve"> </w:t>
            </w:r>
            <w:r>
              <w:rPr>
                <w:rStyle w:val="VerbatimChar"/>
              </w:rPr>
              <w:t xml:space="preserve">x *= 2</w:t>
            </w:r>
            <w:r>
              <w:t xml:space="preserve"> </w:t>
            </w:r>
            <w:r>
              <w:t xml:space="preserve">is equivalent to</w:t>
            </w:r>
            <w:r>
              <w:t xml:space="preserve"> </w:t>
            </w:r>
            <w:r>
              <w:rPr>
                <w:rStyle w:val="VerbatimChar"/>
              </w:rPr>
              <w:t xml:space="preserve">x = x * 2</w:t>
            </w:r>
            <w:r>
              <w:t xml:space="preserve">.</w:t>
            </w:r>
            <w:r>
              <w:t xml:space="preserve"> </w:t>
            </w:r>
            <w:r>
              <w:rPr>
                <w:rStyle w:val="VerbatimChar"/>
              </w:rPr>
              <w:t xml:space="preserve">.*=</w:t>
            </w:r>
            <w:r>
              <w:t xml:space="preserve"> </w:t>
            </w:r>
            <w:r>
              <w:t xml:space="preserve">is a vector syntax, meaning do the multiplication to each element of the vector individually.</w:t>
            </w:r>
          </w:p>
          <w:p>
            <w:pPr>
              <w:numPr>
                <w:ilvl w:val="0"/>
                <w:numId w:val="1006"/>
              </w:numPr>
              <w:pStyle w:val="Compact"/>
            </w:pPr>
            <w:r>
              <w:rPr>
                <w:rStyle w:val="VerbatimChar"/>
              </w:rPr>
              <w:t xml:space="preserve">1u"m"</w:t>
            </w:r>
            <w:r>
              <w:t xml:space="preserve"> </w:t>
            </w:r>
            <w:r>
              <w:t xml:space="preserve">is a</w:t>
            </w:r>
            <w:r>
              <w:t xml:space="preserve"> </w:t>
            </w:r>
            <w:r>
              <w:rPr>
                <w:rStyle w:val="VerbatimChar"/>
              </w:rPr>
              <w:t xml:space="preserve">Unitful</w:t>
            </w:r>
            <w:r>
              <w:t xml:space="preserve"> </w:t>
            </w:r>
            <w:r>
              <w:t xml:space="preserve">object that represents 1 meter. We multiply the water levels by this to convert them to meters.</w:t>
            </w:r>
          </w:p>
        </w:tc>
      </w:tr>
    </w:tbl>
    <w:bookmarkEnd w:id="49"/>
    <w:bookmarkStart w:id="53" w:name="subsetting-and-renaming"/>
    <w:p>
      <w:pPr>
        <w:pStyle w:val="Heading2"/>
      </w:pPr>
      <w:r>
        <w:t xml:space="preserve">3.3 Subsetting and renaming</w:t>
      </w:r>
    </w:p>
    <w:p>
      <w:pPr>
        <w:pStyle w:val="FirstParagraph"/>
      </w:pPr>
      <w:r>
        <w:t xml:space="preserve">We want to only keep the first two (for more on the other three, see</w:t>
      </w:r>
      <w:r>
        <w:t xml:space="preserve"> </w:t>
      </w:r>
      <w:hyperlink r:id="rId50">
        <w:r>
          <w:rPr>
            <w:rStyle w:val="Hyperlink"/>
          </w:rPr>
          <w:t xml:space="preserve">here</w:t>
        </w:r>
      </w:hyperlink>
      <w:r>
        <w:t xml:space="preserve">).</w:t>
      </w:r>
      <w:r>
        <w:t xml:space="preserve"> </w:t>
      </w:r>
      <w:r>
        <w:t xml:space="preserve">We can also rename the columns to make them easier to work with (spaces in variable names are annoying).</w:t>
      </w:r>
      <w:r>
        <w:t xml:space="preserve"> </w:t>
      </w:r>
      <w:r>
        <w:t xml:space="preserve">To do this, we use the</w:t>
      </w:r>
      <w:r>
        <w:t xml:space="preserve"> </w:t>
      </w:r>
      <w:r>
        <w:rPr>
          <w:rStyle w:val="VerbatimChar"/>
        </w:rPr>
        <w:t xml:space="preserve">@rename</w:t>
      </w:r>
      <w:r>
        <w:t xml:space="preserve"> </w:t>
      </w:r>
      <w:r>
        <w:t xml:space="preserve">function:</w:t>
      </w:r>
    </w:p>
    <w:bookmarkStart w:id="51" w:name="annotated-cell-6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@rename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"Date Time"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);</w:t>
      </w:r>
    </w:p>
    <w:bookmarkEnd w:id="51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The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is needed here because the right hand side is a string, not a symbol.</w:t>
      </w:r>
    </w:p>
    <w:p>
      <w:pPr>
        <w:pStyle w:val="FirstParagraph"/>
      </w:pPr>
      <w:r>
        <w:t xml:space="preserve">Then, we can use the</w:t>
      </w:r>
      <w:r>
        <w:t xml:space="preserve"> </w:t>
      </w:r>
      <w:r>
        <w:rPr>
          <w:rStyle w:val="VerbatimChar"/>
        </w:rPr>
        <w:t xml:space="preserve">@select</w:t>
      </w:r>
      <w:r>
        <w:t xml:space="preserve"> </w:t>
      </w:r>
      <w:r>
        <w:t xml:space="preserve">function to do select the columns we want.</w:t>
      </w:r>
      <w:r>
        <w:t xml:space="preserve"> </w:t>
      </w:r>
      <w:r>
        <w:t xml:space="preserve">Notice how the first argument to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 </w:t>
      </w:r>
      <w:r>
        <w:t xml:space="preserve">and the subsequent arguments are column names.</w:t>
      </w:r>
      <w:r>
        <w:t xml:space="preserve"> </w:t>
      </w:r>
      <w:r>
        <w:t xml:space="preserve">Notice also that our column names were strings (</w:t>
      </w:r>
      <w:r>
        <w:rPr>
          <w:rStyle w:val="VerbatimChar"/>
        </w:rPr>
        <w:t xml:space="preserve">"Date Time"</w:t>
      </w:r>
      <w:r>
        <w:t xml:space="preserve">), but we can also use symbols (</w:t>
      </w:r>
      <w:r>
        <w:rPr>
          <w:rStyle w:val="VerbatimChar"/>
        </w:rPr>
        <w:t xml:space="preserve">:datetime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@select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For more on what</w:t>
      </w:r>
      <w:r>
        <w:t xml:space="preserve"> </w:t>
      </w:r>
      <w:r>
        <w:rPr>
          <w:rStyle w:val="VerbatimChar"/>
        </w:rPr>
        <w:t xml:space="preserve">DataFramesMeta</w:t>
      </w:r>
      <w:r>
        <w:t xml:space="preserve"> </w:t>
      </w:r>
      <w:r>
        <w:t xml:space="preserve">can do, see</w:t>
      </w:r>
      <w:r>
        <w:t xml:space="preserve"> </w:t>
      </w:r>
      <w:hyperlink r:id="rId52">
        <w:r>
          <w:rPr>
            <w:rStyle w:val="Hyperlink"/>
          </w:rPr>
          <w:t xml:space="preserve">this Tweet</w:t>
        </w:r>
      </w:hyperlink>
      <w:r>
        <w:t xml:space="preserve">.</w:t>
      </w:r>
    </w:p>
    <w:bookmarkEnd w:id="53"/>
    <w:bookmarkStart w:id="56" w:name="writing-a-function"/>
    <w:p>
      <w:pPr>
        <w:pStyle w:val="Heading2"/>
      </w:pPr>
      <w:r>
        <w:t xml:space="preserve">3.4 Writing a function</w:t>
      </w:r>
    </w:p>
    <w:p>
      <w:pPr>
        <w:pStyle w:val="FirstParagraph"/>
      </w:pPr>
      <w:r>
        <w:t xml:space="preserve">We have just done a lot of work to read in our data.</w:t>
      </w:r>
      <w:r>
        <w:t xml:space="preserve"> </w:t>
      </w:r>
      <w:r>
        <w:t xml:space="preserve">However, this just gives us data for the year 1928.</w:t>
      </w:r>
      <w:r>
        <w:t xml:space="preserve"> </w:t>
      </w:r>
      <w:r>
        <w:t xml:space="preserve">In fact, we have a CSV file for each year 1928-2021.</w:t>
      </w:r>
      <w:r>
        <w:t xml:space="preserve"> </w:t>
      </w:r>
      <w:r>
        <w:t xml:space="preserve">To make sure we can read them each in excatly the same way, we want to write a function.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(year)</w:t>
      </w:r>
      <w:r>
        <w:rPr>
          <w:rStyle w:val="StringTok"/>
        </w:rPr>
        <w:t xml:space="preserve">-NAVD-GMT-metric.csv"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don't change this</w:t>
      </w:r>
      <w:r>
        <w:br/>
      </w:r>
      <w:r>
        <w:rPr>
          <w:rStyle w:val="NormalTok"/>
        </w:rPr>
        <w:t xml:space="preserve">    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don't change this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your code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 read in the CSV file and save as a dataframe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 convert the "Date Time" column to a DateTime object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3. convert the " Water Level" column to meters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4. rename the columns to "datetime" and "lsl"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5. select the "datetime" and "lsl" columns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6. return the dataframe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print out the first 10 rows of the 1928 data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out this function.</w:t>
            </w:r>
            <w:r>
              <w:t xml:space="preserve"> </w:t>
            </w:r>
            <w:r>
              <w:t xml:space="preserve">Your function should implement the six steps indicated in the instructions.</w:t>
            </w:r>
            <w:r>
              <w:t xml:space="preserve"> </w:t>
            </w:r>
            <w:r>
              <w:t xml:space="preserve">When it’s done, convert it to a live code block with: ```{julia}.</w:t>
            </w:r>
            <w:r>
              <w:t xml:space="preserve"> </w:t>
            </w:r>
            <w:r>
              <w:t xml:space="preserve">When you run this code, it should print out the first 10 rows of the 1928 data.</w:t>
            </w:r>
            <w:r>
              <w:t xml:space="preserve"> </w:t>
            </w:r>
            <w:r>
              <w:t xml:space="preserve">Make sure they look right!</w:t>
            </w:r>
          </w:p>
        </w:tc>
      </w:tr>
    </w:tbl>
    <w:bookmarkEnd w:id="56"/>
    <w:bookmarkStart w:id="59" w:name="combining-files"/>
    <w:p>
      <w:pPr>
        <w:pStyle w:val="Heading2"/>
      </w:pPr>
      <w:r>
        <w:t xml:space="preserve">3.5 Combining files</w:t>
      </w:r>
    </w:p>
    <w:p>
      <w:pPr>
        <w:pStyle w:val="FirstParagraph"/>
      </w:pPr>
      <w:r>
        <w:t xml:space="preserve">Now that we have the ability to read in the data corresponding to any year, we can read them all in and combine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  <w:r>
        <w:t xml:space="preserve"> </w:t>
      </w:r>
      <w:r>
        <w:t xml:space="preserve">First, let’s read in all the data.</w:t>
      </w:r>
    </w:p>
    <w:p>
      <w:pPr>
        <w:pStyle w:val="SourceCode"/>
      </w:pPr>
      <w:r>
        <w:rPr>
          <w:rStyle w:val="NormalTok"/>
        </w:rPr>
        <w:t xml:space="preserve">years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1928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2021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all the years of data</w:t>
      </w:r>
      <w:r>
        <w:br/>
      </w:r>
      <w:r>
        <w:rPr>
          <w:rStyle w:val="NormalTok"/>
        </w:rPr>
        <w:t xml:space="preserve">annual_data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1. call the read_tides function on each year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(annual_data) </w:t>
      </w:r>
      <w:r>
        <w:rPr>
          <w:rStyle w:val="CommentTok"/>
        </w:rPr>
        <w:t xml:space="preserve"># should be a vector of DataFrames</w:t>
      </w:r>
    </w:p>
    <w:p>
      <w:pPr>
        <w:pStyle w:val="FirstParagraph"/>
      </w:pPr>
      <w:r>
        <w:t xml:space="preserve">Next, we’ll use the</w:t>
      </w:r>
      <w:r>
        <w:t xml:space="preserve"> </w:t>
      </w:r>
      <w:r>
        <w:rPr>
          <w:rStyle w:val="VerbatimChar"/>
        </w:rPr>
        <w:t xml:space="preserve">vcat</w:t>
      </w:r>
      <w:r>
        <w:t xml:space="preserve"> </w:t>
      </w:r>
      <w:r>
        <w:t xml:space="preserve">function to combine all the data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vcat</w:t>
      </w:r>
      <w:r>
        <w:rPr>
          <w:rStyle w:val="NormalTok"/>
        </w:rPr>
        <w:t xml:space="preserve">(annual_data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don't change this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last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check the last 5 years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Call the</w:t>
            </w:r>
            <w:r>
              <w:t xml:space="preserve"> </w:t>
            </w:r>
            <w:r>
              <w:rPr>
                <w:rStyle w:val="VerbatimChar"/>
              </w:rPr>
              <w:t xml:space="preserve">read_tides</w:t>
            </w:r>
            <w:r>
              <w:t xml:space="preserve"> </w:t>
            </w:r>
            <w:r>
              <w:t xml:space="preserve">function on each year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Turn the two code blocks in this section into live code blocks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Run the code and make sure the first 5 rows and last five rows look right</w:t>
            </w:r>
          </w:p>
        </w:tc>
      </w:tr>
    </w:tbl>
    <w:bookmarkEnd w:id="59"/>
    <w:bookmarkEnd w:id="60"/>
    <w:bookmarkStart w:id="96" w:name="plots"/>
    <w:p>
      <w:pPr>
        <w:pStyle w:val="Heading1"/>
      </w:pPr>
      <w:r>
        <w:t xml:space="preserve">4. Plots</w:t>
      </w:r>
    </w:p>
    <w:p>
      <w:pPr>
        <w:pStyle w:val="FirstParagraph"/>
      </w:pPr>
      <w:r>
        <w:t xml:space="preserve">Now we’ll create some plots of our data.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We have followed a bad naming convention for a good reason.</w:t>
            </w:r>
            <w:r>
              <w:t xml:space="preserve"> </w:t>
            </w:r>
            <w:r>
              <w:t xml:space="preserve">When we read in the 1928 data we called it</w:t>
            </w:r>
            <w:r>
              <w:t xml:space="preserve"> </w:t>
            </w:r>
            <w:r>
              <w:rPr>
                <w:rStyle w:val="VerbatimChar"/>
              </w:rPr>
              <w:t xml:space="preserve">df</w:t>
            </w:r>
            <w:r>
              <w:t xml:space="preserve">.</w:t>
            </w:r>
            <w:r>
              <w:t xml:space="preserve"> </w:t>
            </w:r>
            <w:r>
              <w:t xml:space="preserve">When we read in the data from all years, we also called it</w:t>
            </w:r>
            <w:r>
              <w:t xml:space="preserve"> </w:t>
            </w:r>
            <w:r>
              <w:rPr>
                <w:rStyle w:val="VerbatimChar"/>
              </w:rPr>
              <w:t xml:space="preserve">df</w:t>
            </w:r>
            <w:r>
              <w:t xml:space="preserve"> </w:t>
            </w:r>
            <w:r>
              <w:t xml:space="preserve">(which will overwrite the old definition of the variable).</w:t>
            </w:r>
            <w:r>
              <w:t xml:space="preserve"> </w:t>
            </w:r>
            <w:r>
              <w:t xml:space="preserve">This is normally bad practice!</w:t>
            </w:r>
            <w:r>
              <w:t xml:space="preserve"> </w:t>
            </w:r>
            <w:r>
              <w:rPr>
                <w:bCs/>
                <w:b/>
              </w:rPr>
              <w:t xml:space="preserve">We want use clear, descriptive, and specific variable names!</w:t>
            </w:r>
            <w:r>
              <w:t xml:space="preserve"> </w:t>
            </w:r>
            <w:r>
              <w:t xml:space="preserve">However, it means that we can make plots here using the 1928 data.</w:t>
            </w:r>
            <w:r>
              <w:t xml:space="preserve"> </w:t>
            </w:r>
            <w:r>
              <w:t xml:space="preserve">Once you are able to read in the data for all years, these plots will automatically update to show data for all years.</w:t>
            </w:r>
            <w:r>
              <w:t xml:space="preserve"> </w:t>
            </w:r>
            <w:r>
              <w:t xml:space="preserve">If you want to rename these variables, please go for it!</w:t>
            </w:r>
          </w:p>
        </w:tc>
      </w:tr>
    </w:tbl>
    <w:bookmarkStart w:id="68" w:name="time-series-plot"/>
    <w:p>
      <w:pPr>
        <w:pStyle w:val="Heading2"/>
      </w:pPr>
      <w:r>
        <w:t xml:space="preserve">4.1 Time series plot</w:t>
      </w:r>
    </w:p>
    <w:p>
      <w:pPr>
        <w:pStyle w:val="FirstParagraph"/>
      </w:pPr>
      <w:r>
        <w:t xml:space="preserve">Let’s start with a simple time series plot of the water levels.</w:t>
      </w:r>
      <w:r>
        <w:t xml:space="preserve"> </w:t>
      </w:r>
      <w:r>
        <w:t xml:space="preserve">Our data is collected hourly, so we have a lot of data points!</w:t>
      </w:r>
      <w:r>
        <w:t xml:space="preserve"> </w:t>
      </w:r>
      <w:r>
        <w:t xml:space="preserve">Still, we can plot them all.</w:t>
      </w:r>
    </w:p>
    <w:bookmarkStart w:id="63" w:name="annotated-cell-12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df.datetime,</w:t>
      </w:r>
      <w:r>
        <w:br/>
      </w:r>
      <w:r>
        <w:rPr>
          <w:rStyle w:val="NormalTok"/>
        </w:rPr>
        <w:t xml:space="preserve">    df.lsl;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63"/>
    <w:p>
      <w:pPr>
        <w:pStyle w:val="DefinitionTerm"/>
      </w:pPr>
      <w:r>
        <w:t xml:space="preserve">Line 5</w:t>
      </w:r>
    </w:p>
    <w:p>
      <w:pPr>
        <w:pStyle w:val="Definition"/>
      </w:pPr>
      <w:r>
        <w:t xml:space="preserve">Because we are using the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pacakge, the y-axis label will automatically include the units!!!</w:t>
      </w:r>
    </w:p>
    <w:p>
      <w:pPr>
        <w:pStyle w:val="DefinitionTerm"/>
      </w:pPr>
      <w:r>
        <w:t xml:space="preserve">Line 6</w:t>
      </w:r>
    </w:p>
    <w:p>
      <w:pPr>
        <w:pStyle w:val="Definition"/>
      </w:pPr>
      <w:r>
        <w:t xml:space="preserve">We are only plotting one</w:t>
      </w:r>
      <w:r>
        <w:t xml:space="preserve"> </w:t>
      </w:r>
      <w:r>
        <w:t xml:space="preserve">“</w:t>
      </w:r>
      <w:r>
        <w:t xml:space="preserve">series</w:t>
      </w:r>
      <w:r>
        <w:t xml:space="preserve">”</w:t>
      </w:r>
      <w:r>
        <w:t xml:space="preserve"> </w:t>
      </w:r>
      <w:r>
        <w:t xml:space="preserve">(data set), so we don’t need a legend.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template_files/figure-docx/cell-11-output-1.sv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8"/>
    <w:bookmarkStart w:id="75" w:name="zooming-in"/>
    <w:p>
      <w:pPr>
        <w:pStyle w:val="Heading2"/>
      </w:pPr>
      <w:r>
        <w:t xml:space="preserve">4.2 Zooming in</w:t>
      </w:r>
    </w:p>
    <w:p>
      <w:pPr>
        <w:pStyle w:val="FirstParagraph"/>
      </w:pPr>
      <w:r>
        <w:t xml:space="preserve">Focusing on the entire time series means we can’t dig into the details.</w:t>
      </w:r>
      <w:r>
        <w:t xml:space="preserve"> </w:t>
      </w:r>
      <w:r>
        <w:t xml:space="preserve">Let’s zoom in on a single month (October 1928) using the</w:t>
      </w:r>
      <w:r>
        <w:t xml:space="preserve"> </w:t>
      </w:r>
      <w:r>
        <w:rPr>
          <w:rStyle w:val="VerbatimChar"/>
        </w:rPr>
        <w:t xml:space="preserve">@subset</w:t>
      </w:r>
      <w:r>
        <w:t xml:space="preserve"> </w:t>
      </w:r>
      <w:r>
        <w:t xml:space="preserve">function.</w:t>
      </w:r>
    </w:p>
    <w:bookmarkStart w:id="69" w:name="annotated-cell-13"/>
    <w:p>
      <w:pPr>
        <w:pStyle w:val="SourceCode"/>
      </w:pPr>
      <w:r>
        <w:rPr>
          <w:rStyle w:val="NormalTok"/>
        </w:rPr>
        <w:t xml:space="preserve">t_start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t_end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@subset</w:t>
      </w:r>
      <w:r>
        <w:rPr>
          <w:rStyle w:val="NormalTok"/>
        </w:rPr>
        <w:t xml:space="preserve">(df, t_start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t_end)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(df_month,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69"/>
    <w:p>
      <w:pPr>
        <w:pStyle w:val="FirstParagraph"/>
      </w:pPr>
      <w:r>
        <w:t xml:space="preserve">Now we can plot it as above.</w:t>
      </w:r>
    </w:p>
    <w:bookmarkStart w:id="70" w:name="annotated-cell-14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df_month.datetime,</w:t>
      </w:r>
      <w:r>
        <w:br/>
      </w:r>
      <w:r>
        <w:rPr>
          <w:rStyle w:val="NormalTok"/>
        </w:rPr>
        <w:t xml:space="preserve">    df_month.lsl;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70"/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template_files/figure-docx/cell-13-output-1.sv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5"/>
    <w:bookmarkStart w:id="76" w:name="instructions-2"/>
    <w:p>
      <w:pPr>
        <w:pStyle w:val="Heading2"/>
      </w:pPr>
      <w:r>
        <w:t xml:space="preserve">4.3 Instructions</w:t>
      </w:r>
    </w:p>
    <w:p>
      <w:pPr>
        <w:pStyle w:val="FirstParagraph"/>
      </w:pPr>
      <w:r>
        <w:t xml:space="preserve">Change the start and end dates to plot March 2020.</w:t>
      </w:r>
      <w:r>
        <w:t xml:space="preserve"> </w:t>
      </w:r>
      <w:r>
        <w:t xml:space="preserve">What do you notice?</w:t>
      </w:r>
      <w:r>
        <w:t xml:space="preserve"> </w:t>
      </w:r>
      <w:r>
        <w:t xml:space="preserve">:::</w:t>
      </w:r>
    </w:p>
    <w:bookmarkEnd w:id="76"/>
    <w:bookmarkStart w:id="86" w:name="groupby"/>
    <w:p>
      <w:pPr>
        <w:pStyle w:val="Heading2"/>
      </w:pPr>
      <w:r>
        <w:t xml:space="preserve">4.4 Groupby</w:t>
      </w:r>
    </w:p>
    <w:p>
      <w:pPr>
        <w:pStyle w:val="FirstParagraph"/>
      </w:pPr>
      <w:r>
        <w:t xml:space="preserve">An essential idea in working with tabular data (and other data formats) is</w:t>
      </w:r>
      <w:r>
        <w:t xml:space="preserve"> </w:t>
      </w:r>
      <w:r>
        <w:t xml:space="preserve">“</w:t>
      </w:r>
      <w:r>
        <w:t xml:space="preserve">split-apply-combine</w:t>
      </w:r>
      <w:r>
        <w:t xml:space="preserve">”</w:t>
      </w:r>
      <w:r>
        <w:t xml:space="preserve">.</w:t>
      </w:r>
      <w:r>
        <w:t xml:space="preserve"> </w:t>
      </w:r>
      <w:r>
        <w:t xml:space="preserve">Essentially: split the data into groups, apply some function to each group, and then combine the results.</w:t>
      </w:r>
    </w:p>
    <w:p>
      <w:pPr>
        <w:pStyle w:val="BodyText"/>
      </w:pPr>
      <w:r>
        <w:t xml:space="preserve">We can use this workflow to answer an interesting question: what is the average water level for each month?</w:t>
      </w:r>
      <w:r>
        <w:rPr>
          <w:rStyle w:val="FootnoteReference"/>
        </w:rPr>
        <w:footnoteReference w:id="77"/>
      </w:r>
    </w:p>
    <w:bookmarkStart w:id="78" w:name="annotated-cell-15"/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.(df.datetime)</w:t>
      </w:r>
      <w:r>
        <w:br/>
      </w:r>
      <w:r>
        <w:rPr>
          <w:rStyle w:val="FunctionTok"/>
        </w:rPr>
        <w:t xml:space="preserve">dropmissing!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NormalTok"/>
        </w:rPr>
        <w:t xml:space="preserve">df_bymonth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groupby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month)</w:t>
      </w:r>
      <w:r>
        <w:br/>
      </w:r>
      <w:r>
        <w:rPr>
          <w:rStyle w:val="NormalTok"/>
        </w:rPr>
        <w:t xml:space="preserve">df_climatology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combine</w:t>
      </w:r>
      <w:r>
        <w:rPr>
          <w:rStyle w:val="NormalTok"/>
        </w:rPr>
        <w:t xml:space="preserve">(df_bymonth,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mean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lsl_avg);</w:t>
      </w:r>
    </w:p>
    <w:bookmarkEnd w:id="78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creates a new column called</w:t>
      </w:r>
      <w:r>
        <w:t xml:space="preserve"> </w:t>
      </w:r>
      <w:r>
        <w:rPr>
          <w:rStyle w:val="VerbatimChar"/>
        </w:rPr>
        <w:t xml:space="preserve">:month</w:t>
      </w:r>
      <w:r>
        <w:t xml:space="preserve"> </w:t>
      </w:r>
      <w:r>
        <w:t xml:space="preserve">that is the month of each observation.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This will discard any rows in</w:t>
      </w:r>
      <w:r>
        <w:t xml:space="preserve"> </w:t>
      </w:r>
      <w:r>
        <w:rPr>
          <w:rStyle w:val="VerbatimChar"/>
        </w:rPr>
        <w:t xml:space="preserve">df</w:t>
      </w:r>
      <w:r>
        <w:t xml:space="preserve"> </w:t>
      </w:r>
      <w:r>
        <w:t xml:space="preserve">that have a missing value of</w:t>
      </w:r>
      <w:r>
        <w:t xml:space="preserve"> </w:t>
      </w:r>
      <w:r>
        <w:rPr>
          <w:rStyle w:val="VerbatimChar"/>
        </w:rPr>
        <w:t xml:space="preserve">:lsl</w:t>
      </w:r>
      <w:r>
        <w:t xml:space="preserve">. This is necessary because the</w:t>
      </w:r>
      <w:r>
        <w:t xml:space="preserve"> </w:t>
      </w:r>
      <w:r>
        <w:rPr>
          <w:rStyle w:val="VerbatimChar"/>
        </w:rPr>
        <w:t xml:space="preserve">mean</w:t>
      </w:r>
      <w:r>
        <w:t xml:space="preserve"> </w:t>
      </w:r>
      <w:r>
        <w:t xml:space="preserve">function will return</w:t>
      </w:r>
      <w:r>
        <w:t xml:space="preserve"> </w:t>
      </w:r>
      <w:r>
        <w:rPr>
          <w:rStyle w:val="VerbatimChar"/>
        </w:rPr>
        <w:t xml:space="preserve">missing</w:t>
      </w:r>
      <w:r>
        <w:t xml:space="preserve"> </w:t>
      </w:r>
      <w:r>
        <w:t xml:space="preserve">if any of the values are missing.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This creates a</w:t>
      </w:r>
      <w:r>
        <w:t xml:space="preserve"> </w:t>
      </w:r>
      <w:r>
        <w:rPr>
          <w:rStyle w:val="VerbatimChar"/>
        </w:rPr>
        <w:t xml:space="preserve">GroupedDataFrame</w:t>
      </w:r>
      <w:r>
        <w:t xml:space="preserve"> </w:t>
      </w:r>
      <w:r>
        <w:t xml:space="preserve">object that contains all the data grouped by month.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This takes the grouped data and calculates the mean of the</w:t>
      </w:r>
      <w:r>
        <w:t xml:space="preserve"> </w:t>
      </w:r>
      <w:r>
        <w:rPr>
          <w:rStyle w:val="VerbatimChar"/>
        </w:rPr>
        <w:t xml:space="preserve">:lsl</w:t>
      </w:r>
      <w:r>
        <w:t xml:space="preserve"> </w:t>
      </w:r>
      <w:r>
        <w:t xml:space="preserve">column for each month. The general syntax is</w:t>
      </w:r>
      <w:r>
        <w:t xml:space="preserve"> </w:t>
      </w:r>
      <w:r>
        <w:rPr>
          <w:rStyle w:val="VerbatimChar"/>
        </w:rPr>
        <w:t xml:space="preserve">combine(grouped_df, :column =&gt; function)</w:t>
      </w:r>
      <w:r>
        <w:t xml:space="preserve">.</w:t>
      </w:r>
    </w:p>
    <w:p>
      <w:pPr>
        <w:pStyle w:val="FirstParagraph"/>
      </w:pPr>
      <w:r>
        <w:t xml:space="preserve">We can now plot the climatology.</w:t>
      </w:r>
    </w:p>
    <w:bookmarkStart w:id="79" w:name="annotated-cell-16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df_climatology.month,</w:t>
      </w:r>
      <w:r>
        <w:br/>
      </w:r>
      <w:r>
        <w:rPr>
          <w:rStyle w:val="NormalTok"/>
        </w:rPr>
        <w:t xml:space="preserve">    df_climatology.lsl_avg;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 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79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can use</w:t>
      </w:r>
      <w:r>
        <w:t xml:space="preserve"> </w:t>
      </w:r>
      <w:r>
        <w:rPr>
          <w:rStyle w:val="VerbatimChar"/>
        </w:rPr>
        <w:t xml:space="preserve">df.colname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df[!, :colname]</w:t>
      </w:r>
      <w:r>
        <w:t xml:space="preserve">. The latter is more robust but the former is easier to type.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Setting</w:t>
      </w:r>
      <w:r>
        <w:t xml:space="preserve"> </w:t>
      </w:r>
      <w:r>
        <w:rPr>
          <w:rStyle w:val="VerbatimChar"/>
        </w:rPr>
        <w:t xml:space="preserve">xticks</w:t>
      </w:r>
      <w:r>
        <w:t xml:space="preserve"> </w:t>
      </w:r>
      <w:r>
        <w:t xml:space="preserve">will set the x-axis ticks to the values in the vector. We can use this to make sure the x-axis ticks are labeled with the months.</w:t>
      </w:r>
    </w:p>
    <w:p>
      <w:pPr>
        <w:pStyle w:val="DefinitionTerm"/>
      </w:pPr>
      <w:r>
        <w:t xml:space="preserve">Line 7</w:t>
      </w:r>
    </w:p>
    <w:p>
      <w:pPr>
        <w:pStyle w:val="Definition"/>
      </w:pPr>
      <w:r>
        <w:t xml:space="preserve">We can set the line width to make the plot easier to read.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template_files/figure-docx/cell-15-output-1.sv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8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Use the full dataset to plot the climatology using data from all years</w:t>
            </w:r>
          </w:p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Next, create a new Markdown header (</w:t>
            </w:r>
            <w:r>
              <w:rPr>
                <w:rStyle w:val="VerbatimChar"/>
              </w:rPr>
              <w:t xml:space="preserve">## Groupby Day of Year</w:t>
            </w:r>
            <w:r>
              <w:t xml:space="preserve">) plot the average water level for each day of the year (</w:t>
            </w:r>
            <w:r>
              <w:rPr>
                <w:rStyle w:val="VerbatimChar"/>
              </w:rPr>
              <w:t xml:space="preserve">Dates.dayofyear</w:t>
            </w:r>
            <w:r>
              <w:t xml:space="preserve"> </w:t>
            </w:r>
            <w:r>
              <w:t xml:space="preserve">from 1 to 366).</w:t>
            </w:r>
          </w:p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What do you notice?</w:t>
            </w:r>
          </w:p>
        </w:tc>
      </w:tr>
    </w:tbl>
    <w:bookmarkEnd w:id="86"/>
    <w:bookmarkStart w:id="94" w:name="boxplot"/>
    <w:p>
      <w:pPr>
        <w:pStyle w:val="Heading2"/>
      </w:pPr>
      <w:r>
        <w:t xml:space="preserve">4.5 Boxplot</w:t>
      </w:r>
    </w:p>
    <w:p>
      <w:pPr>
        <w:pStyle w:val="FirstParagraph"/>
      </w:pPr>
      <w:r>
        <w:t xml:space="preserve">Boxplots are ways to visualize the distribution of data.</w:t>
      </w:r>
      <w:r>
        <w:t xml:space="preserve"> </w:t>
      </w:r>
      <w:r>
        <w:t xml:space="preserve">They show the median (the line in the middle of the box), the interquartile range (the box), and the range of the data (the whiskers).</w:t>
      </w:r>
      <w:r>
        <w:t xml:space="preserve"> </w:t>
      </w:r>
      <w:r>
        <w:t xml:space="preserve">Outliers are shown as dots.</w:t>
      </w:r>
      <w:r>
        <w:t xml:space="preserve"> </w:t>
      </w:r>
      <w:r>
        <w:t xml:space="preserve">We can use the</w:t>
      </w:r>
      <w:r>
        <w:t xml:space="preserve"> </w:t>
      </w:r>
      <w:r>
        <w:rPr>
          <w:rStyle w:val="VerbatimChar"/>
        </w:rPr>
        <w:t xml:space="preserve">boxplot</w:t>
      </w:r>
      <w:r>
        <w:t xml:space="preserve"> </w:t>
      </w:r>
      <w:r>
        <w:t xml:space="preserve">function from the</w:t>
      </w:r>
      <w:r>
        <w:t xml:space="preserve"> </w:t>
      </w:r>
      <w:r>
        <w:rPr>
          <w:rStyle w:val="VerbatimChar"/>
        </w:rPr>
        <w:t xml:space="preserve">StatsPlots.jl</w:t>
      </w:r>
      <w:r>
        <w:t xml:space="preserve"> </w:t>
      </w:r>
      <w:r>
        <w:t xml:space="preserve">package:</w:t>
      </w:r>
    </w:p>
    <w:bookmarkStart w:id="87" w:name="annotated-cell-17"/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month],</w:t>
      </w:r>
      <w:r>
        <w:br/>
      </w:r>
      <w:r>
        <w:rPr>
          <w:rStyle w:val="NormalTok"/>
        </w:rPr>
        <w:t xml:space="preserve">    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lsl];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"Climatology"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87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are back to</w:t>
      </w:r>
      <w:r>
        <w:t xml:space="preserve"> </w:t>
      </w:r>
      <w:r>
        <w:rPr>
          <w:rStyle w:val="VerbatimChar"/>
        </w:rPr>
        <w:t xml:space="preserve">df[!, :colname]</w:t>
      </w:r>
      <w:r>
        <w:t xml:space="preserve"> </w:t>
      </w:r>
      <w:r>
        <w:t xml:space="preserve">syntax. Both work!</w:t>
      </w:r>
    </w:p>
    <w:p>
      <w:pPr>
        <w:pStyle w:val="DefinitionTerm"/>
      </w:pPr>
      <w:r>
        <w:t xml:space="preserve">Line 8</w:t>
      </w:r>
    </w:p>
    <w:p>
      <w:pPr>
        <w:pStyle w:val="Definition"/>
      </w:pPr>
      <w:r>
        <w:t xml:space="preserve">We can set the title using the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 </w:t>
      </w:r>
      <w:r>
        <w:t xml:space="preserve">keyword argument.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89" name="Picture"/>
            <a:graphic>
              <a:graphicData uri="http://schemas.openxmlformats.org/drawingml/2006/picture">
                <pic:pic>
                  <pic:nvPicPr>
                    <pic:cNvPr descr="template_files/figure-docx/cell-16-output-1.sv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9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Repeat this analysis grouping by year rather than month.</w:t>
            </w:r>
            <w:r>
              <w:t xml:space="preserve"> </w:t>
            </w:r>
            <w:r>
              <w:t xml:space="preserve">What do you notice from the boxplots?</w:t>
            </w:r>
          </w:p>
        </w:tc>
      </w:tr>
    </w:tbl>
    <w:bookmarkEnd w:id="94"/>
    <w:bookmarkStart w:id="95" w:name="submission"/>
    <w:p>
      <w:pPr>
        <w:pStyle w:val="Heading2"/>
      </w:pPr>
      <w:r>
        <w:t xml:space="preserve">4.6 Submission</w:t>
      </w:r>
    </w:p>
    <w:p>
      <w:pPr>
        <w:numPr>
          <w:ilvl w:val="0"/>
          <w:numId w:val="1009"/>
        </w:numPr>
        <w:pStyle w:val="Compact"/>
      </w:pPr>
      <w:r>
        <w:t xml:space="preserve">Remove all of the instructions blocks (from the first</w:t>
      </w:r>
      <w:r>
        <w:t xml:space="preserve"> </w:t>
      </w:r>
      <w:r>
        <w:rPr>
          <w:rStyle w:val="VerbatimChar"/>
        </w:rPr>
        <w:t xml:space="preserve">::: {.callout-important}</w:t>
      </w:r>
      <w:r>
        <w:t xml:space="preserve"> </w:t>
      </w:r>
      <w:r>
        <w:t xml:space="preserve">to the following</w:t>
      </w:r>
      <w:r>
        <w:t xml:space="preserve"> </w:t>
      </w:r>
      <w:r>
        <w:rPr>
          <w:rStyle w:val="VerbatimChar"/>
        </w:rPr>
        <w:t xml:space="preserve">:::</w:t>
      </w:r>
      <w:r>
        <w:t xml:space="preserve">)</w:t>
      </w:r>
    </w:p>
    <w:p>
      <w:pPr>
        <w:numPr>
          <w:ilvl w:val="0"/>
          <w:numId w:val="1009"/>
        </w:numPr>
        <w:pStyle w:val="Compact"/>
      </w:pPr>
      <w:r>
        <w:t xml:space="preserve">Remove all of the text I have written (including this block) so that</w:t>
      </w:r>
      <w:r>
        <w:t xml:space="preserve"> </w:t>
      </w:r>
      <w:r>
        <w:rPr>
          <w:iCs/>
          <w:i/>
        </w:rPr>
        <w:t xml:space="preserve">all the text is your own</w:t>
      </w:r>
      <w:r>
        <w:t xml:space="preserve">. This makes it much easier to grade and to follow what is yours.</w:t>
      </w:r>
    </w:p>
    <w:p>
      <w:pPr>
        <w:numPr>
          <w:ilvl w:val="1"/>
          <w:numId w:val="1010"/>
        </w:numPr>
        <w:pStyle w:val="Compact"/>
      </w:pPr>
      <w:r>
        <w:t xml:space="preserve">Do not delete any of the headers</w:t>
      </w:r>
    </w:p>
    <w:p>
      <w:pPr>
        <w:numPr>
          <w:ilvl w:val="2"/>
          <w:numId w:val="1011"/>
        </w:numPr>
        <w:pStyle w:val="Compact"/>
      </w:pPr>
      <w:r>
        <w:t xml:space="preserve">Thus, the beginning of the document should have the headers for the overview, exploratory modeling, instructions, and getting help, but these should not have any text</w:t>
      </w:r>
    </w:p>
    <w:p>
      <w:pPr>
        <w:numPr>
          <w:ilvl w:val="2"/>
          <w:numId w:val="1011"/>
        </w:numPr>
        <w:pStyle w:val="Compact"/>
      </w:pPr>
      <w:r>
        <w:t xml:space="preserve">This will ensure all documents have the same numbering to make it easier to troubleshoot any issues</w:t>
      </w:r>
    </w:p>
    <w:p>
      <w:pPr>
        <w:numPr>
          <w:ilvl w:val="1"/>
          <w:numId w:val="1010"/>
        </w:numPr>
        <w:pStyle w:val="Compact"/>
      </w:pPr>
      <w:r>
        <w:t xml:space="preserve">Do not delete any of the code</w:t>
      </w:r>
    </w:p>
    <w:p>
      <w:pPr>
        <w:numPr>
          <w:ilvl w:val="0"/>
          <w:numId w:val="1009"/>
        </w:numPr>
        <w:pStyle w:val="Compact"/>
      </w:pPr>
      <w:r>
        <w:t xml:space="preserve">Make sure your code runs (click the</w:t>
      </w:r>
      <w:r>
        <w:t xml:space="preserve"> </w:t>
      </w:r>
      <w:r>
        <w:t xml:space="preserve">“</w:t>
      </w:r>
      <w:r>
        <w:t xml:space="preserve">Run All</w:t>
      </w:r>
      <w:r>
        <w:t xml:space="preserve">”</w:t>
      </w:r>
      <w:r>
        <w:t xml:space="preserve"> </w:t>
      </w:r>
      <w:r>
        <w:t xml:space="preserve">button in the command palette)</w:t>
      </w:r>
    </w:p>
    <w:p>
      <w:pPr>
        <w:numPr>
          <w:ilvl w:val="0"/>
          <w:numId w:val="1009"/>
        </w:numPr>
        <w:pStyle w:val="Compact"/>
      </w:pPr>
      <w:r>
        <w:t xml:space="preserve">Render your notebook as HTML (optional)</w:t>
      </w:r>
    </w:p>
    <w:p>
      <w:pPr>
        <w:numPr>
          <w:ilvl w:val="1"/>
          <w:numId w:val="1012"/>
        </w:numPr>
        <w:pStyle w:val="Compact"/>
      </w:pPr>
      <w:r>
        <w:t xml:space="preserve">Open comand palette</w:t>
      </w:r>
    </w:p>
    <w:p>
      <w:pPr>
        <w:numPr>
          <w:ilvl w:val="1"/>
          <w:numId w:val="1012"/>
        </w:numPr>
        <w:pStyle w:val="Compact"/>
      </w:pPr>
      <w:r>
        <w:t xml:space="preserve">Select</w:t>
      </w:r>
      <w:r>
        <w:t xml:space="preserve"> </w:t>
      </w:r>
      <w:r>
        <w:rPr>
          <w:rStyle w:val="VerbatimChar"/>
        </w:rPr>
        <w:t xml:space="preserve">Quarto: Render HTML</w:t>
      </w:r>
    </w:p>
    <w:p>
      <w:pPr>
        <w:numPr>
          <w:ilvl w:val="1"/>
          <w:numId w:val="1012"/>
        </w:numPr>
        <w:pStyle w:val="Compact"/>
      </w:pPr>
      <w:r>
        <w:t xml:space="preserve">This will create a website that you can view in your browser. The address will be in your terminal like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Watching files for changes</w:t>
      </w:r>
      <w:r>
        <w:br/>
      </w:r>
      <w:r>
        <w:rPr>
          <w:rStyle w:val="VerbatimChar"/>
        </w:rPr>
        <w:t xml:space="preserve">Browse at http://localhost:4200/labs/lab02/instructions.html</w:t>
      </w:r>
    </w:p>
    <w:p>
      <w:pPr>
        <w:numPr>
          <w:ilvl w:val="1"/>
          <w:numId w:val="1013"/>
        </w:numPr>
        <w:pStyle w:val="Compact"/>
      </w:pPr>
      <w:r>
        <w:t xml:space="preserve">Make sure your notebook looks right in the browser.</w:t>
      </w:r>
    </w:p>
    <w:p>
      <w:pPr>
        <w:numPr>
          <w:ilvl w:val="0"/>
          <w:numId w:val="1009"/>
        </w:numPr>
        <w:pStyle w:val="Compact"/>
      </w:pPr>
      <w:r>
        <w:t xml:space="preserve">Render your hnotebook as DOCX (required)</w:t>
      </w:r>
    </w:p>
    <w:p>
      <w:pPr>
        <w:numPr>
          <w:ilvl w:val="1"/>
          <w:numId w:val="1014"/>
        </w:numPr>
        <w:pStyle w:val="Compact"/>
      </w:pPr>
      <w:r>
        <w:t xml:space="preserve">Open comand palette</w:t>
      </w:r>
    </w:p>
    <w:p>
      <w:pPr>
        <w:numPr>
          <w:ilvl w:val="1"/>
          <w:numId w:val="1014"/>
        </w:numPr>
        <w:pStyle w:val="Compact"/>
      </w:pPr>
      <w:r>
        <w:t xml:space="preserve">Select</w:t>
      </w:r>
      <w:r>
        <w:t xml:space="preserve"> </w:t>
      </w:r>
      <w:r>
        <w:rPr>
          <w:rStyle w:val="VerbatimChar"/>
        </w:rPr>
        <w:t xml:space="preserve">Quarto: Render DOCX</w:t>
      </w:r>
    </w:p>
    <w:p>
      <w:pPr>
        <w:numPr>
          <w:ilvl w:val="1"/>
          <w:numId w:val="1014"/>
        </w:numPr>
        <w:pStyle w:val="Compact"/>
      </w:pPr>
      <w:r>
        <w:t xml:space="preserve">It may give you a link to click on in order to download the file. Click it and it will be downloaded to your computer (probably in your Downloads folder)</w:t>
      </w:r>
    </w:p>
    <w:p>
      <w:pPr>
        <w:numPr>
          <w:ilvl w:val="0"/>
          <w:numId w:val="1009"/>
        </w:numPr>
        <w:pStyle w:val="Compact"/>
      </w:pPr>
      <w:r>
        <w:t xml:space="preserve">Submit the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file to Canvas.</w:t>
      </w:r>
    </w:p>
    <w:p>
      <w:pPr>
        <w:numPr>
          <w:ilvl w:val="1"/>
          <w:numId w:val="1015"/>
        </w:numPr>
        <w:pStyle w:val="Compact"/>
      </w:pPr>
      <w:r>
        <w:t xml:space="preserve">Proofread before you submit!</w:t>
      </w:r>
    </w:p>
    <w:bookmarkEnd w:id="95"/>
    <w:bookmarkEnd w:id="9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Julia precompiles packages when they are installed, and (to a lesser extent) when they are first used. The first time you use a package it may take a moment to load. This is normal, nothing to worry about, and rapidly improving.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 do a better job, we should separate out the long-term trend from the seasonal cycle. This is called de-trending and is a common technique in climate science. We can worry more about this later.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46" Target="media/rId46.png" /><Relationship Type="http://schemas.openxmlformats.org/officeDocument/2006/relationships/image" Id="rId67" Target="media/rId67.png" /><Relationship Type="http://schemas.openxmlformats.org/officeDocument/2006/relationships/image" Id="rId74" Target="media/rId74.png" /><Relationship Type="http://schemas.openxmlformats.org/officeDocument/2006/relationships/image" Id="rId83" Target="media/rId83.png" /><Relationship Type="http://schemas.openxmlformats.org/officeDocument/2006/relationships/image" Id="rId91" Target="media/rId91.png" /><Relationship Type="http://schemas.openxmlformats.org/officeDocument/2006/relationships/image" Id="rId64" Target="media/rId64.svgz" /><Relationship Type="http://schemas.openxmlformats.org/officeDocument/2006/relationships/image" Id="rId71" Target="media/rId71.svgz" /><Relationship Type="http://schemas.openxmlformats.org/officeDocument/2006/relationships/image" Id="rId80" Target="media/rId80.svgz" /><Relationship Type="http://schemas.openxmlformats.org/officeDocument/2006/relationships/image" Id="rId88" Target="media/rId88.svgz" /><Relationship Type="http://schemas.openxmlformats.org/officeDocument/2006/relationships/hyperlink" Id="rId50" Target="https://api.tidesandcurrents.noaa.gov/api/prod/responseHelp.html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44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32" Target="https://quarto.org/docs/authoring/markdown-basics.html" TargetMode="External" /><Relationship Type="http://schemas.openxmlformats.org/officeDocument/2006/relationships/hyperlink" Id="rId27" Target="https://quarto.org/docs/authoring/markdown-basics.html#source-code" TargetMode="External" /><Relationship Type="http://schemas.openxmlformats.org/officeDocument/2006/relationships/hyperlink" Id="rId26" Target="https://quarto.org/docs/computations/julia.html#code-blocks" TargetMode="External" /><Relationship Type="http://schemas.openxmlformats.org/officeDocument/2006/relationships/hyperlink" Id="rId52" Target="https://twitter.com/evalparse/status/141314267568806708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0" Target="https://api.tidesandcurrents.noaa.gov/api/prod/responseHelp.html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44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32" Target="https://quarto.org/docs/authoring/markdown-basics.html" TargetMode="External" /><Relationship Type="http://schemas.openxmlformats.org/officeDocument/2006/relationships/hyperlink" Id="rId27" Target="https://quarto.org/docs/authoring/markdown-basics.html#source-code" TargetMode="External" /><Relationship Type="http://schemas.openxmlformats.org/officeDocument/2006/relationships/hyperlink" Id="rId26" Target="https://quarto.org/docs/computations/julia.html#code-blocks" TargetMode="External" /><Relationship Type="http://schemas.openxmlformats.org/officeDocument/2006/relationships/hyperlink" Id="rId52" Target="https://twitter.com/evalparse/status/141314267568806708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02</dc:title>
  <dc:creator/>
  <cp:keywords/>
  <dcterms:created xsi:type="dcterms:W3CDTF">2023-10-20T03:09:51Z</dcterms:created>
  <dcterms:modified xsi:type="dcterms:W3CDTF">2023-10-20T03:09:51Z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dule">
    <vt:lpwstr>1</vt:lpwstr>
  </property>
  <property fmtid="{D5CDD505-2E9C-101B-9397-08002B2CF9AE}" pid="3" name="_quarto-va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categories">
    <vt:lpwstr/>
  </property>
  <property fmtid="{D5CDD505-2E9C-101B-9397-08002B2CF9AE}" pid="8" name="code-annotations">
    <vt:lpwstr>hover</vt:lpwstr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2023-09-01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jupyter">
    <vt:lpwstr>julia-1.9</vt:lpwstr>
  </property>
  <property fmtid="{D5CDD505-2E9C-101B-9397-08002B2CF9AE}" pid="15" name="kind">
    <vt:lpwstr>Lab</vt:lpwstr>
  </property>
  <property fmtid="{D5CDD505-2E9C-101B-9397-08002B2CF9AE}" pid="16" name="labels">
    <vt:lpwstr/>
  </property>
  <property fmtid="{D5CDD505-2E9C-101B-9397-08002B2CF9AE}" pid="17" name="subtitle">
    <vt:lpwstr>Working with tabular data in Julia</vt:lpwstr>
  </property>
  <property fmtid="{D5CDD505-2E9C-101B-9397-08002B2CF9AE}" pid="18" name="toc-title">
    <vt:lpwstr>Table of contents</vt:lpwstr>
  </property>
</Properties>
</file>