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46.png" ContentType="image/png"/>
  <Override PartName="/word/media/rId67.png" ContentType="image/png"/>
  <Override PartName="/word/media/rId74.png" ContentType="image/png"/>
  <Override PartName="/word/media/rId83.png" ContentType="image/png"/>
  <Override PartName="/word/media/rId91.png" ContentType="image/png"/>
  <Override PartName="/word/media/rId64.svgz" ContentType="image/svg+xml"/>
  <Override PartName="/word/media/rId71.svgz" ContentType="image/svg+xml"/>
  <Override PartName="/word/media/rId80.svgz" ContentType="image/svg+xml"/>
  <Override PartName="/word/media/rId88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</w:t>
      </w:r>
    </w:p>
    <w:p>
      <w:pPr>
        <w:pStyle w:val="Sub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tabular</w:t>
      </w:r>
      <w:r>
        <w:t xml:space="preserve"> </w:t>
      </w:r>
      <w:r>
        <w:t xml:space="preserve">data</w:t>
      </w:r>
      <w:r>
        <w:t xml:space="preserve"> </w:t>
      </w:r>
      <w:r>
        <w:t xml:space="preserve">in</w:t>
      </w:r>
      <w:r>
        <w:t xml:space="preserve"> </w:t>
      </w:r>
      <w:r>
        <w:t xml:space="preserve">Julia</w:t>
      </w:r>
    </w:p>
    <w:p>
      <w:pPr>
        <w:pStyle w:val="Date"/>
      </w:pPr>
      <w:r>
        <w:t xml:space="preserve">2023-09-01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4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bookmarkStart w:id="25" w:name="exploratory-modeling"/>
    <w:p>
      <w:pPr>
        <w:pStyle w:val="Heading2"/>
      </w:pPr>
      <w:r>
        <w:t xml:space="preserve">1.1 Exploratory modeling</w:t>
      </w:r>
    </w:p>
    <w:p>
      <w:pPr>
        <w:pStyle w:val="FirstParagraph"/>
      </w:pPr>
      <w:r>
        <w:t xml:space="preserve">Technically, what we are doing today is called</w:t>
      </w:r>
      <w:r>
        <w:t xml:space="preserve"> </w:t>
      </w:r>
      <w:r>
        <w:rPr>
          <w:iCs/>
          <w:i/>
        </w:rPr>
        <w:t xml:space="preserve">exploratory modeling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exploratory data analysis.</w:t>
      </w:r>
      <w:r>
        <w:t xml:space="preserve"> </w:t>
      </w:r>
      <w:r>
        <w:t xml:space="preserve">The latter is more common, but the former makes clear that all visualizations include some (usually implicit) conceptual model of the data.</w:t>
      </w:r>
      <w:r>
        <w:t xml:space="preserve"> </w:t>
      </w:r>
      <w:r>
        <w:t xml:space="preserve">You will find more resources if you search for</w:t>
      </w:r>
      <w:r>
        <w:t xml:space="preserve"> </w:t>
      </w:r>
      <w:r>
        <w:t xml:space="preserve">“</w:t>
      </w:r>
      <w:r>
        <w:t xml:space="preserve">exploratory data analysis</w:t>
      </w:r>
      <w:r>
        <w:t xml:space="preserve">”</w:t>
      </w:r>
      <w:r>
        <w:t xml:space="preserve">, however.</w:t>
      </w:r>
    </w:p>
    <w:bookmarkEnd w:id="25"/>
    <w:bookmarkStart w:id="31" w:name="how-to-use-this-template"/>
    <w:p>
      <w:pPr>
        <w:pStyle w:val="Heading2"/>
      </w:pPr>
      <w:r>
        <w:t xml:space="preserve">1.2 How to use this template</w:t>
      </w:r>
    </w:p>
    <w:p>
      <w:pPr>
        <w:pStyle w:val="FirstParagraph"/>
      </w:pPr>
      <w:r>
        <w:t xml:space="preserve">I have provided you with a lot of template code.</w:t>
      </w:r>
    </w:p>
    <w:p>
      <w:pPr>
        <w:pStyle w:val="BodyText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```{julia}</w:t>
      </w:r>
    </w:p>
    <w:p>
      <w:pPr>
        <w:pStyle w:val="FirstParagraph"/>
      </w:pPr>
      <w:r>
        <w:t xml:space="preserve">is a</w:t>
      </w:r>
      <w:r>
        <w:t xml:space="preserve"> </w:t>
      </w:r>
      <w:r>
        <w:t xml:space="preserve">“</w:t>
      </w:r>
      <w:r>
        <w:t xml:space="preserve">live</w:t>
      </w:r>
      <w:r>
        <w:t xml:space="preserve">”</w:t>
      </w:r>
      <w:r>
        <w:t xml:space="preserve"> </w:t>
      </w:r>
      <w:hyperlink r:id="rId26">
        <w:r>
          <w:rPr>
            <w:rStyle w:val="Hyperlink"/>
          </w:rPr>
          <w:t xml:space="preserve">code block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execute (run)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These blocks will automatically run when you render the document</w:t>
      </w:r>
    </w:p>
    <w:p>
      <w:pPr>
        <w:numPr>
          <w:ilvl w:val="0"/>
          <w:numId w:val="1002"/>
        </w:numPr>
        <w:pStyle w:val="Compact"/>
      </w:pPr>
      <w:r>
        <w:t xml:space="preserve">You can click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 </w:t>
      </w:r>
      <w:r>
        <w:t xml:space="preserve">to run the cell</w:t>
      </w:r>
    </w:p>
    <w:p>
      <w:pPr>
        <w:numPr>
          <w:ilvl w:val="0"/>
          <w:numId w:val="1002"/>
        </w:numPr>
        <w:pStyle w:val="Compact"/>
      </w:pPr>
      <w:r>
        <w:t xml:space="preserve">Make sure you understand what the code does and ask questions (in-person or on Canvas) if you don’t</w:t>
      </w:r>
    </w:p>
    <w:p>
      <w:pPr>
        <w:numPr>
          <w:ilvl w:val="0"/>
          <w:numId w:val="1002"/>
        </w:numPr>
        <w:pStyle w:val="Compact"/>
      </w:pPr>
      <w:r>
        <w:t xml:space="preserve">Do not change these blocks unless instructed</w:t>
      </w:r>
    </w:p>
    <w:p>
      <w:pPr>
        <w:pStyle w:val="FirstParagraph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```julia</w:t>
      </w:r>
    </w:p>
    <w:p>
      <w:pPr>
        <w:pStyle w:val="FirstParagraph"/>
      </w:pPr>
      <w:r>
        <w:t xml:space="preserve">is</w:t>
      </w:r>
      <w:r>
        <w:t xml:space="preserve"> </w:t>
      </w:r>
      <w:hyperlink r:id="rId27">
        <w:r>
          <w:rPr>
            <w:rStyle w:val="Hyperlink"/>
          </w:rPr>
          <w:t xml:space="preserve">source code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not run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You should change these blocks to complete the lab, filling in blanks and adding code as needed.</w:t>
      </w:r>
    </w:p>
    <w:p>
      <w:pPr>
        <w:numPr>
          <w:ilvl w:val="0"/>
          <w:numId w:val="1003"/>
        </w:numPr>
        <w:pStyle w:val="Compact"/>
      </w:pPr>
      <w:r>
        <w:t xml:space="preserve">To make it a cell that you can run, add the brackets</w:t>
      </w:r>
    </w:p>
    <w:p>
      <w:pPr>
        <w:pStyle w:val="FirstParagraph"/>
      </w:pPr>
      <w:r>
        <w:t xml:space="preserve">Changes you are expected to make are marked as follows: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an instruction.</w:t>
            </w:r>
          </w:p>
        </w:tc>
      </w:tr>
    </w:tbl>
    <w:bookmarkEnd w:id="31"/>
    <w:bookmarkStart w:id="33" w:name="getting-help"/>
    <w:p>
      <w:pPr>
        <w:pStyle w:val="Heading2"/>
      </w:pPr>
      <w:r>
        <w:t xml:space="preserve">1.3 Getting help</w:t>
      </w:r>
    </w:p>
    <w:p>
      <w:pPr>
        <w:pStyle w:val="FirstParagraph"/>
      </w:pPr>
      <w:r>
        <w:t xml:space="preserve">You may find the following Quarto documentation pages helpful:</w:t>
      </w:r>
    </w:p>
    <w:p>
      <w:pPr>
        <w:numPr>
          <w:ilvl w:val="0"/>
          <w:numId w:val="1004"/>
        </w:numPr>
        <w:pStyle w:val="Compact"/>
      </w:pPr>
      <w:hyperlink r:id="rId27">
        <w:r>
          <w:rPr>
            <w:rStyle w:val="Hyperlink"/>
          </w:rPr>
          <w:t xml:space="preserve">Using Julia</w:t>
        </w:r>
      </w:hyperlink>
    </w:p>
    <w:p>
      <w:pPr>
        <w:numPr>
          <w:ilvl w:val="0"/>
          <w:numId w:val="1004"/>
        </w:numPr>
        <w:pStyle w:val="Compact"/>
      </w:pPr>
      <w:hyperlink r:id="rId32">
        <w:r>
          <w:rPr>
            <w:rStyle w:val="Hyperlink"/>
          </w:rPr>
          <w:t xml:space="preserve">Markdown Basic</w:t>
        </w:r>
      </w:hyperlink>
    </w:p>
    <w:p>
      <w:pPr>
        <w:pStyle w:val="FirstParagraph"/>
      </w:pPr>
      <w:r>
        <w:t xml:space="preserve">Ask questions in class or post them on the Lab02 discussion on Canvas.</w:t>
      </w:r>
      <w:r>
        <w:t xml:space="preserve"> </w:t>
      </w:r>
      <w:r>
        <w:t xml:space="preserve">The sections of this lab are numbered, so refer to the number when asking questions on Canvas to make it easier for us to help you.</w:t>
      </w:r>
    </w:p>
    <w:bookmarkEnd w:id="33"/>
    <w:bookmarkEnd w:id="34"/>
    <w:bookmarkStart w:id="40" w:name="setup"/>
    <w:p>
      <w:pPr>
        <w:pStyle w:val="Heading1"/>
      </w:pPr>
      <w:r>
        <w:t xml:space="preserve">2. Setup</w:t>
      </w:r>
    </w:p>
    <w:bookmarkStart w:id="35" w:name="clone-the-respository"/>
    <w:p>
      <w:pPr>
        <w:pStyle w:val="Heading2"/>
      </w:pPr>
      <w:r>
        <w:t xml:space="preserve">2.1 Clone the respository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 Lab 01, I recommend to use GitHub Desktop or the built-in Git support in VS Code.</w:t>
      </w:r>
      <w:r>
        <w:t xml:space="preserve"> </w:t>
      </w:r>
      <w:r>
        <w:t xml:space="preserve">Remember to use the link from Canvas (</w:t>
      </w:r>
      <w:r>
        <w:rPr>
          <w:rStyle w:val="VerbatimChar"/>
        </w:rPr>
        <w:t xml:space="preserve">classroom.github.com/...</w:t>
      </w:r>
      <w:r>
        <w:t xml:space="preserve">).</w:t>
      </w:r>
    </w:p>
    <w:bookmarkEnd w:id="35"/>
    <w:bookmarkStart w:id="37" w:name="install-required-packages"/>
    <w:p>
      <w:pPr>
        <w:pStyle w:val="Heading2"/>
      </w:pPr>
      <w:r>
        <w:t xml:space="preserve">2.2 Install required packages</w:t>
      </w:r>
    </w:p>
    <w:p>
      <w:pPr>
        <w:numPr>
          <w:ilvl w:val="0"/>
          <w:numId w:val="1005"/>
        </w:numPr>
        <w:pStyle w:val="Compact"/>
      </w:pP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select</w:t>
      </w:r>
      <w:r>
        <w:t xml:space="preserve"> </w:t>
      </w:r>
      <w:r>
        <w:rPr>
          <w:rStyle w:val="VerbatimChar"/>
        </w:rPr>
        <w:t xml:space="preserve">Julia: Start REPL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required packages. This may take a moment.</w:t>
      </w:r>
      <w:r>
        <w:rPr>
          <w:rStyle w:val="FootnoteReference"/>
        </w:rPr>
        <w:footnoteReference w:id="36"/>
      </w:r>
    </w:p>
    <w:bookmarkEnd w:id="37"/>
    <w:bookmarkStart w:id="38" w:name="using-statement"/>
    <w:p>
      <w:pPr>
        <w:pStyle w:val="Heading2"/>
      </w:pPr>
      <w:r>
        <w:t xml:space="preserve">2.3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Typically we want to do this as early as possible in a script or notebook.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p>
      <w:pPr>
        <w:pStyle w:val="FirstParagraph"/>
      </w:pPr>
      <w:r>
        <w:t xml:space="preserve">That this is a code block code and will run.</w:t>
      </w:r>
      <w:r>
        <w:t xml:space="preserve"> </w:t>
      </w:r>
      <w:r>
        <w:t xml:space="preserve">If you have not yet installed the packages, you will see an error message.</w:t>
      </w:r>
      <w:r>
        <w:t xml:space="preserve"> </w:t>
      </w:r>
      <w:r>
        <w:t xml:space="preserve">Don’t change this block – see instructions to install and instantiate.</w:t>
      </w:r>
    </w:p>
    <w:bookmarkEnd w:id="38"/>
    <w:bookmarkStart w:id="39" w:name="check"/>
    <w:p>
      <w:pPr>
        <w:pStyle w:val="Heading2"/>
      </w:pPr>
      <w:r>
        <w:t xml:space="preserve">2.4 Check</w:t>
      </w:r>
    </w:p>
    <w:p>
      <w:pPr>
        <w:pStyle w:val="FirstParagraph"/>
      </w:pPr>
      <w:r>
        <w:t xml:space="preserve">To make sure everything is working, you should open the command palette and select</w:t>
      </w:r>
      <w:r>
        <w:t xml:space="preserve"> </w:t>
      </w:r>
      <w:r>
        <w:rPr>
          <w:rStyle w:val="VerbatimChar"/>
        </w:rPr>
        <w:t xml:space="preserve">Quarto: Render HTML</w:t>
      </w:r>
      <w:r>
        <w:t xml:space="preserve">.</w:t>
      </w:r>
      <w:r>
        <w:t xml:space="preserve"> </w:t>
      </w:r>
      <w:r>
        <w:t xml:space="preserve">This will generate a HTML file from this notebook.</w:t>
      </w:r>
      <w:r>
        <w:t xml:space="preserve"> </w:t>
      </w:r>
      <w:r>
        <w:t xml:space="preserve">This is a good way to check that everything is working before you start editing code.</w:t>
      </w:r>
    </w:p>
    <w:bookmarkEnd w:id="39"/>
    <w:bookmarkEnd w:id="40"/>
    <w:bookmarkStart w:id="60" w:name="reading-data"/>
    <w:p>
      <w:pPr>
        <w:pStyle w:val="Heading1"/>
      </w:pPr>
      <w:r>
        <w:t xml:space="preserve">3. Reading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  <w:r>
        <w:t xml:space="preserve"> </w:t>
      </w:r>
      <w:r>
        <w:t xml:space="preserve">First, let’s define the file name</w:t>
      </w:r>
    </w:p>
    <w:bookmarkStart w:id="41" w:name="annotated-cell-2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rPr>
          <w:rStyle w:val="NormalTok"/>
        </w:rPr>
        <w:t xml:space="preserve">;</w:t>
      </w:r>
    </w:p>
    <w:bookmarkEnd w:id="4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Recall the semi-colon at the end of the line suppresses output. This is a good habit to get into when defining variables.</w:t>
      </w:r>
    </w:p>
    <w:p>
      <w:pPr>
        <w:pStyle w:val="FirstParagraph"/>
      </w:pPr>
      <w:r>
        <w:t xml:space="preserve">Next, 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the data.</w:t>
      </w:r>
    </w:p>
    <w:bookmarkStart w:id="42" w:name="annotated-cell-3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42"/>
    <w:p>
      <w:pPr>
        <w:pStyle w:val="DefinitionTerm"/>
      </w:pPr>
      <w:r>
        <w:t xml:space="preserve">Line 1</w:t>
      </w:r>
    </w:p>
    <w:p>
      <w:pPr>
        <w:pStyle w:val="Definition"/>
      </w:pPr>
      <w:r>
        <w:rPr>
          <w:rStyle w:val="VerbatimChar"/>
        </w:rPr>
        <w:t xml:space="preserve">CSV.read</w:t>
      </w:r>
      <w:r>
        <w:t xml:space="preserve"> </w:t>
      </w:r>
      <w:r>
        <w:t xml:space="preserve">is a function that takes two arguments: the file name and the type of object to read the data into. In this case, we want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first</w:t>
      </w:r>
      <w:r>
        <w:t xml:space="preserve"> </w:t>
      </w:r>
      <w:r>
        <w:t xml:space="preserve">is a function that takes two arguments: the object to look at and the number of items to display. In this case, we want to look at the first 5 rows of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bookmarkStart w:id="45" w:name="dates"/>
    <w:p>
      <w:pPr>
        <w:pStyle w:val="Heading2"/>
      </w:pPr>
      <w:r>
        <w:t xml:space="preserve">3.1 Dates</w:t>
      </w:r>
    </w:p>
    <w:p>
      <w:pPr>
        <w:pStyle w:val="FirstParagraph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43" w:name="annotated-cell-4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43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44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bookmarkEnd w:id="45"/>
    <w:bookmarkStart w:id="49" w:name="water-levels"/>
    <w:p>
      <w:pPr>
        <w:pStyle w:val="Heading2"/>
      </w:pPr>
      <w:r>
        <w:t xml:space="preserve">3.2 Water levels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Code explanation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6"/>
              </w:numPr>
              <w:pStyle w:val="Compact"/>
            </w:pPr>
            <w:r>
              <w:t xml:space="preserve">We select the column with water levels using its name. The</w:t>
            </w:r>
            <w:r>
              <w:t xml:space="preserve"> </w:t>
            </w:r>
            <w:r>
              <w:rPr>
                <w:rStyle w:val="VerbatimChar"/>
              </w:rPr>
              <w:t xml:space="preserve">!</w:t>
            </w:r>
            <w:r>
              <w:t xml:space="preserve"> </w:t>
            </w:r>
            <w:r>
              <w:t xml:space="preserve">means</w:t>
            </w:r>
            <w:r>
              <w:t xml:space="preserve"> </w:t>
            </w:r>
            <w:r>
              <w:t xml:space="preserve">“</w:t>
            </w:r>
            <w:r>
              <w:t xml:space="preserve">all rows</w:t>
            </w:r>
            <w:r>
              <w:t xml:space="preserve">”</w:t>
            </w:r>
            <w:r>
              <w:t xml:space="preserve">. Thus,</w:t>
            </w:r>
            <w:r>
              <w:t xml:space="preserve"> </w:t>
            </w:r>
            <w:r>
              <w:rPr>
                <w:rStyle w:val="VerbatimChar"/>
              </w:rPr>
              <w:t xml:space="preserve">df[!, " Water Level"]</w:t>
            </w:r>
            <w:r>
              <w:t xml:space="preserve"> </w:t>
            </w:r>
            <w:r>
              <w:t xml:space="preserve">is a vector of all the water levels stored.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*=</w:t>
            </w:r>
            <w:r>
              <w:t xml:space="preserve"> </w:t>
            </w:r>
            <w:r>
              <w:t xml:space="preserve">means to multiply in place. For example, if</w:t>
            </w:r>
            <w:r>
              <w:t xml:space="preserve"> </w:t>
            </w:r>
            <w:r>
              <w:rPr>
                <w:rStyle w:val="VerbatimChar"/>
              </w:rPr>
              <w:t xml:space="preserve">x=2</w:t>
            </w:r>
            <w:r>
              <w:t xml:space="preserve"> </w:t>
            </w:r>
            <w:r>
              <w:t xml:space="preserve">then</w:t>
            </w:r>
            <w:r>
              <w:t xml:space="preserve"> </w:t>
            </w:r>
            <w:r>
              <w:rPr>
                <w:rStyle w:val="VerbatimChar"/>
              </w:rPr>
              <w:t xml:space="preserve">x *= 2</w:t>
            </w:r>
            <w:r>
              <w:t xml:space="preserve"> </w:t>
            </w:r>
            <w:r>
              <w:t xml:space="preserve">is equivalent to</w:t>
            </w:r>
            <w:r>
              <w:t xml:space="preserve"> </w:t>
            </w:r>
            <w:r>
              <w:rPr>
                <w:rStyle w:val="VerbatimChar"/>
              </w:rPr>
              <w:t xml:space="preserve">x = x * 2</w:t>
            </w:r>
            <w:r>
              <w:t xml:space="preserve">.</w:t>
            </w:r>
            <w:r>
              <w:t xml:space="preserve"> </w:t>
            </w:r>
            <w:r>
              <w:rPr>
                <w:rStyle w:val="VerbatimChar"/>
              </w:rPr>
              <w:t xml:space="preserve">.*=</w:t>
            </w:r>
            <w:r>
              <w:t xml:space="preserve"> </w:t>
            </w:r>
            <w:r>
              <w:t xml:space="preserve">is a vector syntax, meaning do the multiplication to each element of the vector individually.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1u"m"</w:t>
            </w:r>
            <w:r>
              <w:t xml:space="preserve"> </w:t>
            </w:r>
            <w:r>
              <w:t xml:space="preserve">is a</w:t>
            </w:r>
            <w:r>
              <w:t xml:space="preserve"> </w:t>
            </w:r>
            <w:r>
              <w:rPr>
                <w:rStyle w:val="VerbatimChar"/>
              </w:rPr>
              <w:t xml:space="preserve">Unitful</w:t>
            </w:r>
            <w:r>
              <w:t xml:space="preserve"> </w:t>
            </w:r>
            <w:r>
              <w:t xml:space="preserve">object that represents 1 meter. We multiply the water levels by this to convert them to meters.</w:t>
            </w:r>
          </w:p>
        </w:tc>
      </w:tr>
    </w:tbl>
    <w:bookmarkEnd w:id="49"/>
    <w:bookmarkStart w:id="53" w:name="subsetting-and-renaming"/>
    <w:p>
      <w:pPr>
        <w:pStyle w:val="Heading2"/>
      </w:pPr>
      <w:r>
        <w:t xml:space="preserve">3.3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50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51" w:name="annotated-cell-6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5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 symbol.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do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52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53"/>
    <w:bookmarkStart w:id="56" w:name="writing-a-function"/>
    <w:p>
      <w:pPr>
        <w:pStyle w:val="Heading2"/>
      </w:pPr>
      <w:r>
        <w:t xml:space="preserve">3.4 Writing a function</w:t>
      </w:r>
    </w:p>
    <w:p>
      <w:pPr>
        <w:pStyle w:val="FirstParagraph"/>
      </w:pPr>
      <w:r>
        <w:t xml:space="preserve">We have just done a lot of work to read in our data.</w:t>
      </w:r>
      <w:r>
        <w:t xml:space="preserve"> </w:t>
      </w:r>
      <w:r>
        <w:t xml:space="preserve">However, this just gives us data for the year 1928.</w:t>
      </w:r>
      <w:r>
        <w:t xml:space="preserve"> </w:t>
      </w:r>
      <w:r>
        <w:t xml:space="preserve">In fact, we have a CSV file for each year 1928-2021.</w:t>
      </w:r>
      <w:r>
        <w:t xml:space="preserve"> </w:t>
      </w:r>
      <w:r>
        <w:t xml:space="preserve">To make sure we can read them each in excatly the same way, we want to write a function.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your code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When it’s done, convert it to a live code block with: ```{julia}.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56"/>
    <w:bookmarkStart w:id="59" w:name="combining-files"/>
    <w:p>
      <w:pPr>
        <w:pStyle w:val="Heading2"/>
      </w:pPr>
      <w:r>
        <w:t xml:space="preserve">3.5 Combining files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1. call the read_tides function on each year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don't change this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check the last 5 years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Call the</w:t>
            </w:r>
            <w:r>
              <w:t xml:space="preserve"> </w:t>
            </w:r>
            <w:r>
              <w:rPr>
                <w:rStyle w:val="VerbatimChar"/>
              </w:rPr>
              <w:t xml:space="preserve">read_tides</w:t>
            </w:r>
            <w:r>
              <w:t xml:space="preserve"> </w:t>
            </w:r>
            <w:r>
              <w:t xml:space="preserve">function on each year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Turn the two code blocks in this section into live code blocks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Run the code and make sure the first 5 rows and last five rows look right</w:t>
            </w:r>
          </w:p>
        </w:tc>
      </w:tr>
    </w:tbl>
    <w:bookmarkEnd w:id="59"/>
    <w:bookmarkEnd w:id="60"/>
    <w:bookmarkStart w:id="96" w:name="plots"/>
    <w:p>
      <w:pPr>
        <w:pStyle w:val="Heading1"/>
      </w:pPr>
      <w:r>
        <w:t xml:space="preserve">4. Plots</w:t>
      </w:r>
    </w:p>
    <w:p>
      <w:pPr>
        <w:pStyle w:val="FirstParagraph"/>
      </w:pPr>
      <w:r>
        <w:t xml:space="preserve">Now we’ll create some plots of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 have followed a bad naming convention for a good reason.</w:t>
            </w:r>
            <w:r>
              <w:t xml:space="preserve"> </w:t>
            </w:r>
            <w:r>
              <w:t xml:space="preserve">When we read in the 1928 data we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.</w:t>
            </w:r>
            <w:r>
              <w:t xml:space="preserve"> </w:t>
            </w:r>
            <w:r>
              <w:t xml:space="preserve">When we read in the data from all years, we also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 </w:t>
            </w:r>
            <w:r>
              <w:t xml:space="preserve">(which will overwrite the old definition of the variable).</w:t>
            </w:r>
            <w:r>
              <w:t xml:space="preserve"> </w:t>
            </w:r>
            <w:r>
              <w:t xml:space="preserve">This is normally bad practice!</w:t>
            </w:r>
            <w:r>
              <w:t xml:space="preserve"> </w:t>
            </w:r>
            <w:r>
              <w:rPr>
                <w:bCs/>
                <w:b/>
              </w:rPr>
              <w:t xml:space="preserve">We want use clear, descriptive, and specific variable names!</w:t>
            </w:r>
            <w:r>
              <w:t xml:space="preserve"> </w:t>
            </w:r>
            <w:r>
              <w:t xml:space="preserve">However, it means that we can make plots here using the 1928 data.</w:t>
            </w:r>
            <w:r>
              <w:t xml:space="preserve"> </w:t>
            </w:r>
            <w:r>
              <w:t xml:space="preserve">Once you are able to read in the data for all years, these plots will automatically update to show data for all years.</w:t>
            </w:r>
            <w:r>
              <w:t xml:space="preserve"> </w:t>
            </w:r>
            <w:r>
              <w:t xml:space="preserve">If you want to rename these variables, please go for it!</w:t>
            </w:r>
          </w:p>
        </w:tc>
      </w:tr>
    </w:tbl>
    <w:bookmarkStart w:id="68" w:name="time-series-plot"/>
    <w:p>
      <w:pPr>
        <w:pStyle w:val="Heading2"/>
      </w:pPr>
      <w:r>
        <w:t xml:space="preserve">4.1 Time series plot</w:t>
      </w:r>
    </w:p>
    <w:p>
      <w:pPr>
        <w:pStyle w:val="FirstParagraph"/>
      </w:pP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bookmarkStart w:id="63" w:name="annotated-cell-12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3"/>
    <w:p>
      <w:pPr>
        <w:pStyle w:val="DefinitionTerm"/>
      </w:pPr>
      <w:r>
        <w:t xml:space="preserve">Line 5</w:t>
      </w:r>
    </w:p>
    <w:p>
      <w:pPr>
        <w:pStyle w:val="Definition"/>
      </w:pPr>
      <w:r>
        <w:t xml:space="preserve">Because we are using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pacakge, the y-axis label will automatically include the units!!!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We are only plotting one</w:t>
      </w:r>
      <w:r>
        <w:t xml:space="preserve"> </w:t>
      </w:r>
      <w:r>
        <w:t xml:space="preserve">“</w:t>
      </w:r>
      <w:r>
        <w:t xml:space="preserve">series</w:t>
      </w:r>
      <w:r>
        <w:t xml:space="preserve">”</w:t>
      </w:r>
      <w:r>
        <w:t xml:space="preserve"> </w:t>
      </w:r>
      <w:r>
        <w:t xml:space="preserve">(data set), so we don’t need a legend.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template_files/figure-docx/cell-11-output-1.sv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75" w:name="zooming-in"/>
    <w:p>
      <w:pPr>
        <w:pStyle w:val="Heading2"/>
      </w:pPr>
      <w:r>
        <w:t xml:space="preserve">4.2 Zooming in</w:t>
      </w:r>
    </w:p>
    <w:p>
      <w:pPr>
        <w:pStyle w:val="FirstParagraph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9" w:name="annotated-cell-13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9"/>
    <w:p>
      <w:pPr>
        <w:pStyle w:val="FirstParagraph"/>
      </w:pPr>
      <w:r>
        <w:t xml:space="preserve">Now we can plot it as above.</w:t>
      </w:r>
    </w:p>
    <w:bookmarkStart w:id="70" w:name="annotated-cell-14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0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template_files/figure-docx/cell-13-output-1.sv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Start w:id="76" w:name="instructions-2"/>
    <w:p>
      <w:pPr>
        <w:pStyle w:val="Heading2"/>
      </w:pPr>
      <w:r>
        <w:t xml:space="preserve">4.3 Instructions</w:t>
      </w:r>
    </w:p>
    <w:p>
      <w:pPr>
        <w:pStyle w:val="FirstParagraph"/>
      </w:pPr>
      <w:r>
        <w:t xml:space="preserve">Change the start and end dates to plot March 2020.</w:t>
      </w:r>
      <w:r>
        <w:t xml:space="preserve"> </w:t>
      </w:r>
      <w:r>
        <w:t xml:space="preserve">What do you notice?</w:t>
      </w:r>
      <w:r>
        <w:t xml:space="preserve"> </w:t>
      </w:r>
      <w:r>
        <w:t xml:space="preserve">:::</w:t>
      </w:r>
    </w:p>
    <w:bookmarkEnd w:id="76"/>
    <w:bookmarkStart w:id="86" w:name="groupby"/>
    <w:p>
      <w:pPr>
        <w:pStyle w:val="Heading2"/>
      </w:pPr>
      <w:r>
        <w:t xml:space="preserve">4.4 Groupby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 what is the average water level for each month?</w:t>
      </w:r>
      <w:r>
        <w:rPr>
          <w:rStyle w:val="FootnoteReference"/>
        </w:rPr>
        <w:footnoteReference w:id="77"/>
      </w:r>
    </w:p>
    <w:bookmarkStart w:id="78" w:name="annotated-cell-15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8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9" w:name="annotated-cell-16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9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template_files/figure-docx/cell-15-output-1.sv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Use the full dataset to plot the climatology using data from all years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Next, create a new Markdown header (</w:t>
            </w:r>
            <w:r>
              <w:rPr>
                <w:rStyle w:val="VerbatimChar"/>
              </w:rPr>
              <w:t xml:space="preserve">## Groupby Day of Year</w:t>
            </w:r>
            <w:r>
              <w:t xml:space="preserve">) plot the average water level for each day of the year (</w:t>
            </w:r>
            <w:r>
              <w:rPr>
                <w:rStyle w:val="VerbatimChar"/>
              </w:rPr>
              <w:t xml:space="preserve">Dates.dayofyear</w:t>
            </w:r>
            <w:r>
              <w:t xml:space="preserve"> </w:t>
            </w:r>
            <w:r>
              <w:t xml:space="preserve">from 1 to 366).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What do you notice?</w:t>
            </w:r>
          </w:p>
        </w:tc>
      </w:tr>
    </w:tbl>
    <w:bookmarkEnd w:id="86"/>
    <w:bookmarkStart w:id="94" w:name="boxplot"/>
    <w:p>
      <w:pPr>
        <w:pStyle w:val="Heading2"/>
      </w:pPr>
      <w:r>
        <w:t xml:space="preserve">4.5 Boxplot</w:t>
      </w:r>
    </w:p>
    <w:p>
      <w:pPr>
        <w:pStyle w:val="FirstParagraph"/>
      </w:pPr>
      <w:r>
        <w:t xml:space="preserve">Boxplots are ways to visualize the distribution of data.</w:t>
      </w:r>
      <w:r>
        <w:t xml:space="preserve"> </w:t>
      </w:r>
      <w:r>
        <w:t xml:space="preserve">They show the median (the line in the middle of the box), the interquartile range (the box), and the range of the data (the whiskers).</w:t>
      </w:r>
      <w:r>
        <w:t xml:space="preserve"> </w:t>
      </w:r>
      <w:r>
        <w:t xml:space="preserve">Outliers are shown as dots.</w:t>
      </w:r>
      <w:r>
        <w:t xml:space="preserve"> </w:t>
      </w:r>
      <w:r>
        <w:t xml:space="preserve">We can use the</w:t>
      </w:r>
      <w:r>
        <w:t xml:space="preserve"> </w:t>
      </w:r>
      <w:r>
        <w:rPr>
          <w:rStyle w:val="VerbatimChar"/>
        </w:rPr>
        <w:t xml:space="preserve">boxplot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StatsPlots.jl</w:t>
      </w:r>
      <w:r>
        <w:t xml:space="preserve"> </w:t>
      </w:r>
      <w:r>
        <w:t xml:space="preserve">package:</w:t>
      </w:r>
    </w:p>
    <w:bookmarkStart w:id="87" w:name="annotated-cell-17"/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month],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lsl];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"Climatology"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87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are back to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 </w:t>
      </w:r>
      <w:r>
        <w:t xml:space="preserve">syntax. Both work!</w:t>
      </w:r>
    </w:p>
    <w:p>
      <w:pPr>
        <w:pStyle w:val="DefinitionTerm"/>
      </w:pPr>
      <w:r>
        <w:t xml:space="preserve">Line 8</w:t>
      </w:r>
    </w:p>
    <w:p>
      <w:pPr>
        <w:pStyle w:val="Definition"/>
      </w:pPr>
      <w:r>
        <w:t xml:space="preserve">We can set the title using the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keyword argument.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template_files/figure-docx/cell-16-output-1.sv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9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Repeat this analysis grouping by year rather than month.</w:t>
            </w:r>
            <w:r>
              <w:t xml:space="preserve"> </w:t>
            </w:r>
            <w:r>
              <w:t xml:space="preserve">What do you notice from the boxplots?</w:t>
            </w:r>
          </w:p>
        </w:tc>
      </w:tr>
    </w:tbl>
    <w:bookmarkEnd w:id="94"/>
    <w:bookmarkStart w:id="95" w:name="submission"/>
    <w:p>
      <w:pPr>
        <w:pStyle w:val="Heading2"/>
      </w:pPr>
      <w:r>
        <w:t xml:space="preserve">4.6 Submission</w:t>
      </w:r>
    </w:p>
    <w:p>
      <w:pPr>
        <w:numPr>
          <w:ilvl w:val="0"/>
          <w:numId w:val="1009"/>
        </w:numPr>
        <w:pStyle w:val="Compact"/>
      </w:pPr>
      <w:r>
        <w:t xml:space="preserve">Remove all of the instructions blocks (from the first</w:t>
      </w:r>
      <w:r>
        <w:t xml:space="preserve"> </w:t>
      </w:r>
      <w:r>
        <w:rPr>
          <w:rStyle w:val="VerbatimChar"/>
        </w:rPr>
        <w:t xml:space="preserve">::: {.callout-important}</w:t>
      </w:r>
      <w:r>
        <w:t xml:space="preserve"> </w:t>
      </w:r>
      <w:r>
        <w:t xml:space="preserve">to the following</w:t>
      </w:r>
      <w:r>
        <w:t xml:space="preserve"> </w:t>
      </w:r>
      <w:r>
        <w:rPr>
          <w:rStyle w:val="VerbatimChar"/>
        </w:rPr>
        <w:t xml:space="preserve">:::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Remove all of the text I have written (including this block) so that</w:t>
      </w:r>
      <w:r>
        <w:t xml:space="preserve"> </w:t>
      </w:r>
      <w:r>
        <w:rPr>
          <w:iCs/>
          <w:i/>
        </w:rPr>
        <w:t xml:space="preserve">all the text is your own</w:t>
      </w:r>
      <w:r>
        <w:t xml:space="preserve">. This makes it much easier to grade and to follow what is yours.</w:t>
      </w:r>
    </w:p>
    <w:p>
      <w:pPr>
        <w:numPr>
          <w:ilvl w:val="1"/>
          <w:numId w:val="1010"/>
        </w:numPr>
        <w:pStyle w:val="Compact"/>
      </w:pPr>
      <w:r>
        <w:t xml:space="preserve">Do not delete any of the headers</w:t>
      </w:r>
    </w:p>
    <w:p>
      <w:pPr>
        <w:numPr>
          <w:ilvl w:val="2"/>
          <w:numId w:val="1011"/>
        </w:numPr>
        <w:pStyle w:val="Compact"/>
      </w:pPr>
      <w:r>
        <w:t xml:space="preserve">Thus, the beginning of the document should have the headers for the overview, exploratory modeling, instructions, and getting help, but these should not have any text</w:t>
      </w:r>
    </w:p>
    <w:p>
      <w:pPr>
        <w:numPr>
          <w:ilvl w:val="2"/>
          <w:numId w:val="1011"/>
        </w:numPr>
        <w:pStyle w:val="Compact"/>
      </w:pPr>
      <w:r>
        <w:t xml:space="preserve">This will ensure all documents have the same numbering to make it easier to troubleshoot any issues</w:t>
      </w:r>
    </w:p>
    <w:p>
      <w:pPr>
        <w:numPr>
          <w:ilvl w:val="1"/>
          <w:numId w:val="1010"/>
        </w:numPr>
        <w:pStyle w:val="Compact"/>
      </w:pPr>
      <w:r>
        <w:t xml:space="preserve">Do not delete any of the code</w:t>
      </w:r>
    </w:p>
    <w:p>
      <w:pPr>
        <w:numPr>
          <w:ilvl w:val="0"/>
          <w:numId w:val="1009"/>
        </w:numPr>
        <w:pStyle w:val="Compact"/>
      </w:pPr>
      <w:r>
        <w:t xml:space="preserve">Make sure your code runs (click the</w:t>
      </w:r>
      <w:r>
        <w:t xml:space="preserve"> </w:t>
      </w:r>
      <w:r>
        <w:t xml:space="preserve">“</w:t>
      </w:r>
      <w:r>
        <w:t xml:space="preserve">Run All</w:t>
      </w:r>
      <w:r>
        <w:t xml:space="preserve">”</w:t>
      </w:r>
      <w:r>
        <w:t xml:space="preserve"> </w:t>
      </w:r>
      <w:r>
        <w:t xml:space="preserve">button in the command palette)</w:t>
      </w:r>
    </w:p>
    <w:p>
      <w:pPr>
        <w:numPr>
          <w:ilvl w:val="0"/>
          <w:numId w:val="1009"/>
        </w:numPr>
        <w:pStyle w:val="Compact"/>
      </w:pPr>
      <w:r>
        <w:t xml:space="preserve">Render your notebook as HTML (optional)</w:t>
      </w:r>
    </w:p>
    <w:p>
      <w:pPr>
        <w:numPr>
          <w:ilvl w:val="1"/>
          <w:numId w:val="1012"/>
        </w:numPr>
        <w:pStyle w:val="Compact"/>
      </w:pPr>
      <w:r>
        <w:t xml:space="preserve">Open comand palette</w:t>
      </w:r>
    </w:p>
    <w:p>
      <w:pPr>
        <w:numPr>
          <w:ilvl w:val="1"/>
          <w:numId w:val="1012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HTML</w:t>
      </w:r>
    </w:p>
    <w:p>
      <w:pPr>
        <w:numPr>
          <w:ilvl w:val="1"/>
          <w:numId w:val="1012"/>
        </w:numPr>
        <w:pStyle w:val="Compact"/>
      </w:pPr>
      <w:r>
        <w:t xml:space="preserve">This will create a website that you can view in your browser. The address will be in your terminal like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Watching files for changes</w:t>
      </w:r>
      <w:r>
        <w:br/>
      </w:r>
      <w:r>
        <w:rPr>
          <w:rStyle w:val="VerbatimChar"/>
        </w:rPr>
        <w:t xml:space="preserve">Browse at http://localhost:4200/labs/lab02/instructions.html</w:t>
      </w:r>
    </w:p>
    <w:p>
      <w:pPr>
        <w:numPr>
          <w:ilvl w:val="1"/>
          <w:numId w:val="1013"/>
        </w:numPr>
        <w:pStyle w:val="Compact"/>
      </w:pPr>
      <w:r>
        <w:t xml:space="preserve">Make sure your notebook looks right in the browser.</w:t>
      </w:r>
    </w:p>
    <w:p>
      <w:pPr>
        <w:numPr>
          <w:ilvl w:val="0"/>
          <w:numId w:val="1009"/>
        </w:numPr>
        <w:pStyle w:val="Compact"/>
      </w:pPr>
      <w:r>
        <w:t xml:space="preserve">Render your hnotebook as DOCX (required)</w:t>
      </w:r>
    </w:p>
    <w:p>
      <w:pPr>
        <w:numPr>
          <w:ilvl w:val="1"/>
          <w:numId w:val="1014"/>
        </w:numPr>
        <w:pStyle w:val="Compact"/>
      </w:pPr>
      <w:r>
        <w:t xml:space="preserve">Open comand palette</w:t>
      </w:r>
    </w:p>
    <w:p>
      <w:pPr>
        <w:numPr>
          <w:ilvl w:val="1"/>
          <w:numId w:val="1014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DOCX</w:t>
      </w:r>
    </w:p>
    <w:p>
      <w:pPr>
        <w:numPr>
          <w:ilvl w:val="1"/>
          <w:numId w:val="1014"/>
        </w:numPr>
        <w:pStyle w:val="Compact"/>
      </w:pPr>
      <w:r>
        <w:t xml:space="preserve">It may give you a link to click on in order to download the file. Click it and it will be downloaded to your computer (probably in your Downloads folder)</w:t>
      </w:r>
    </w:p>
    <w:p>
      <w:pPr>
        <w:numPr>
          <w:ilvl w:val="0"/>
          <w:numId w:val="1009"/>
        </w:numPr>
        <w:pStyle w:val="Compact"/>
      </w:pPr>
      <w:r>
        <w:t xml:space="preserve">Submit the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file to Canvas.</w:t>
      </w:r>
    </w:p>
    <w:p>
      <w:pPr>
        <w:numPr>
          <w:ilvl w:val="1"/>
          <w:numId w:val="1015"/>
        </w:numPr>
        <w:pStyle w:val="Compact"/>
      </w:pPr>
      <w:r>
        <w:t xml:space="preserve">Proofread before you submit!</w:t>
      </w:r>
    </w:p>
    <w:bookmarkEnd w:id="95"/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46" Target="media/rId46.png" /><Relationship Type="http://schemas.openxmlformats.org/officeDocument/2006/relationships/image" Id="rId67" Target="media/rId67.png" /><Relationship Type="http://schemas.openxmlformats.org/officeDocument/2006/relationships/image" Id="rId74" Target="media/rId74.png" /><Relationship Type="http://schemas.openxmlformats.org/officeDocument/2006/relationships/image" Id="rId83" Target="media/rId83.png" /><Relationship Type="http://schemas.openxmlformats.org/officeDocument/2006/relationships/image" Id="rId91" Target="media/rId91.png" /><Relationship Type="http://schemas.openxmlformats.org/officeDocument/2006/relationships/image" Id="rId64" Target="media/rId64.svgz" /><Relationship Type="http://schemas.openxmlformats.org/officeDocument/2006/relationships/image" Id="rId71" Target="media/rId71.svgz" /><Relationship Type="http://schemas.openxmlformats.org/officeDocument/2006/relationships/image" Id="rId80" Target="media/rId80.svgz" /><Relationship Type="http://schemas.openxmlformats.org/officeDocument/2006/relationships/image" Id="rId88" Target="media/rId88.svgz" /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</dc:title>
  <dc:creator/>
  <cp:keywords/>
  <dcterms:created xsi:type="dcterms:W3CDTF">2023-11-15T16:45:46Z</dcterms:created>
  <dcterms:modified xsi:type="dcterms:W3CDTF">2023-11-15T16:45:46Z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1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2023-09-01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Working with tabular data in Julia</vt:lpwstr>
  </property>
  <property fmtid="{D5CDD505-2E9C-101B-9397-08002B2CF9AE}" pid="18" name="toc-title">
    <vt:lpwstr>Table of contents</vt:lpwstr>
  </property>
</Properties>
</file>