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57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3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clims</w:t>
      </w:r>
      <w:r>
        <w:rPr>
          <w:rStyle w:val="StringTok"/>
        </w:rPr>
        <w:t xml:space="preserve">=(-50.0, 5.0),</w:t>
      </w:r>
      <w:r>
        <w:br/>
      </w:r>
      <w:r>
        <w:rPr>
          <w:rStyle w:val="NormalTok"/>
        </w:rPr>
        <w:t xml:space="preserve">   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3"/>
    <w:bookmarkStart w:id="53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6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49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49"/>
    <w:bookmarkStart w:id="52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2"/>
    <w:bookmarkEnd w:id="53"/>
    <w:bookmarkStart w:id="56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6"/>
    <w:bookmarkEnd w:id="57"/>
    <w:bookmarkStart w:id="61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58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58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3"/>
        </w:numPr>
        <w:pStyle w:val="Compact"/>
      </w:pPr>
      <w:r>
        <w:t xml:space="preserve">The plot</w:t>
      </w:r>
    </w:p>
    <w:p>
      <w:pPr>
        <w:numPr>
          <w:ilvl w:val="0"/>
          <w:numId w:val="1003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3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1"/>
    <w:bookmarkStart w:id="65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2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2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5"/>
    <w:bookmarkStart w:id="68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68"/>
    <w:bookmarkStart w:id="69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2023-09-07T14:40:00Z</dcterms:created>
  <dcterms:modified xsi:type="dcterms:W3CDTF">2023-09-07T14:40:00Z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