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
    <w:p>
      <w:pPr>
        <w:pStyle w:val="Heading1"/>
      </w:pPr>
      <w:r>
        <w:t xml:space="preserve">1. Intro</w:t>
      </w:r>
    </w:p>
    <w:p>
      <w:pPr>
        <w:pStyle w:val="FirstParagraph"/>
      </w:pPr>
      <w:r>
        <w:t xml:space="preserve">Today we are going to build a simple model to simulate precipitation, conditional on temperature fields.</w:t>
      </w:r>
      <w:r>
        <w:t xml:space="preserve"> </w:t>
      </w:r>
      <w:r>
        <w:t xml:space="preserve">The model is fairly simple:</w:t>
      </w:r>
    </w:p>
    <w:p>
      <w:pPr>
        <w:numPr>
          <w:ilvl w:val="0"/>
          <w:numId w:val="1001"/>
        </w:numPr>
        <w:pStyle w:val="Compact"/>
      </w:pPr>
      <w:r>
        <w:t xml:space="preserve">Input: a temperature field</w:t>
      </w:r>
    </w:p>
    <w:p>
      <w:pPr>
        <w:numPr>
          <w:ilvl w:val="0"/>
          <w:numId w:val="1001"/>
        </w:numPr>
        <w:pStyle w:val="Compact"/>
      </w:pPr>
      <w:r>
        <w:t xml:space="preserve">Project the (high-dimensional) temperature field onto a low-dimensional space, using PCA</w:t>
      </w:r>
    </w:p>
    <w:p>
      <w:pPr>
        <w:numPr>
          <w:ilvl w:val="0"/>
          <w:numId w:val="1001"/>
        </w:numPr>
        <w:pStyle w:val="Compact"/>
      </w:pPr>
      <w:r>
        <w:t xml:space="preserve">Find the</w:t>
      </w:r>
      <w:r>
        <w:t xml:space="preserve"> </w:t>
      </w:r>
      <m:oMath>
        <m:r>
          <m:t>K</m:t>
        </m:r>
      </m:oMath>
      <w:r>
        <w:t xml:space="preserve"> </w:t>
      </w:r>
      <w:r>
        <w:t xml:space="preserve">nearest neighbors to the projected temperature field, using</w:t>
      </w:r>
      <w:r>
        <w:t xml:space="preserve"> </w:t>
      </w:r>
      <m:oMath>
        <m:r>
          <m:t>K</m:t>
        </m:r>
      </m:oMath>
      <w:r>
        <w:t xml:space="preserve">-NN</w:t>
      </w:r>
    </w:p>
    <w:p>
      <w:pPr>
        <w:numPr>
          <w:ilvl w:val="0"/>
          <w:numId w:val="1001"/>
        </w:numPr>
        <w:pStyle w:val="Compact"/>
      </w:pPr>
      <w:r>
        <w:t xml:space="preserve">Sample the precipitation field from the</w:t>
      </w:r>
      <w:r>
        <w:t xml:space="preserve"> </w:t>
      </w:r>
      <m:oMath>
        <m:r>
          <m:t>K</m:t>
        </m:r>
      </m:oMath>
      <w:r>
        <w:t xml:space="preserve"> </w:t>
      </w:r>
      <w:r>
        <w:t xml:space="preserve">nearest neighbors</w:t>
      </w:r>
    </w:p>
    <w:p>
      <w:pPr>
        <w:pStyle w:val="FirstParagraph"/>
      </w:pPr>
      <w:r>
        <w:t xml:space="preserve">We will use the</w:t>
      </w:r>
      <w:r>
        <w:t xml:space="preserve"> </w:t>
      </w:r>
      <w:hyperlink r:id="rId20">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p>
    <w:bookmarkStart w:id="21" w:name="setup"/>
    <w:p>
      <w:pPr>
        <w:pStyle w:val="Heading2"/>
      </w:pPr>
      <w:r>
        <w:t xml:space="preserve">1.1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Unitful</w:t>
      </w:r>
    </w:p>
    <w:bookmarkEnd w:id="21"/>
    <w:bookmarkEnd w:id="22"/>
    <w:bookmarkStart w:id="26" w:name="data"/>
    <w:p>
      <w:pPr>
        <w:pStyle w:val="Heading1"/>
      </w:pPr>
      <w:r>
        <w:t xml:space="preserve">2. Data</w:t>
      </w:r>
    </w:p>
    <w:bookmarkStart w:id="23"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3"/>
    <w:bookmarkStart w:id="24"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rename this variable to</w:t>
      </w:r>
      <w:r>
        <w:t xml:space="preserve"> </w:t>
      </w:r>
      <w:r>
        <w:rPr>
          <w:rStyle w:val="VerbatimChar"/>
        </w:rPr>
        <w:t xml:space="preserve">time</w:t>
      </w:r>
      <w:r>
        <w:t xml:space="preserve">.</w:t>
      </w:r>
    </w:p>
    <w:bookmarkEnd w:id="24"/>
    <w:bookmarkStart w:id="25"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End w:id="25"/>
    <w:bookmarkEnd w:id="26"/>
    <w:bookmarkStart w:id="31" w:name="principal-components"/>
    <w:p>
      <w:pPr>
        <w:pStyle w:val="Heading1"/>
      </w:pPr>
      <w:r>
        <w:t xml:space="preserve">3. Principal components</w:t>
      </w:r>
    </w:p>
    <w:p>
      <w:pPr>
        <w:pStyle w:val="FirstParagraph"/>
      </w:pPr>
      <w:r>
        <w:t xml:space="preserve">See the documentation</w:t>
      </w:r>
      <w:r>
        <w:t xml:space="preserve"> </w:t>
      </w:r>
      <w:hyperlink r:id="rId27">
        <w:r>
          <w:rPr>
            <w:rStyle w:val="Hyperlink"/>
          </w:rPr>
          <w:t xml:space="preserve">here</w:t>
        </w:r>
      </w:hyperlink>
      <w:r>
        <w:t xml:space="preserve">.</w:t>
      </w:r>
    </w:p>
    <w:bookmarkStart w:id="28" w:name="preprocessing"/>
    <w:p>
      <w:pPr>
        <w:pStyle w:val="Heading2"/>
      </w:pPr>
      <w:r>
        <w:t xml:space="preserve">3.1 Preprocessing</w:t>
      </w:r>
    </w:p>
    <w:p>
      <w:pPr>
        <w:pStyle w:val="FirstParagraph"/>
      </w:pPr>
      <w:r>
        <w:t xml:space="preserve">First,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p>
    <w:bookmarkEnd w:id="28"/>
    <w:bookmarkStart w:id="29" w:name="fitting"/>
    <w:p>
      <w:pPr>
        <w:pStyle w:val="Heading2"/>
      </w:pPr>
      <w:r>
        <w:t xml:space="preserve">3.2 Fitting</w:t>
      </w:r>
    </w:p>
    <w:p>
      <w:pPr>
        <w:pStyle w:val="FirstParagraph"/>
      </w:pPr>
      <w:r>
        <w:t xml:space="preserve">Following the instructions provided in the documentation, fit the PCA model to the training data.</w:t>
      </w:r>
      <w:r>
        <w:t xml:space="preserve"> </w:t>
      </w:r>
      <w:r>
        <w:t xml:space="preserve">Choose how many dimensions you are using and explain why you chose that number.</w:t>
      </w:r>
    </w:p>
    <w:bookmarkEnd w:id="29"/>
    <w:bookmarkStart w:id="30" w:name="visualizing"/>
    <w:p>
      <w:pPr>
        <w:pStyle w:val="Heading2"/>
      </w:pPr>
      <w:r>
        <w:t xml:space="preserve">3.3 Visualizing</w:t>
      </w:r>
    </w:p>
    <w:p>
      <w:pPr>
        <w:numPr>
          <w:ilvl w:val="0"/>
          <w:numId w:val="1002"/>
        </w:numPr>
        <w:pStyle w:val="Compact"/>
      </w:pPr>
      <w:r>
        <w:t xml:space="preserve">Plot the spatial patterns associated with the first two principal components. You’ll need to reshape the data back to its original shape.</w:t>
      </w:r>
    </w:p>
    <w:p>
      <w:pPr>
        <w:numPr>
          <w:ilvl w:val="0"/>
          <w:numId w:val="1002"/>
        </w:numPr>
        <w:pStyle w:val="Compact"/>
      </w:pPr>
      <w:r>
        <w:t xml:space="preserve">Plot the time series of the first two principal components. Use your</w:t>
      </w:r>
      <w:r>
        <w:t xml:space="preserve"> </w:t>
      </w:r>
      <w:r>
        <w:rPr>
          <w:rStyle w:val="VerbatimChar"/>
        </w:rPr>
        <w:t xml:space="preserve">time</w:t>
      </w:r>
      <w:r>
        <w:t xml:space="preserve"> </w:t>
      </w:r>
      <w:r>
        <w:t xml:space="preserve">variable on the</w:t>
      </w:r>
      <w:r>
        <w:t xml:space="preserve"> </w:t>
      </w:r>
      <m:oMath>
        <m:r>
          <m:t>x</m:t>
        </m:r>
      </m:oMath>
      <w:r>
        <w:t xml:space="preserve"> </w:t>
      </w:r>
      <w:r>
        <w:t xml:space="preserve">axis of the plots to match the actual dates.</w:t>
      </w:r>
    </w:p>
    <w:p>
      <w:pPr>
        <w:numPr>
          <w:ilvl w:val="0"/>
          <w:numId w:val="1002"/>
        </w:numPr>
        <w:pStyle w:val="Compact"/>
      </w:pPr>
      <w:r>
        <w:t xml:space="preserve">Make a scatter plot of the first two principal components, with the points colored by the precipitation value at that time. 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bookmarkEnd w:id="30"/>
    <w:bookmarkEnd w:id="31"/>
    <w:bookmarkStart w:id="3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r>
        <w:t xml:space="preserve"> </w:t>
      </w:r>
      <w:r>
        <w:t xml:space="preserve">Here is a general outline of the algorithm with generic notation:</w:t>
      </w:r>
    </w:p>
    <w:p>
      <w:pPr>
        <w:numPr>
          <w:ilvl w:val="0"/>
          <w:numId w:val="1003"/>
        </w:numPr>
        <w:pStyle w:val="Compact"/>
      </w:pPr>
      <w:r>
        <w:t xml:space="preserve">We want to make predictions about some new value,</w:t>
      </w:r>
      <w:r>
        <w:t xml:space="preserve"> </w:t>
      </w:r>
      <m:oMath>
        <m:sSub>
          <m:e>
            <m:r>
              <m:t>X</m:t>
            </m:r>
          </m:e>
          <m:sub>
            <m:r>
              <m:t>i</m:t>
            </m:r>
          </m:sub>
        </m:sSub>
      </m:oMath>
    </w:p>
    <w:p>
      <w:pPr>
        <w:numPr>
          <w:ilvl w:val="0"/>
          <w:numId w:val="1003"/>
        </w:numPr>
        <w:pStyle w:val="Compact"/>
      </w:pPr>
      <w:r>
        <w:t xml:space="preserve">Find the</w:t>
      </w:r>
      <w:r>
        <w:t xml:space="preserve"> </w:t>
      </w:r>
      <m:oMath>
        <m:r>
          <m:t>K</m:t>
        </m:r>
      </m:oMath>
      <w:r>
        <w:t xml:space="preserve"> </w:t>
      </w:r>
      <w:r>
        <w:t xml:space="preserve">nearest neighbors to</w:t>
      </w:r>
      <w:r>
        <w:t xml:space="preserve"> </w:t>
      </w:r>
      <m:oMath>
        <m:sSub>
          <m:e>
            <m:r>
              <m:t>X</m:t>
            </m:r>
          </m:e>
          <m:sub>
            <m:r>
              <m:t>i</m:t>
            </m:r>
          </m:sub>
        </m:sSub>
      </m:oMath>
      <w:r>
        <w:t xml:space="preserve"> </w:t>
      </w:r>
      <w:r>
        <w:t xml:space="preserve">in the training data and their distances</w:t>
      </w:r>
    </w:p>
    <w:p>
      <w:pPr>
        <w:numPr>
          <w:ilvl w:val="0"/>
          <w:numId w:val="1003"/>
        </w:numPr>
        <w:pStyle w:val="Compact"/>
      </w:pPr>
      <w:r>
        <w:t xml:space="preserve">Sample from the</w:t>
      </w:r>
      <w:r>
        <w:t xml:space="preserve"> </w:t>
      </w:r>
      <m:oMath>
        <m:r>
          <m:t>K</m:t>
        </m:r>
      </m:oMath>
      <w:r>
        <w:t xml:space="preserve"> </w:t>
      </w:r>
      <w:r>
        <w:t xml:space="preserve">nearest neighbors, with probability proportional to the inverse of the distance</w:t>
      </w:r>
    </w:p>
    <w:p>
      <w:pPr>
        <w:pStyle w:val="FirstParagraph"/>
      </w:pPr>
      <w:r>
        <w:t xml:space="preserve">Here’s an example:</w:t>
      </w:r>
    </w:p>
    <w:p>
      <w:pPr>
        <w:numPr>
          <w:ilvl w:val="0"/>
          <w:numId w:val="1004"/>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04"/>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04"/>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04"/>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0.4</m:t>
            </m:r>
          </m:e>
        </m:d>
      </m:oMath>
      <w:r>
        <w:t xml:space="preserve">.</w:t>
      </w:r>
    </w:p>
    <w:p>
      <w:pPr>
        <w:numPr>
          <w:ilvl w:val="0"/>
          <w:numId w:val="1004"/>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w:t>
      </w:r>
      <w:r>
        <w:t xml:space="preserve"> </w:t>
      </w:r>
      <m:oMath>
        <m:d>
          <m:dPr>
            <m:begChr m:val="["/>
            <m:endChr m:val="]"/>
            <m:sepChr m:val=""/>
            <m:grow/>
          </m:dPr>
          <m:e>
            <m:r>
              <m:t>0.4</m:t>
            </m:r>
            <m:r>
              <m:rPr>
                <m:sty m:val="p"/>
              </m:rPr>
              <m:t>,</m:t>
            </m:r>
            <m:r>
              <m:t>0.6</m:t>
            </m:r>
            <m:r>
              <m:rPr>
                <m:sty m:val="p"/>
              </m:rPr>
              <m:t>,</m:t>
            </m:r>
            <m:r>
              <m:t>0.4</m:t>
            </m:r>
          </m:e>
        </m:d>
        <m:r>
          <m:rPr>
            <m:sty m:val="p"/>
          </m:rPr>
          <m:t>/</m:t>
        </m:r>
        <m:d>
          <m:dPr>
            <m:begChr m:val="("/>
            <m:endChr m:val=")"/>
            <m:sepChr m:val=""/>
            <m:grow/>
          </m:dPr>
          <m:e>
            <m:r>
              <m:t>0.4</m:t>
            </m:r>
            <m:r>
              <m:rPr>
                <m:sty m:val="p"/>
              </m:rPr>
              <m:t>+</m:t>
            </m:r>
            <m:r>
              <m:t>0.6</m:t>
            </m:r>
            <m:r>
              <m:rPr>
                <m:sty m:val="p"/>
              </m:rPr>
              <m:t>+</m:t>
            </m:r>
            <m:r>
              <m:t>0.4</m:t>
            </m:r>
          </m:e>
        </m:d>
      </m:oMath>
      <w:r>
        <w:t xml:space="preserve">.</w:t>
      </w:r>
    </w:p>
    <w:p>
      <w:pPr>
        <w:numPr>
          <w:ilvl w:val="1"/>
          <w:numId w:val="1005"/>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Tuple{Vector{Int}, Vector{AbstractFloat}}</w:t>
      </w:r>
      <w:r>
        <w:br/>
      </w:r>
      <w:r>
        <w:rPr>
          <w:rStyle w:val="NormalTok"/>
        </w:rPr>
        <w:t xml:space="preserve">    </w:t>
      </w:r>
      <w:r>
        <w:rPr>
          <w:rStyle w:val="CommentTok"/>
        </w:rPr>
        <w:t xml:space="preserve"># ...</w:t>
      </w:r>
      <w:r>
        <w:br/>
      </w:r>
      <w:r>
        <w:rPr>
          <w:rStyle w:val="KeywordTok"/>
        </w:rPr>
        <w:t xml:space="preserve">end</w:t>
      </w:r>
    </w:p>
    <w:bookmarkEnd w:id="32"/>
    <w:bookmarkStart w:id="3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If we want to explore the possible precipitation for some new temperature field, we can:</w:t>
      </w:r>
    </w:p>
    <w:p>
      <w:pPr>
        <w:numPr>
          <w:ilvl w:val="0"/>
          <w:numId w:val="1006"/>
        </w:numPr>
        <w:pStyle w:val="Compact"/>
      </w:pPr>
      <w:r>
        <w:t xml:space="preserve">Project the temperature field onto the low-dimensional space</w:t>
      </w:r>
    </w:p>
    <w:p>
      <w:pPr>
        <w:numPr>
          <w:ilvl w:val="0"/>
          <w:numId w:val="1006"/>
        </w:numPr>
        <w:pStyle w:val="Compact"/>
      </w:pPr>
      <w:r>
        <w:t xml:space="preserve">Find the</w:t>
      </w:r>
      <w:r>
        <w:t xml:space="preserve"> </w:t>
      </w:r>
      <m:oMath>
        <m:r>
          <m:t>K</m:t>
        </m:r>
      </m:oMath>
      <w:r>
        <w:t xml:space="preserve"> </w:t>
      </w:r>
      <w:r>
        <w:t xml:space="preserve">nearest neighbors to the projected temperature field</w:t>
      </w:r>
    </w:p>
    <w:p>
      <w:pPr>
        <w:numPr>
          <w:ilvl w:val="0"/>
          <w:numId w:val="1006"/>
        </w:numPr>
        <w:pStyle w:val="Compact"/>
      </w:pPr>
      <w:r>
        <w:t xml:space="preserve">Sample the precipitation field from the</w:t>
      </w:r>
      <w:r>
        <w:t xml:space="preserve"> </w:t>
      </w:r>
      <m:oMath>
        <m:r>
          <m:t>K</m:t>
        </m:r>
      </m:oMath>
      <w:r>
        <w:t xml:space="preserve"> </w:t>
      </w:r>
      <w:r>
        <w:t xml:space="preserve">nearest neighbors</w:t>
      </w:r>
    </w:p>
    <w:p>
      <w:pPr>
        <w:pStyle w:val="FirstParagraph"/>
      </w:pPr>
      <w:r>
        <w:t xml:space="preserve">Create a function to implement this model, then make predictions for three randomly chosen days in the testing set.</w:t>
      </w:r>
      <w:r>
        <w:t xml:space="preserve"> </w:t>
      </w:r>
      <w:r>
        <w:t xml:space="preserve">Create appropriate visualizations (you’ll need to think about how to visualize probabilistic precipitation!)</w:t>
      </w:r>
      <w:r>
        <w:t xml:space="preserve"> </w:t>
      </w:r>
      <w:r>
        <w:t xml:space="preserve">Once you are happy with your model, compare to the actual precipitation values for those days.</w:t>
      </w:r>
      <w:r>
        <w:t xml:space="preserve"> </w:t>
      </w:r>
      <w:r>
        <w:t xml:space="preserve">What do you learn?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juliastats.org/MultivariateStats.jl/dev/pca/" TargetMode="External" /><Relationship Type="http://schemas.openxmlformats.org/officeDocument/2006/relationships/hyperlink" Id="rId20"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27" Target="https://juliastats.org/MultivariateStats.jl/dev/pca/" TargetMode="External" /><Relationship Type="http://schemas.openxmlformats.org/officeDocument/2006/relationships/hyperlink" Id="rId20"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2023-10-13T03:42:13Z</dcterms:created>
  <dcterms:modified xsi:type="dcterms:W3CDTF">2023-10-13T03:42:13Z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2023-10-02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