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3"/>
          <w:numId w:val="1009"/>
        </w:numPr>
        <w:pStyle w:val="Compact"/>
      </w:pPr>
      <w:r>
        <w:t xml:space="preserve">This is sometimes called the</w:t>
      </w:r>
      <w:r>
        <w:t xml:space="preserve"> </w:t>
      </w:r>
      <w:r>
        <w:t xml:space="preserve">“</w:t>
      </w:r>
      <w:r>
        <w:t xml:space="preserve">kernel</w:t>
      </w:r>
      <w:r>
        <w:t xml:space="preserve">”</w:t>
      </w:r>
      <w:r>
        <w:t xml:space="preserve"> </w:t>
      </w:r>
      <w:r>
        <w:t xml:space="preserve">and there are other valid choices (from simple – like distance squared – to more complex)</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4</w:t>
      </w:r>
      <w:r>
        <w:rPr>
          <w:rStyle w:val="NormalTok"/>
        </w:rPr>
        <w:t xml:space="preserve">Plots.mm,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400</w:t>
      </w:r>
      <w:r>
        <w:rPr>
          <w:rStyle w:val="NormalTok"/>
        </w:rPr>
        <w:t xml:space="preserve">), linewidth</w:t>
      </w:r>
      <w:r>
        <w:rPr>
          <w:rStyle w:val="OperatorTok"/>
        </w:rPr>
        <w:t xml:space="preserve">=</w:t>
      </w:r>
      <w:r>
        <w:rPr>
          <w:rStyle w:val="FloatTok"/>
        </w:rPr>
        <w:t xml:space="preserve">2</w:t>
      </w:r>
      <w:r>
        <w:rPr>
          <w:rStyle w:val="NormalTok"/>
        </w:rPr>
        <w:t xml:space="preserve">)</w:t>
      </w:r>
    </w:p>
    <w:bookmarkEnd w:id="24"/>
    <w:bookmarkEnd w:id="25"/>
    <w:bookmarkStart w:id="34" w:name="data-1"/>
    <w:p>
      <w:pPr>
        <w:pStyle w:val="Heading1"/>
      </w:pPr>
      <w:r>
        <w:t xml:space="preserve">2. Data</w:t>
      </w:r>
    </w:p>
    <w:bookmarkStart w:id="29"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after="16"/>
            </w:pPr>
            <w:r>
              <w:t xml:space="preserve">Review the lab 05 solutions posted on Canvas to make sure you have the right syntax.</w:t>
            </w:r>
            <w:r>
              <w:t xml:space="preserve"> </w:t>
            </w:r>
            <w:r>
              <w:t xml:space="preserve">Additionally, if the latitudes are flipped, you need to reverse them (also in lab 5 solutions!)</w:t>
            </w:r>
          </w:p>
        </w:tc>
      </w:tr>
    </w:tbl>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9"/>
    <w:bookmarkStart w:id="30"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create a variable called</w:t>
      </w:r>
      <w:r>
        <w:t xml:space="preserve"> </w:t>
      </w:r>
      <w:r>
        <w:rPr>
          <w:rStyle w:val="VerbatimChar"/>
        </w:rPr>
        <w:t xml:space="preserve">time</w:t>
      </w:r>
      <w:r>
        <w:t xml:space="preserve"> </w:t>
      </w:r>
      <w:r>
        <w:t xml:space="preserve">that is equal to</w:t>
      </w:r>
      <w:r>
        <w:t xml:space="preserve"> </w:t>
      </w:r>
      <w:r>
        <w:rPr>
          <w:rStyle w:val="VerbatimChar"/>
        </w:rPr>
        <w:t xml:space="preserve">temp_time</w:t>
      </w:r>
      <w:r>
        <w:t xml:space="preserve">.</w:t>
      </w:r>
    </w:p>
    <w:bookmarkEnd w:id="30"/>
    <w:bookmarkStart w:id="33"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32"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31"/>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in:</w:t>
      </w:r>
    </w:p>
    <w:p>
      <w:pPr>
        <w:numPr>
          <w:ilvl w:val="0"/>
          <w:numId w:val="1010"/>
        </w:numPr>
        <w:pStyle w:val="Compact"/>
      </w:pPr>
      <w:r>
        <w:t xml:space="preserve">the raw field of temperature data (indexed lon, lat, time)</w:t>
      </w:r>
    </w:p>
    <w:p>
      <w:pPr>
        <w:numPr>
          <w:ilvl w:val="0"/>
          <w:numId w:val="1010"/>
        </w:numPr>
        <w:pStyle w:val="Compact"/>
      </w:pPr>
      <w:r>
        <w:t xml:space="preserve">the raw field of temperature data (indexed lon, lat, time) corresponding to the</w:t>
      </w:r>
      <w:r>
        <w:t xml:space="preserve"> </w:t>
      </w:r>
      <w:r>
        <w:t xml:space="preserve">“</w:t>
      </w:r>
      <w:r>
        <w:t xml:space="preserve">reference period</w:t>
      </w:r>
      <w:r>
        <w:t xml:space="preserve">”</w:t>
      </w:r>
      <w:r>
        <w:t xml:space="preserve"> </w:t>
      </w:r>
      <w:r>
        <w:t xml:space="preserve">over which climatology is returned</w:t>
      </w:r>
    </w:p>
    <w:p>
      <w:pPr>
        <w:numPr>
          <w:ilvl w:val="0"/>
          <w:numId w:val="1010"/>
        </w:numPr>
        <w:pStyle w:val="Compact"/>
      </w:pPr>
      <w:r>
        <w:t xml:space="preserve">any other inputs you would like (e.g., a vector of times for the reference and target periods)</w:t>
      </w:r>
    </w:p>
    <w:p>
      <w:pPr>
        <w:pStyle w:val="FirstParagraph"/>
      </w:pPr>
      <w:r>
        <w:t xml:space="preserve">and returns the matrix of preprocessed temperature data.</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 temp_reference</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32"/>
    <w:bookmarkEnd w:id="33"/>
    <w:bookmarkEnd w:id="34"/>
    <w:bookmarkStart w:id="39"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The key functions to know are:</w:t>
      </w:r>
    </w:p>
    <w:p>
      <w:pPr>
        <w:numPr>
          <w:ilvl w:val="0"/>
          <w:numId w:val="1011"/>
        </w:numPr>
        <w:pStyle w:val="Compact"/>
      </w:pPr>
      <w:r>
        <w:rPr>
          <w:rStyle w:val="VerbatimChar"/>
          <w:bCs/>
          <w:b/>
        </w:rPr>
        <w:t xml:space="preserve">fit</w:t>
      </w:r>
      <w:r>
        <w:rPr>
          <w:bCs/>
          <w:b/>
        </w:rPr>
        <w:t xml:space="preserve">:</w:t>
      </w:r>
      <w:r>
        <w:t xml:space="preserve"> </w:t>
      </w:r>
      <w:r>
        <w:t xml:space="preserve">Use the syntax like</w:t>
      </w:r>
      <w:r>
        <w:t xml:space="preserve"> </w:t>
      </w:r>
      <w:r>
        <w:rPr>
          <w:rStyle w:val="VerbatimChar"/>
        </w:rPr>
        <w:t xml:space="preserve">M = fit(PCA, X_train)</w:t>
      </w:r>
      <w:r>
        <w:t xml:space="preserve">. The model will automatically choose how many prinicpal components to use but you can modify it using the</w:t>
      </w:r>
      <w:r>
        <w:t xml:space="preserve"> </w:t>
      </w:r>
      <w:r>
        <w:rPr>
          <w:rStyle w:val="VerbatimChar"/>
        </w:rPr>
        <w:t xml:space="preserve">principalratio</w:t>
      </w:r>
      <w:r>
        <w:t xml:space="preserve"> </w:t>
      </w:r>
      <w:r>
        <w:t xml:space="preserve">and</w:t>
      </w:r>
      <w:r>
        <w:t xml:space="preserve"> </w:t>
      </w:r>
      <w:r>
        <w:rPr>
          <w:rStyle w:val="VerbatimChar"/>
        </w:rPr>
        <w:t xml:space="preserve">maxoutdim</w:t>
      </w:r>
      <w:r>
        <w:t xml:space="preserve"> </w:t>
      </w:r>
      <w:r>
        <w:t xml:space="preserve">arguments.</w:t>
      </w:r>
    </w:p>
    <w:p>
      <w:pPr>
        <w:numPr>
          <w:ilvl w:val="1"/>
          <w:numId w:val="1012"/>
        </w:numPr>
        <w:pStyle w:val="Compact"/>
      </w:pPr>
      <w:r>
        <w:t xml:space="preserve">To make plots of variance explained, the</w:t>
      </w:r>
      <w:r>
        <w:t xml:space="preserve"> </w:t>
      </w:r>
      <w:r>
        <w:rPr>
          <w:rStyle w:val="VerbatimChar"/>
        </w:rPr>
        <w:t xml:space="preserve">principalvars(M)</w:t>
      </w:r>
      <w:r>
        <w:t xml:space="preserve">,</w:t>
      </w:r>
      <w:r>
        <w:t xml:space="preserve"> </w:t>
      </w:r>
      <w:r>
        <w:rPr>
          <w:rStyle w:val="VerbatimChar"/>
        </w:rPr>
        <w:t xml:space="preserve">var(M)</w:t>
      </w:r>
      <w:r>
        <w:t xml:space="preserve">, and</w:t>
      </w:r>
      <w:r>
        <w:t xml:space="preserve"> </w:t>
      </w:r>
      <w:r>
        <w:rPr>
          <w:rStyle w:val="VerbatimChar"/>
        </w:rPr>
        <w:t xml:space="preserve">cumsum</w:t>
      </w:r>
      <w:r>
        <w:t xml:space="preserve"> </w:t>
      </w:r>
      <w:r>
        <w:t xml:space="preserve">functions may be helpful 😉</w:t>
      </w:r>
    </w:p>
    <w:p>
      <w:pPr>
        <w:numPr>
          <w:ilvl w:val="1"/>
          <w:numId w:val="1012"/>
        </w:numPr>
        <w:pStyle w:val="Compact"/>
      </w:pPr>
      <w:r>
        <w:t xml:space="preserve">Note: the documentation says: let</w:t>
      </w:r>
      <w:r>
        <w:t xml:space="preserve"> </w:t>
      </w:r>
      <w:r>
        <w:rPr>
          <w:rStyle w:val="VerbatimChar"/>
        </w:rPr>
        <w:t xml:space="preserve">(d, n) = size(X)</w:t>
      </w:r>
      <w:r>
        <w:t xml:space="preserve"> </w:t>
      </w:r>
      <w:r>
        <w:t xml:space="preserve">be respectively the input dimension and the number of observations: this is the opposite of what we have been doing, so you will need to transpose the data.</w:t>
      </w:r>
    </w:p>
    <w:p>
      <w:pPr>
        <w:numPr>
          <w:ilvl w:val="0"/>
          <w:numId w:val="1011"/>
        </w:numPr>
        <w:pStyle w:val="Compact"/>
      </w:pPr>
      <w:r>
        <w:rPr>
          <w:rStyle w:val="VerbatimChar"/>
          <w:bCs/>
          <w:b/>
        </w:rPr>
        <w:t xml:space="preserve">predict</w:t>
      </w:r>
      <w:r>
        <w:rPr>
          <w:bCs/>
          <w:b/>
        </w:rPr>
        <w:t xml:space="preserve">:</w:t>
      </w:r>
      <w:r>
        <w:t xml:space="preserve"> </w:t>
      </w:r>
      <w:r>
        <w:t xml:space="preserve">use the syntax</w:t>
      </w:r>
      <w:r>
        <w:t xml:space="preserve"> </w:t>
      </w:r>
      <w:r>
        <w:rPr>
          <w:rStyle w:val="VerbatimChar"/>
        </w:rPr>
        <w:t xml:space="preserve">X_pca = predict(M, X)</w:t>
      </w:r>
      <w:r>
        <w:t xml:space="preserve">. This will project the data</w:t>
      </w:r>
      <w:r>
        <w:t xml:space="preserve"> </w:t>
      </w:r>
      <w:r>
        <w:rPr>
          <w:rStyle w:val="VerbatimChar"/>
        </w:rPr>
        <w:t xml:space="preserve">X</w:t>
      </w:r>
      <w:r>
        <w:t xml:space="preserve"> </w:t>
      </w:r>
      <w:r>
        <w:t xml:space="preserve">onto the PCA basis.</w:t>
      </w:r>
    </w:p>
    <w:p>
      <w:pPr>
        <w:numPr>
          <w:ilvl w:val="0"/>
          <w:numId w:val="1011"/>
        </w:numPr>
        <w:pStyle w:val="Compact"/>
      </w:pPr>
      <w:r>
        <w:rPr>
          <w:rStyle w:val="VerbatimChar"/>
          <w:bCs/>
          <w:b/>
        </w:rPr>
        <w:t xml:space="preserve">projection</w:t>
      </w:r>
      <w:r>
        <w:rPr>
          <w:bCs/>
          <w:b/>
        </w:rPr>
        <w:t xml:space="preserve">:</w:t>
      </w:r>
      <w:r>
        <w:t xml:space="preserve"> </w:t>
      </w:r>
      <w:r>
        <w:t xml:space="preserve">returns a matrix where each column is a principal component loading vector and each row is a grid cell. . Use the syntax</w:t>
      </w:r>
      <w:r>
        <w:t xml:space="preserve"> </w:t>
      </w:r>
      <w:r>
        <w:rPr>
          <w:rStyle w:val="VerbatimChar"/>
        </w:rPr>
        <w:t xml:space="preserve">X_pca = projection(M)</w:t>
      </w:r>
      <w:r>
        <w:t xml:space="preserve">.</w:t>
      </w:r>
    </w:p>
    <w:p>
      <w:pPr>
        <w:pStyle w:val="FirstParagraph"/>
      </w:pPr>
      <w:r>
        <w:t xml:space="preserve">See the documentation</w:t>
      </w:r>
      <w:r>
        <w:t xml:space="preserve"> </w:t>
      </w:r>
      <w:hyperlink r:id="rId35">
        <w:r>
          <w:rPr>
            <w:rStyle w:val="Hyperlink"/>
          </w:rPr>
          <w:t xml:space="preserve">here</w:t>
        </w:r>
      </w:hyperlink>
      <w:r>
        <w:t xml:space="preserve"> </w:t>
      </w:r>
      <w:r>
        <w:t xml:space="preserve">for details.</w:t>
      </w:r>
    </w:p>
    <w:bookmarkStart w:id="36"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6"/>
    <w:bookmarkStart w:id="38" w:name="visualizing"/>
    <w:p>
      <w:pPr>
        <w:pStyle w:val="Heading2"/>
      </w:pPr>
      <w:r>
        <w:t xml:space="preserve">3.2 Visualizing</w:t>
      </w:r>
    </w:p>
    <w:p>
      <w:pPr>
        <w:numPr>
          <w:ilvl w:val="0"/>
          <w:numId w:val="1013"/>
        </w:numPr>
        <w:pStyle w:val="Compact"/>
      </w:pPr>
      <w:r>
        <w:t xml:space="preserve">Plot the spatial patterns associated with the first two principal components. You’ll need to reshape the data back to its original shape.</w:t>
      </w:r>
    </w:p>
    <w:p>
      <w:pPr>
        <w:numPr>
          <w:ilvl w:val="1"/>
          <w:numId w:val="1014"/>
        </w:numPr>
        <w:pStyle w:val="Compact"/>
      </w:pPr>
      <w:r>
        <w:t xml:space="preserve">You do not need to add map features. The best package for mapping is</w:t>
      </w:r>
      <w:r>
        <w:t xml:space="preserve"> </w:t>
      </w:r>
      <w:hyperlink r:id="rId37">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13"/>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13"/>
        </w:numPr>
        <w:pStyle w:val="Compact"/>
      </w:pPr>
      <w:r>
        <w:t xml:space="preserve">Make a scatter plot of the first two principal components, where each day is a day. Color the points by the precipitation value at that time.</w:t>
      </w:r>
    </w:p>
    <w:p>
      <w:pPr>
        <w:numPr>
          <w:ilvl w:val="1"/>
          <w:numId w:val="1015"/>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5"/>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8"/>
    <w:bookmarkEnd w:id="39"/>
    <w:bookmarkStart w:id="42"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6"/>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6"/>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6"/>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6"/>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1.4</m:t>
            </m:r>
          </m:e>
        </m:d>
      </m:oMath>
      <w:r>
        <w:t xml:space="preserve">.</w:t>
      </w:r>
    </w:p>
    <w:p>
      <w:pPr>
        <w:numPr>
          <w:ilvl w:val="0"/>
          <w:numId w:val="1016"/>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 proportional to</w:t>
      </w:r>
      <w:r>
        <w:t xml:space="preserve"> </w:t>
      </w:r>
      <m:oMath>
        <m:d>
          <m:dPr>
            <m:begChr m:val="["/>
            <m:endChr m:val="]"/>
            <m:sepChr m:val=""/>
            <m:grow/>
          </m:dPr>
          <m:e>
            <m:f>
              <m:fPr>
                <m:type m:val="bar"/>
              </m:fPr>
              <m:num>
                <m:r>
                  <m:t>1</m:t>
                </m:r>
              </m:num>
              <m:den>
                <m:r>
                  <m:t>0.4</m:t>
                </m:r>
              </m:den>
            </m:f>
            <m:r>
              <m:rPr>
                <m:sty m:val="p"/>
              </m:rPr>
              <m:t>,</m:t>
            </m:r>
            <m:f>
              <m:fPr>
                <m:type m:val="bar"/>
              </m:fPr>
              <m:num>
                <m:r>
                  <m:t>1</m:t>
                </m:r>
              </m:num>
              <m:den>
                <m:r>
                  <m:t>0.6</m:t>
                </m:r>
              </m:den>
            </m:f>
            <m:r>
              <m:rPr>
                <m:sty m:val="p"/>
              </m:rPr>
              <m:t>,</m:t>
            </m:r>
            <m:f>
              <m:fPr>
                <m:type m:val="bar"/>
              </m:fPr>
              <m:num>
                <m:r>
                  <m:t>1</m:t>
                </m:r>
              </m:num>
              <m:den>
                <m:r>
                  <m:t>1.4</m:t>
                </m:r>
              </m:den>
            </m:f>
          </m:e>
        </m:d>
      </m:oMath>
      <w:r>
        <w:t xml:space="preserve">. This works out to probabilities of approximately</w:t>
      </w:r>
      <w:r>
        <w:t xml:space="preserve"> </w:t>
      </w:r>
      <m:oMath>
        <m:d>
          <m:dPr>
            <m:begChr m:val="["/>
            <m:endChr m:val="]"/>
            <m:sepChr m:val=""/>
            <m:grow/>
          </m:dPr>
          <m:e>
            <m:r>
              <m:t>0.51</m:t>
            </m:r>
            <m:r>
              <m:rPr>
                <m:sty m:val="p"/>
              </m:rPr>
              <m:t>,</m:t>
            </m:r>
            <m:r>
              <m:t>0.34</m:t>
            </m:r>
            <m:r>
              <m:rPr>
                <m:sty m:val="p"/>
              </m:rPr>
              <m:t>,</m:t>
            </m:r>
            <m:r>
              <m:t>0.15</m:t>
            </m:r>
          </m:e>
        </m:d>
      </m:oMath>
      <w:r>
        <w:t xml:space="preserve">.</w:t>
      </w:r>
    </w:p>
    <w:p>
      <w:pPr>
        <w:numPr>
          <w:ilvl w:val="1"/>
          <w:numId w:val="1017"/>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pPr>
            <w:r>
              <w:t xml:space="preserve">You may find the</w:t>
            </w:r>
            <w:r>
              <w:t xml:space="preserve"> </w:t>
            </w:r>
            <w:r>
              <w:rPr>
                <w:rStyle w:val="VerbatimChar"/>
              </w:rPr>
              <w:t xml:space="preserve">sample</w:t>
            </w:r>
            <w:r>
              <w:t xml:space="preserve"> </w:t>
            </w:r>
            <w:r>
              <w:t xml:space="preserve">function from</w:t>
            </w:r>
            <w:r>
              <w:t xml:space="preserve"> </w:t>
            </w:r>
            <w:r>
              <w:rPr>
                <w:rStyle w:val="VerbatimChar"/>
              </w:rPr>
              <w:t xml:space="preserve">StatsBase</w:t>
            </w:r>
            <w:r>
              <w:t xml:space="preserve"> </w:t>
            </w:r>
            <w:r>
              <w:t xml:space="preserve">to be helpful.</w:t>
            </w:r>
            <w:r>
              <w:t xml:space="preserve"> </w:t>
            </w:r>
            <w:r>
              <w:t xml:space="preserve">You can define weights and use it for weighted sampling:</w:t>
            </w:r>
          </w:p>
          <w:p>
            <w:pPr>
              <w:pStyle w:val="SourceCode"/>
            </w:pPr>
            <w:r>
              <w:rPr>
                <w:rStyle w:val="NormalTok"/>
              </w:rPr>
              <w:t xml:space="preserve">w </w:t>
            </w:r>
            <w:r>
              <w:rPr>
                <w:rStyle w:val="OperatorTok"/>
              </w:rPr>
              <w:t xml:space="preserve">=</w:t>
            </w:r>
            <w:r>
              <w:rPr>
                <w:rStyle w:val="NormalTok"/>
              </w:rPr>
              <w:t xml:space="preserve"> </w:t>
            </w:r>
            <w:r>
              <w:rPr>
                <w:rStyle w:val="FunctionTok"/>
              </w:rPr>
              <w:t xml:space="preserve">Weights</w:t>
            </w:r>
            <w:r>
              <w:rPr>
                <w:rStyle w:val="Normal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FunctionTok"/>
              </w:rPr>
              <w:t xml:space="preserve">sample</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w:t>
            </w:r>
          </w:p>
        </w:tc>
      </w:tr>
    </w:tbl>
    <w:bookmarkEnd w:id="42"/>
    <w:bookmarkStart w:id="43"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 temp_test, precip_train;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2023-11-13T16:51:05Z</dcterms:created>
  <dcterms:modified xsi:type="dcterms:W3CDTF">2023-11-13T16:51:05Z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