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RAG项目评估指标体系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在RAG（检索增强生成）项目中，建立一套系统化的评估体系至关重要，它能帮助我们将"凭感觉优化"转变为"用数据说话"。RAG的评估通常采用分层评估的思路，主要分为检索阶段、生成阶段和端到端三个维度。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检索阶段评估指标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这一阶段主要评估系统能否从知识库中找到正确的信息块（Chunk）。如果检索失败，后续生成再好也是徒劳。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命中率 (Hit Rate)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：在Top-K个召回的Chunk中，是否包含正确答案对应的Chunk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计算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：只要命中任意一个正确Chunk即记为1，否则为0，最后取平均值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核心关注点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：有没有命中（不关心排名，只关心是否召回）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：≥0.85（适用于快速验证检索基本能力）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平均倒数排名 (MRR)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：不仅看是否命中，还看正确答案排在第几位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计算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：排名第1得1分，第2得0.5分，第K得1/K分。未命中得0分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核心关注点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：命中位置（反映检索系统的自信度和排序质量）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：≥0.70（越接近1越好，说明答案常排在首位）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召回率 (Recall)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：该找到的相关Chunk，实际找到了多少比例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计算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：命中的相关Chunk数/标注的相关Chunk总数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核心关注点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：覆盖度（适用于答案分散在多个Chunk的复杂场景）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：≥0.75（RAG通常更关注召回率，宁可多召回）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1.4 精确率 (Precision)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：找回来的Chunk里，有多少是真正有用的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计算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：命中的相关Chunk数/召回的Chunk总数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核心关注点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：噪音控制（过多无关Chunk会干扰模型生成并浪费Token）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：≥0.50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生成阶段评估指标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这一阶段评估模型在拿到检索到的Chunk后，回答的质量如何。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忠实度 (Faithfulness)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：模型生成的答案是否忠实于检索到的Chunk内容，有没有编造Chunk中没有的信息（幻觉）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注意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：忠实度≠正确率（Chunk本身可能过时，但模型忠实转述则忠实度高）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核心关注点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：有没有编造（这是RAG系统的红线指标）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：平均分≥4.0（通常配合LLM-as-Judge打分）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答案相关性 (Answer Relevancy)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：模型生成的答案是否回答了用户的问题，有没有答非所问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注意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：与忠实度独立。模型可能很忠实于无关的Chunk，导致相关性低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核心关注点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：有没有答非所问（评估回答是否切题）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：平均分≥4.0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端到端评估指标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这一阶段直接看最终结果，不纠结中间过程，关注用户侧的体验。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答案正确率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：最终答案是否正确回答了用户的问题（通常与标准答案进行语义匹配）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核心关注点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：最终结果（最直观的业务指标）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：越高越好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兜底率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：系统回答"抱歉，找不到相关信息"的比例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核心关注点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：知识库覆盖与检索（太高说明知识库缺漏或检索差；太低可能模型在强行回答）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：5%-15%（视业务场景而定）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幻觉率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：忠实度评分较低（如≤2分）的回答占总回答的比例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核心关注点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：系统级红线（RAG的核心价值是基于检索回答，幻觉率过高则失去意义）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参考阈值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：≤15%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辅助评估指标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用户满意度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北极星指标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显式反馈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：点赞/点踩（参与率低，有偏差）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隐式反馈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：重复提问（不满意）、转人工客服（未解决）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评估指标应用建议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分层定位问题</w:t>
      </w:r>
      <w:bookmarkEnd w:id="105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如果检索指标（Hit Rate/MRR）低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→优化检索环节（调整Chunk Size、Embedding模型、Top-K数量、加入Reranker）</w:t>
      </w:r>
      <w:bookmarkEnd w:id="105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如果检索指标好但生成指标（忠实度）差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→优化Prompt（加强约束指令）或更换生成模型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如果忠实度高但正确率低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→检查知识库内容是否过时或缺失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自动化评测 (LLM-as-Judge)</w:t>
      </w:r>
      <w:bookmarkEnd w:id="106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利用大模型（如DeepSeek、Qwen）作为裁判，对忠实度、相关性、正确率进行1-5分打分</w:t>
      </w:r>
      <w:bookmarkEnd w:id="106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注意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：需定期用人工评分校准LLM的打分一致性（一致性低于80%需调整Prompt或更换评委模型）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持续迭代</w:t>
      </w:r>
      <w:bookmarkEnd w:id="106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建立包含50-100条覆盖不同难度和意图的评测集</w:t>
      </w:r>
      <w:bookmarkEnd w:id="106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每次优化后重新跑评测，确保没有引入"按下葫芦浮起瓢"的回归问题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总结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RAG项目的评估体系需要从多个维度综合考量，通过分层评估可以精准定位问题所在。在实际应用中，建议根据具体的业务场景和需求，选择合适的评估指标组合，并建立持续的评估和优化机制。</w:t>
      </w:r>
      <w:bookmarkEnd w:id="1069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2026-04-23T06:18:54Z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ZI0mHuhNQSkGkSPy5MGur0VLgCZjf+cVGd+mozSYYfQ=","ProduceID":"doc_sgs:44f54c87-1d6f-4c39-acf8-def6c14f0fbd","ReservedCode2":"ZI0mHuhNQSkGkSPy5MGur0VLgCZjf+cVGd+mozSYYfQ=","PropagateID":"doc_sgs:44f54c87-1d6f-4c39-acf8-def6c14f0fbd","ContentProducer":"001191440101MA9Y9T4H7A00000"}</vt:lpwstr>
  </property>
</Properties>
</file>