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Football Promotion/Relegation Project</w:t>
      </w:r>
    </w:p>
    <w:p>
      <w:pPr>
        <w:pStyle w:val="Subtitle"/>
      </w:pPr>
      <w:r>
        <w:t>Combined End-of-Day Research Summary | October 17, 2026</w:t>
      </w:r>
    </w:p>
    <w:p>
      <w:r>
        <w:t>Research checkpoint: paused after F25. This report combines the Phase 5 operational checkpoint with the subsequent broadcast and media-rights research completed in the conversation. Figures are modeled unless expressly described as verified.</w:t>
      </w:r>
    </w:p>
    <w:p>
      <w:pPr>
        <w:pStyle w:val="Heading1"/>
      </w:pPr>
      <w:r>
        <w:t>1. START — WHERE WE BEGAN</w:t>
      </w:r>
    </w:p>
    <w:p>
      <w:r>
        <w:t>The project seeks to reconstruct American college football around competitive performance, with promotion and relegation connecting tiers rather than retaining historical conference affiliations as permanent constraints. The initial focus was to build a nationally attractive, operationally plausible 14-week schedule; the scope expanded to broadcast allocation and financial viability.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Competition component</w:t>
            </w:r>
          </w:p>
        </w:tc>
        <w:tc>
          <w:tcPr>
            <w:tcW w:type="dxa" w:w="4320"/>
          </w:tcPr>
          <w:p>
            <w:r>
              <w:t>Working structure</w:t>
            </w:r>
          </w:p>
        </w:tc>
      </w:tr>
      <w:tr>
        <w:tc>
          <w:tcPr>
            <w:tcW w:type="dxa" w:w="4320"/>
          </w:tcPr>
          <w:p>
            <w:r>
              <w:t>Schools</w:t>
            </w:r>
          </w:p>
        </w:tc>
        <w:tc>
          <w:tcPr>
            <w:tcW w:type="dxa" w:w="4320"/>
          </w:tcPr>
          <w:p>
            <w:r>
              <w:t>137</w:t>
            </w:r>
          </w:p>
        </w:tc>
      </w:tr>
      <w:tr>
        <w:tc>
          <w:tcPr>
            <w:tcW w:type="dxa" w:w="4320"/>
          </w:tcPr>
          <w:p>
            <w:r>
              <w:t>Competitive tiers/conferences</w:t>
            </w:r>
          </w:p>
        </w:tc>
        <w:tc>
          <w:tcPr>
            <w:tcW w:type="dxa" w:w="4320"/>
          </w:tcPr>
          <w:p>
            <w:r>
              <w:t>10</w:t>
            </w:r>
          </w:p>
        </w:tc>
      </w:tr>
      <w:tr>
        <w:tc>
          <w:tcPr>
            <w:tcW w:type="dxa" w:w="4320"/>
          </w:tcPr>
          <w:p>
            <w:r>
              <w:t>Games per school</w:t>
            </w:r>
          </w:p>
        </w:tc>
        <w:tc>
          <w:tcPr>
            <w:tcW w:type="dxa" w:w="4320"/>
          </w:tcPr>
          <w:p>
            <w:r>
              <w:t>12</w:t>
            </w:r>
          </w:p>
        </w:tc>
      </w:tr>
      <w:tr>
        <w:tc>
          <w:tcPr>
            <w:tcW w:type="dxa" w:w="4320"/>
          </w:tcPr>
          <w:p>
            <w:r>
              <w:t>Home / away per school</w:t>
            </w:r>
          </w:p>
        </w:tc>
        <w:tc>
          <w:tcPr>
            <w:tcW w:type="dxa" w:w="4320"/>
          </w:tcPr>
          <w:p>
            <w:r>
              <w:t>6 / 6</w:t>
            </w:r>
          </w:p>
        </w:tc>
      </w:tr>
      <w:tr>
        <w:tc>
          <w:tcPr>
            <w:tcW w:type="dxa" w:w="4320"/>
          </w:tcPr>
          <w:p>
            <w:r>
              <w:t>Same-tier games</w:t>
            </w:r>
          </w:p>
        </w:tc>
        <w:tc>
          <w:tcPr>
            <w:tcW w:type="dxa" w:w="4320"/>
          </w:tcPr>
          <w:p>
            <w:r>
              <w:t>548</w:t>
            </w:r>
          </w:p>
        </w:tc>
      </w:tr>
      <w:tr>
        <w:tc>
          <w:tcPr>
            <w:tcW w:type="dxa" w:w="4320"/>
          </w:tcPr>
          <w:p>
            <w:r>
              <w:t>Adjacent-tier games</w:t>
            </w:r>
          </w:p>
        </w:tc>
        <w:tc>
          <w:tcPr>
            <w:tcW w:type="dxa" w:w="4320"/>
          </w:tcPr>
          <w:p>
            <w:r>
              <w:t>274</w:t>
            </w:r>
          </w:p>
        </w:tc>
      </w:tr>
      <w:tr>
        <w:tc>
          <w:tcPr>
            <w:tcW w:type="dxa" w:w="4320"/>
          </w:tcPr>
          <w:p>
            <w:r>
              <w:t>Total regular-season games</w:t>
            </w:r>
          </w:p>
        </w:tc>
        <w:tc>
          <w:tcPr>
            <w:tcW w:type="dxa" w:w="4320"/>
          </w:tcPr>
          <w:p>
            <w:r>
              <w:t>822</w:t>
            </w:r>
          </w:p>
        </w:tc>
      </w:tr>
      <w:tr>
        <w:tc>
          <w:tcPr>
            <w:tcW w:type="dxa" w:w="4320"/>
          </w:tcPr>
          <w:p>
            <w:r>
              <w:t>Regular-season duration</w:t>
            </w:r>
          </w:p>
        </w:tc>
        <w:tc>
          <w:tcPr>
            <w:tcW w:type="dxa" w:w="4320"/>
          </w:tcPr>
          <w:p>
            <w:r>
              <w:t>14 weeks</w:t>
            </w:r>
          </w:p>
        </w:tc>
      </w:tr>
    </w:tbl>
    <w:p/>
    <w:p>
      <w:r>
        <w:t>The early Phase 5 financial screen was approximately $1.81 billion annually, with $1.08–$2.83 billion sensitivities against a $4 billion target. These were preliminary assumptions, not validated market offers. Existing College Football Playoff revenues cannot automatically be counted as incremental revenue.</w:t>
      </w:r>
    </w:p>
    <w:p>
      <w:pPr>
        <w:pStyle w:val="Heading1"/>
      </w:pPr>
      <w:r>
        <w:t>2. RESEARCH PHILOSOPHY AND OUTCOMES</w:t>
      </w:r>
    </w:p>
    <w:p>
      <w:pPr>
        <w:pStyle w:val="ListBullet"/>
      </w:pPr>
      <w:r>
        <w:rPr>
          <w:b/>
        </w:rPr>
        <w:t xml:space="preserve">Competitiveness first: </w:t>
      </w:r>
      <w:r>
        <w:t>The reconstructed conference hierarchy is not constrained by legacy SEC, Big Ten, ACC, or Big 12 memberships.</w:t>
      </w:r>
    </w:p>
    <w:p>
      <w:pPr>
        <w:pStyle w:val="ListBullet"/>
      </w:pPr>
      <w:r>
        <w:rPr>
          <w:b/>
        </w:rPr>
        <w:t xml:space="preserve">Unified future-state rights: </w:t>
      </w:r>
      <w:r>
        <w:t>Evaluate renegotiated, unified media rights; treat existing agreements as transition and implementation sensitivities, not permanent design constraints.</w:t>
      </w:r>
    </w:p>
    <w:p>
      <w:pPr>
        <w:pStyle w:val="ListBullet"/>
      </w:pPr>
      <w:r>
        <w:rPr>
          <w:b/>
        </w:rPr>
        <w:t xml:space="preserve">Competitive integrity: </w:t>
      </w:r>
      <w:r>
        <w:t>Preserve matchups, school participation, home/away balance, byes, and fairness.</w:t>
      </w:r>
    </w:p>
    <w:p>
      <w:pPr>
        <w:pStyle w:val="ListBullet"/>
      </w:pPr>
      <w:r>
        <w:rPr>
          <w:b/>
        </w:rPr>
        <w:t xml:space="preserve">Operational realism: </w:t>
      </w:r>
      <w:r>
        <w:t>Quantify rest, travel, stadium, and kickoff-time risks instead of assuming availability.</w:t>
      </w:r>
    </w:p>
    <w:p>
      <w:pPr>
        <w:pStyle w:val="ListBullet"/>
      </w:pPr>
      <w:r>
        <w:rPr>
          <w:b/>
        </w:rPr>
        <w:t xml:space="preserve">Seven-day opportunity: </w:t>
      </w:r>
      <w:r>
        <w:t>Test Thursday and Friday alongside Saturday, without presuming every game should move.</w:t>
      </w:r>
    </w:p>
    <w:p>
      <w:pPr>
        <w:pStyle w:val="ListBullet"/>
      </w:pPr>
      <w:r>
        <w:rPr>
          <w:b/>
        </w:rPr>
        <w:t xml:space="preserve">Evidence and provenance: </w:t>
      </w:r>
      <w:r>
        <w:t>Separate historical audiences, reported starts, actual kickoffs, broadcast windows, and hypothetical assignments.</w:t>
      </w:r>
    </w:p>
    <w:p>
      <w:pPr>
        <w:pStyle w:val="ListBullet"/>
      </w:pPr>
      <w:r>
        <w:rPr>
          <w:b/>
        </w:rPr>
        <w:t xml:space="preserve">Financial discipline: </w:t>
      </w:r>
      <w:r>
        <w:t>Distinguish advertising, subscription/distribution value, production cost, buyer margin, and rights fees.</w:t>
      </w:r>
    </w:p>
    <w:p>
      <w:pPr>
        <w:pStyle w:val="ListBullet"/>
      </w:pPr>
      <w:r>
        <w:rPr>
          <w:b/>
        </w:rPr>
        <w:t xml:space="preserve">Reproducibility: </w:t>
      </w:r>
      <w:r>
        <w:t>Preserve scenario comparisons, audit registers, research crosswalks, and explicit uncertainty.</w:t>
      </w:r>
    </w:p>
    <w:p>
      <w:pPr>
        <w:pStyle w:val="Heading1"/>
      </w:pPr>
      <w:r>
        <w:t>3. WHAT WE ACCOMPLISHED TODAY</w:t>
      </w:r>
    </w:p>
    <w:p>
      <w:pPr>
        <w:pStyle w:val="Heading2"/>
      </w:pPr>
      <w:r>
        <w:t>A. Scheduling and operational development</w:t>
      </w:r>
    </w:p>
    <w:p>
      <w:r>
        <w:t>The 822-game, 14-week schedule advanced into an operational baseline, Scenario F2. Reducing the minimum separation between game dates from seven to six calendar days preserved the proposed weekday inventory without date changes in F2. The six-day standard is a date-separation rule; it does not itself certify travel recovery or venue availability.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Day</w:t>
            </w:r>
          </w:p>
        </w:tc>
        <w:tc>
          <w:tcPr>
            <w:tcW w:type="dxa" w:w="4320"/>
          </w:tcPr>
          <w:p>
            <w:r>
              <w:t>F2 games</w:t>
            </w:r>
          </w:p>
        </w:tc>
      </w:tr>
      <w:tr>
        <w:tc>
          <w:tcPr>
            <w:tcW w:type="dxa" w:w="4320"/>
          </w:tcPr>
          <w:p>
            <w:r>
              <w:t>Thursday</w:t>
            </w:r>
          </w:p>
        </w:tc>
        <w:tc>
          <w:tcPr>
            <w:tcW w:type="dxa" w:w="4320"/>
          </w:tcPr>
          <w:p>
            <w:r>
              <w:t>13</w:t>
            </w:r>
          </w:p>
        </w:tc>
      </w:tr>
      <w:tr>
        <w:tc>
          <w:tcPr>
            <w:tcW w:type="dxa" w:w="4320"/>
          </w:tcPr>
          <w:p>
            <w:r>
              <w:t>Friday</w:t>
            </w:r>
          </w:p>
        </w:tc>
        <w:tc>
          <w:tcPr>
            <w:tcW w:type="dxa" w:w="4320"/>
          </w:tcPr>
          <w:p>
            <w:r>
              <w:t>28</w:t>
            </w:r>
          </w:p>
        </w:tc>
      </w:tr>
      <w:tr>
        <w:tc>
          <w:tcPr>
            <w:tcW w:type="dxa" w:w="4320"/>
          </w:tcPr>
          <w:p>
            <w:r>
              <w:t>Saturday</w:t>
            </w:r>
          </w:p>
        </w:tc>
        <w:tc>
          <w:tcPr>
            <w:tcW w:type="dxa" w:w="4320"/>
          </w:tcPr>
          <w:p>
            <w:r>
              <w:t>781</w:t>
            </w:r>
          </w:p>
        </w:tc>
      </w:tr>
      <w:tr>
        <w:tc>
          <w:tcPr>
            <w:tcW w:type="dxa" w:w="4320"/>
          </w:tcPr>
          <w:p>
            <w:r>
              <w:t>Total</w:t>
            </w:r>
          </w:p>
        </w:tc>
        <w:tc>
          <w:tcPr>
            <w:tcW w:type="dxa" w:w="4320"/>
          </w:tcPr>
          <w:p>
            <w:r>
              <w:t>822</w:t>
            </w:r>
          </w:p>
        </w:tc>
      </w:tr>
    </w:tbl>
    <w:p/>
    <w:tbl>
      <w:tblPr>
        <w:tblStyle w:val="LightShading-Accent1"/>
        <w:tblW w:type="auto" w:w="0"/>
        <w:jc w:val="center"/>
        <w:tblLook w:firstColumn="1" w:firstRow="1" w:lastColumn="0" w:lastRow="0" w:noHBand="0" w:noVBand="1" w:val="04A0"/>
      </w:tblPr>
      <w:tblGrid>
        <w:gridCol w:w="4320"/>
        <w:gridCol w:w="4320"/>
      </w:tblGrid>
      <w:tr>
        <w:tc>
          <w:tcPr>
            <w:tcW w:type="dxa" w:w="4320"/>
          </w:tcPr>
          <w:p>
            <w:r>
              <w:t>Operational risk screen</w:t>
            </w:r>
          </w:p>
        </w:tc>
        <w:tc>
          <w:tcPr>
            <w:tcW w:type="dxa" w:w="4320"/>
          </w:tcPr>
          <w:p>
            <w:r>
              <w:t>Count</w:t>
            </w:r>
          </w:p>
        </w:tc>
      </w:tr>
      <w:tr>
        <w:tc>
          <w:tcPr>
            <w:tcW w:type="dxa" w:w="4320"/>
          </w:tcPr>
          <w:p>
            <w:r>
              <w:t>Six-day team turnaround intervals</w:t>
            </w:r>
          </w:p>
        </w:tc>
        <w:tc>
          <w:tcPr>
            <w:tcW w:type="dxa" w:w="4320"/>
          </w:tcPr>
          <w:p>
            <w:r>
              <w:t>29</w:t>
            </w:r>
          </w:p>
        </w:tc>
      </w:tr>
      <w:tr>
        <w:tc>
          <w:tcPr>
            <w:tcW w:type="dxa" w:w="4320"/>
          </w:tcPr>
          <w:p>
            <w:r>
              <w:t>Teams affected</w:t>
            </w:r>
          </w:p>
        </w:tc>
        <w:tc>
          <w:tcPr>
            <w:tcW w:type="dxa" w:w="4320"/>
          </w:tcPr>
          <w:p>
            <w:r>
              <w:t>16</w:t>
            </w:r>
          </w:p>
        </w:tc>
      </w:tr>
      <w:tr>
        <w:tc>
          <w:tcPr>
            <w:tcW w:type="dxa" w:w="4320"/>
          </w:tcPr>
          <w:p>
            <w:r>
              <w:t>Distinct games touching intervals</w:t>
            </w:r>
          </w:p>
        </w:tc>
        <w:tc>
          <w:tcPr>
            <w:tcW w:type="dxa" w:w="4320"/>
          </w:tcPr>
          <w:p>
            <w:r>
              <w:t>49</w:t>
            </w:r>
          </w:p>
        </w:tc>
      </w:tr>
      <w:tr>
        <w:tc>
          <w:tcPr>
            <w:tcW w:type="dxa" w:w="4320"/>
          </w:tcPr>
          <w:p>
            <w:r>
              <w:t>Consecutive-road six-day sequences</w:t>
            </w:r>
          </w:p>
        </w:tc>
        <w:tc>
          <w:tcPr>
            <w:tcW w:type="dxa" w:w="4320"/>
          </w:tcPr>
          <w:p>
            <w:r>
              <w:t>4</w:t>
            </w:r>
          </w:p>
        </w:tc>
      </w:tr>
      <w:tr>
        <w:tc>
          <w:tcPr>
            <w:tcW w:type="dxa" w:w="4320"/>
          </w:tcPr>
          <w:p>
            <w:r>
              <w:t>Cross-time-zone six-day intervals</w:t>
            </w:r>
          </w:p>
        </w:tc>
        <w:tc>
          <w:tcPr>
            <w:tcW w:type="dxa" w:w="4320"/>
          </w:tcPr>
          <w:p>
            <w:r>
              <w:t>17</w:t>
            </w:r>
          </w:p>
        </w:tc>
      </w:tr>
      <w:tr>
        <w:tc>
          <w:tcPr>
            <w:tcW w:type="dxa" w:w="4320"/>
          </w:tcPr>
          <w:p>
            <w:r>
              <w:t>Teams with Thursday/Friday exposure</w:t>
            </w:r>
          </w:p>
        </w:tc>
        <w:tc>
          <w:tcPr>
            <w:tcW w:type="dxa" w:w="4320"/>
          </w:tcPr>
          <w:p>
            <w:r>
              <w:t>26</w:t>
            </w:r>
          </w:p>
        </w:tc>
      </w:tr>
      <w:tr>
        <w:tc>
          <w:tcPr>
            <w:tcW w:type="dxa" w:w="4320"/>
          </w:tcPr>
          <w:p>
            <w:r>
              <w:t>Ambiguous 11:00 ET windows</w:t>
            </w:r>
          </w:p>
        </w:tc>
        <w:tc>
          <w:tcPr>
            <w:tcW w:type="dxa" w:w="4320"/>
          </w:tcPr>
          <w:p>
            <w:r>
              <w:t>58</w:t>
            </w:r>
          </w:p>
        </w:tc>
      </w:tr>
    </w:tbl>
    <w:p/>
    <w:p>
      <w:r>
        <w:t>The Phase 5 audit also identified priority road sequences and shared-use stadium issues. Venue-date calendars, travel itineraries, and actual kickoff definitions remain unverified.</w:t>
      </w:r>
    </w:p>
    <w:p>
      <w:pPr>
        <w:pStyle w:val="Heading2"/>
      </w:pPr>
      <w:r>
        <w:t>B. Broadcast scheduling and distribution — F4–F17</w:t>
      </w:r>
    </w:p>
    <w:p>
      <w:r>
        <w:t>The workstream advanced from hypothetical broadcast placement to a unified-rights framework. A proposed 111-game national package assigned 67 over-the-air and 44 national-cable games, with at least one modeled national appearance for all 137 schools. Network assignments are hypothetical, not rights-cleared bookings.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Candidate network</w:t>
            </w:r>
          </w:p>
        </w:tc>
        <w:tc>
          <w:tcPr>
            <w:tcW w:type="dxa" w:w="4320"/>
          </w:tcPr>
          <w:p>
            <w:r>
              <w:t>Proposed national games</w:t>
            </w:r>
          </w:p>
        </w:tc>
      </w:tr>
      <w:tr>
        <w:tc>
          <w:tcPr>
            <w:tcW w:type="dxa" w:w="4320"/>
          </w:tcPr>
          <w:p>
            <w:r>
              <w:t>ABC</w:t>
            </w:r>
          </w:p>
        </w:tc>
        <w:tc>
          <w:tcPr>
            <w:tcW w:type="dxa" w:w="4320"/>
          </w:tcPr>
          <w:p>
            <w:r>
              <w:t>14</w:t>
            </w:r>
          </w:p>
        </w:tc>
      </w:tr>
      <w:tr>
        <w:tc>
          <w:tcPr>
            <w:tcW w:type="dxa" w:w="4320"/>
          </w:tcPr>
          <w:p>
            <w:r>
              <w:t>FOX</w:t>
            </w:r>
          </w:p>
        </w:tc>
        <w:tc>
          <w:tcPr>
            <w:tcW w:type="dxa" w:w="4320"/>
          </w:tcPr>
          <w:p>
            <w:r>
              <w:t>28</w:t>
            </w:r>
          </w:p>
        </w:tc>
      </w:tr>
      <w:tr>
        <w:tc>
          <w:tcPr>
            <w:tcW w:type="dxa" w:w="4320"/>
          </w:tcPr>
          <w:p>
            <w:r>
              <w:t>CBS</w:t>
            </w:r>
          </w:p>
        </w:tc>
        <w:tc>
          <w:tcPr>
            <w:tcW w:type="dxa" w:w="4320"/>
          </w:tcPr>
          <w:p>
            <w:r>
              <w:t>13</w:t>
            </w:r>
          </w:p>
        </w:tc>
      </w:tr>
      <w:tr>
        <w:tc>
          <w:tcPr>
            <w:tcW w:type="dxa" w:w="4320"/>
          </w:tcPr>
          <w:p>
            <w:r>
              <w:t>NBC</w:t>
            </w:r>
          </w:p>
        </w:tc>
        <w:tc>
          <w:tcPr>
            <w:tcW w:type="dxa" w:w="4320"/>
          </w:tcPr>
          <w:p>
            <w:r>
              <w:t>11</w:t>
            </w:r>
          </w:p>
        </w:tc>
      </w:tr>
      <w:tr>
        <w:tc>
          <w:tcPr>
            <w:tcW w:type="dxa" w:w="4320"/>
          </w:tcPr>
          <w:p>
            <w:r>
              <w:t>ESPN</w:t>
            </w:r>
          </w:p>
        </w:tc>
        <w:tc>
          <w:tcPr>
            <w:tcW w:type="dxa" w:w="4320"/>
          </w:tcPr>
          <w:p>
            <w:r>
              <w:t>37</w:t>
            </w:r>
          </w:p>
        </w:tc>
      </w:tr>
      <w:tr>
        <w:tc>
          <w:tcPr>
            <w:tcW w:type="dxa" w:w="4320"/>
          </w:tcPr>
          <w:p>
            <w:r>
              <w:t>ESPN2</w:t>
            </w:r>
          </w:p>
        </w:tc>
        <w:tc>
          <w:tcPr>
            <w:tcW w:type="dxa" w:w="4320"/>
          </w:tcPr>
          <w:p>
            <w:r>
              <w:t>5</w:t>
            </w:r>
          </w:p>
        </w:tc>
      </w:tr>
      <w:tr>
        <w:tc>
          <w:tcPr>
            <w:tcW w:type="dxa" w:w="4320"/>
          </w:tcPr>
          <w:p>
            <w:r>
              <w:t>FS1</w:t>
            </w:r>
          </w:p>
        </w:tc>
        <w:tc>
          <w:tcPr>
            <w:tcW w:type="dxa" w:w="4320"/>
          </w:tcPr>
          <w:p>
            <w:r>
              <w:t>2</w:t>
            </w:r>
          </w:p>
        </w:tc>
      </w:tr>
      <w:tr>
        <w:tc>
          <w:tcPr>
            <w:tcW w:type="dxa" w:w="4320"/>
          </w:tcPr>
          <w:p>
            <w:r>
              <w:t>The CW</w:t>
            </w:r>
          </w:p>
        </w:tc>
        <w:tc>
          <w:tcPr>
            <w:tcW w:type="dxa" w:w="4320"/>
          </w:tcPr>
          <w:p>
            <w:r>
              <w:t>1</w:t>
            </w:r>
          </w:p>
        </w:tc>
      </w:tr>
      <w:tr>
        <w:tc>
          <w:tcPr>
            <w:tcW w:type="dxa" w:w="4320"/>
          </w:tcPr>
          <w:p>
            <w:r>
              <w:t>Total</w:t>
            </w:r>
          </w:p>
        </w:tc>
        <w:tc>
          <w:tcPr>
            <w:tcW w:type="dxa" w:w="4320"/>
          </w:tcPr>
          <w:p>
            <w:r>
              <w:t>111</w:t>
            </w:r>
          </w:p>
        </w:tc>
      </w:tr>
    </w:tbl>
    <w:p/>
    <w:tbl>
      <w:tblPr>
        <w:tblStyle w:val="LightShading-Accent1"/>
        <w:tblW w:type="auto" w:w="0"/>
        <w:jc w:val="center"/>
        <w:tblLook w:firstColumn="1" w:firstRow="1" w:lastColumn="0" w:lastRow="0" w:noHBand="0" w:noVBand="1" w:val="04A0"/>
      </w:tblPr>
      <w:tblGrid>
        <w:gridCol w:w="4320"/>
        <w:gridCol w:w="4320"/>
      </w:tblGrid>
      <w:tr>
        <w:tc>
          <w:tcPr>
            <w:tcW w:type="dxa" w:w="4320"/>
          </w:tcPr>
          <w:p>
            <w:r>
              <w:t>National package size</w:t>
            </w:r>
          </w:p>
        </w:tc>
        <w:tc>
          <w:tcPr>
            <w:tcW w:type="dxa" w:w="4320"/>
          </w:tcPr>
          <w:p>
            <w:r>
              <w:t>Weeks exceeding assumed capacity</w:t>
            </w:r>
          </w:p>
        </w:tc>
      </w:tr>
      <w:tr>
        <w:tc>
          <w:tcPr>
            <w:tcW w:type="dxa" w:w="4320"/>
          </w:tcPr>
          <w:p>
            <w:r>
              <w:t>111</w:t>
            </w:r>
          </w:p>
        </w:tc>
        <w:tc>
          <w:tcPr>
            <w:tcW w:type="dxa" w:w="4320"/>
          </w:tcPr>
          <w:p>
            <w:r>
              <w:t>0</w:t>
            </w:r>
          </w:p>
        </w:tc>
      </w:tr>
      <w:tr>
        <w:tc>
          <w:tcPr>
            <w:tcW w:type="dxa" w:w="4320"/>
          </w:tcPr>
          <w:p>
            <w:r>
              <w:t>126</w:t>
            </w:r>
          </w:p>
        </w:tc>
        <w:tc>
          <w:tcPr>
            <w:tcW w:type="dxa" w:w="4320"/>
          </w:tcPr>
          <w:p>
            <w:r>
              <w:t>1</w:t>
            </w:r>
          </w:p>
        </w:tc>
      </w:tr>
      <w:tr>
        <w:tc>
          <w:tcPr>
            <w:tcW w:type="dxa" w:w="4320"/>
          </w:tcPr>
          <w:p>
            <w:r>
              <w:t>140</w:t>
            </w:r>
          </w:p>
        </w:tc>
        <w:tc>
          <w:tcPr>
            <w:tcW w:type="dxa" w:w="4320"/>
          </w:tcPr>
          <w:p>
            <w:r>
              <w:t>2</w:t>
            </w:r>
          </w:p>
        </w:tc>
      </w:tr>
      <w:tr>
        <w:tc>
          <w:tcPr>
            <w:tcW w:type="dxa" w:w="4320"/>
          </w:tcPr>
          <w:p>
            <w:r>
              <w:t>154</w:t>
            </w:r>
          </w:p>
        </w:tc>
        <w:tc>
          <w:tcPr>
            <w:tcW w:type="dxa" w:w="4320"/>
          </w:tcPr>
          <w:p>
            <w:r>
              <w:t>5</w:t>
            </w:r>
          </w:p>
        </w:tc>
      </w:tr>
    </w:tbl>
    <w:p/>
    <w:p>
      <w:r>
        <w:t>The 111-game package is the best-developed capacity-compliant starting point under the model assumptions. Larger packages require weekly redesign and/or different network inventory assumptions.</w:t>
      </w:r>
    </w:p>
    <w:p>
      <w:pPr>
        <w:pStyle w:val="Heading2"/>
      </w:pPr>
      <w:r>
        <w:t>C. Historical audience forecasting — F16–F17</w:t>
      </w:r>
    </w:p>
    <w:p>
      <w:r>
        <w:t>Forward-season testing found material uncertainty in individual-game forecasts. Held-out tests included 480 games in 2024 and 407 in 2025, with median percentage errors of approximately 39.75% and 42.98%, respectively. These results support comparative scenario work but not precise game-by-game rights pricing. Package-level calibration remains a priority.</w:t>
      </w:r>
    </w:p>
    <w:p>
      <w:pPr>
        <w:pStyle w:val="Heading2"/>
      </w:pPr>
      <w:r>
        <w:t>D. National rights economics — F18–F20</w:t>
      </w:r>
    </w:p>
    <w:p>
      <w:r>
        <w:t>Historical conference comparables informed a bottom-up buyer model covering advertising, incremental nonadvertising value, production costs, and required margins. The resulting 111-game multi-buyer package capacities were illustrative, not verified bids.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Commercial scenario</w:t>
            </w:r>
          </w:p>
        </w:tc>
        <w:tc>
          <w:tcPr>
            <w:tcW w:type="dxa" w:w="4320"/>
          </w:tcPr>
          <w:p>
            <w:r>
              <w:t>Annual national rights capacity</w:t>
            </w:r>
          </w:p>
        </w:tc>
      </w:tr>
      <w:tr>
        <w:tc>
          <w:tcPr>
            <w:tcW w:type="dxa" w:w="4320"/>
          </w:tcPr>
          <w:p>
            <w:r>
              <w:t>Conservative</w:t>
            </w:r>
          </w:p>
        </w:tc>
        <w:tc>
          <w:tcPr>
            <w:tcW w:type="dxa" w:w="4320"/>
          </w:tcPr>
          <w:p>
            <w:r>
              <w:t>$80.3 million</w:t>
            </w:r>
          </w:p>
        </w:tc>
      </w:tr>
      <w:tr>
        <w:tc>
          <w:tcPr>
            <w:tcW w:type="dxa" w:w="4320"/>
          </w:tcPr>
          <w:p>
            <w:r>
              <w:t>Reference</w:t>
            </w:r>
          </w:p>
        </w:tc>
        <w:tc>
          <w:tcPr>
            <w:tcW w:type="dxa" w:w="4320"/>
          </w:tcPr>
          <w:p>
            <w:r>
              <w:t>$292.9 million</w:t>
            </w:r>
          </w:p>
        </w:tc>
      </w:tr>
      <w:tr>
        <w:tc>
          <w:tcPr>
            <w:tcW w:type="dxa" w:w="4320"/>
          </w:tcPr>
          <w:p>
            <w:r>
              <w:t>Upside</w:t>
            </w:r>
          </w:p>
        </w:tc>
        <w:tc>
          <w:tcPr>
            <w:tcW w:type="dxa" w:w="4320"/>
          </w:tcPr>
          <w:p>
            <w:r>
              <w:t>$505.7 million</w:t>
            </w:r>
          </w:p>
        </w:tc>
      </w:tr>
    </w:tbl>
    <w:p/>
    <w:p>
      <w:r>
        <w:t>Nonadvertising value and bidder competition are especially consequential. Existing major-conference contracts include inventory and rights beyond the reconstructed football competition and cannot be transferred directly.</w:t>
      </w:r>
    </w:p>
    <w:p>
      <w:pPr>
        <w:pStyle w:val="Heading2"/>
      </w:pPr>
      <w:r>
        <w:t>E. All 822 games and production sensitivity — F21–F22</w:t>
      </w:r>
    </w:p>
    <w:p>
      <w:r>
        <w:t>F21 extended the financial model to 711 secondary games: 301 regional/digital, 207 streaming, and 203 cable. Under traditional production assumptions, the secondary inventory had little or no positive standalone fee capacity. F22 tested centralized and digital-first efficiencies.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Production model</w:t>
            </w:r>
          </w:p>
        </w:tc>
        <w:tc>
          <w:tcPr>
            <w:tcW w:type="dxa" w:w="2160"/>
          </w:tcPr>
          <w:p>
            <w:r>
              <w:t>Conservative</w:t>
            </w:r>
          </w:p>
        </w:tc>
        <w:tc>
          <w:tcPr>
            <w:tcW w:type="dxa" w:w="2160"/>
          </w:tcPr>
          <w:p>
            <w:r>
              <w:t>Reference</w:t>
            </w:r>
          </w:p>
        </w:tc>
        <w:tc>
          <w:tcPr>
            <w:tcW w:type="dxa" w:w="2160"/>
          </w:tcPr>
          <w:p>
            <w:r>
              <w:t>Upside</w:t>
            </w:r>
          </w:p>
        </w:tc>
      </w:tr>
      <w:tr>
        <w:tc>
          <w:tcPr>
            <w:tcW w:type="dxa" w:w="2160"/>
          </w:tcPr>
          <w:p>
            <w:r>
              <w:t>Traditional</w:t>
            </w:r>
          </w:p>
        </w:tc>
        <w:tc>
          <w:tcPr>
            <w:tcW w:type="dxa" w:w="2160"/>
          </w:tcPr>
          <w:p>
            <w:r>
              <w:t>$80.3M</w:t>
            </w:r>
          </w:p>
        </w:tc>
        <w:tc>
          <w:tcPr>
            <w:tcW w:type="dxa" w:w="2160"/>
          </w:tcPr>
          <w:p>
            <w:r>
              <w:t>$292.9M</w:t>
            </w:r>
          </w:p>
        </w:tc>
        <w:tc>
          <w:tcPr>
            <w:tcW w:type="dxa" w:w="2160"/>
          </w:tcPr>
          <w:p>
            <w:r>
              <w:t>$515.9M</w:t>
            </w:r>
          </w:p>
        </w:tc>
      </w:tr>
      <w:tr>
        <w:tc>
          <w:tcPr>
            <w:tcW w:type="dxa" w:w="2160"/>
          </w:tcPr>
          <w:p>
            <w:r>
              <w:t>Centralized</w:t>
            </w:r>
          </w:p>
        </w:tc>
        <w:tc>
          <w:tcPr>
            <w:tcW w:type="dxa" w:w="2160"/>
          </w:tcPr>
          <w:p>
            <w:r>
              <w:t>$80.3M</w:t>
            </w:r>
          </w:p>
        </w:tc>
        <w:tc>
          <w:tcPr>
            <w:tcW w:type="dxa" w:w="2160"/>
          </w:tcPr>
          <w:p>
            <w:r>
              <w:t>$298.5M</w:t>
            </w:r>
          </w:p>
        </w:tc>
        <w:tc>
          <w:tcPr>
            <w:tcW w:type="dxa" w:w="2160"/>
          </w:tcPr>
          <w:p>
            <w:r>
              <w:t>$627.4M</w:t>
            </w:r>
          </w:p>
        </w:tc>
      </w:tr>
      <w:tr>
        <w:tc>
          <w:tcPr>
            <w:tcW w:type="dxa" w:w="2160"/>
          </w:tcPr>
          <w:p>
            <w:r>
              <w:t>Digital-first</w:t>
            </w:r>
          </w:p>
        </w:tc>
        <w:tc>
          <w:tcPr>
            <w:tcW w:type="dxa" w:w="2160"/>
          </w:tcPr>
          <w:p>
            <w:r>
              <w:t>$80.3M</w:t>
            </w:r>
          </w:p>
        </w:tc>
        <w:tc>
          <w:tcPr>
            <w:tcW w:type="dxa" w:w="2160"/>
          </w:tcPr>
          <w:p>
            <w:r>
              <w:t>$348.2M</w:t>
            </w:r>
          </w:p>
        </w:tc>
        <w:tc>
          <w:tcPr>
            <w:tcW w:type="dxa" w:w="2160"/>
          </w:tcPr>
          <w:p>
            <w:r>
              <w:t>$707.0M</w:t>
            </w:r>
          </w:p>
        </w:tc>
      </w:tr>
    </w:tbl>
    <w:p/>
    <w:p>
      <w:r>
        <w:t>Digital-first increased reference annual capacity by about $55.4 million relative to traditional production. These are sensitivity outcomes, not observed savings. If the league bears production costs, league net proceeds must reflect those costs rather than treating shifted expenses as free incremental value.</w:t>
      </w:r>
    </w:p>
    <w:p>
      <w:pPr>
        <w:pStyle w:val="Heading2"/>
      </w:pPr>
      <w:r>
        <w:t>F. Postseason and competitive-stakes sensitivity — F23</w:t>
      </w:r>
    </w:p>
    <w:p>
      <w:r>
        <w:t>F23 modeled 7-, 15-, and 31-game postseason packages and separated new postseason inventory from hypothetical increased value of existing regular-season games. For a 15-game reference case, added postseason capacity was approximately $22.3 million, and the assumed competitive-stakes uplift was $5.9 million. The digital-first combined reference case was approximately $376.4 million annually. No uplift has yet been causally validated.</w:t>
      </w:r>
    </w:p>
    <w:p>
      <w:pPr>
        <w:pStyle w:val="Heading2"/>
      </w:pPr>
      <w:r>
        <w:t>G. Stakes evidence and game-level research crosswalk — F24–F25</w:t>
      </w:r>
    </w:p>
    <w:p>
      <w:r>
        <w:t>F24 found a descriptive November audience average approximately 3.3% above September–October within eligible network-season comparisons. This is not evidence of a 3.3% promotion/relegation premium: network selection, rankings, rivalries, and team popularity remain confounders.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F25 coverage measure</w:t>
            </w:r>
          </w:p>
        </w:tc>
        <w:tc>
          <w:tcPr>
            <w:tcW w:type="dxa" w:w="4320"/>
          </w:tcPr>
          <w:p>
            <w:r>
              <w:t>Count</w:t>
            </w:r>
          </w:p>
        </w:tc>
      </w:tr>
      <w:tr>
        <w:tc>
          <w:tcPr>
            <w:tcW w:type="dxa" w:w="4320"/>
          </w:tcPr>
          <w:p>
            <w:r>
              <w:t>Audience records</w:t>
            </w:r>
          </w:p>
        </w:tc>
        <w:tc>
          <w:tcPr>
            <w:tcW w:type="dxa" w:w="4320"/>
          </w:tcPr>
          <w:p>
            <w:r>
              <w:t>3,790</w:t>
            </w:r>
          </w:p>
        </w:tc>
      </w:tr>
      <w:tr>
        <w:tc>
          <w:tcPr>
            <w:tcW w:type="dxa" w:w="4320"/>
          </w:tcPr>
          <w:p>
            <w:r>
              <w:t>Seasons represented</w:t>
            </w:r>
          </w:p>
        </w:tc>
        <w:tc>
          <w:tcPr>
            <w:tcW w:type="dxa" w:w="4320"/>
          </w:tcPr>
          <w:p>
            <w:r>
              <w:t>2014–2026</w:t>
            </w:r>
          </w:p>
        </w:tc>
      </w:tr>
      <w:tr>
        <w:tc>
          <w:tcPr>
            <w:tcW w:type="dxa" w:w="4320"/>
          </w:tcPr>
          <w:p>
            <w:r>
              <w:t>November–December research priority records</w:t>
            </w:r>
          </w:p>
        </w:tc>
        <w:tc>
          <w:tcPr>
            <w:tcW w:type="dxa" w:w="4320"/>
          </w:tcPr>
          <w:p>
            <w:r>
              <w:t>1,639</w:t>
            </w:r>
          </w:p>
        </w:tc>
      </w:tr>
      <w:tr>
        <w:tc>
          <w:tcPr>
            <w:tcW w:type="dxa" w:w="4320"/>
          </w:tcPr>
          <w:p>
            <w:r>
              <w:t>Other records</w:t>
            </w:r>
          </w:p>
        </w:tc>
        <w:tc>
          <w:tcPr>
            <w:tcW w:type="dxa" w:w="4320"/>
          </w:tcPr>
          <w:p>
            <w:r>
              <w:t>2,151</w:t>
            </w:r>
          </w:p>
        </w:tc>
      </w:tr>
      <w:tr>
        <w:tc>
          <w:tcPr>
            <w:tcW w:type="dxa" w:w="4320"/>
          </w:tcPr>
          <w:p>
            <w:r>
              <w:t>Verified competitive-stakes labels</w:t>
            </w:r>
          </w:p>
        </w:tc>
        <w:tc>
          <w:tcPr>
            <w:tcW w:type="dxa" w:w="4320"/>
          </w:tcPr>
          <w:p>
            <w:r>
              <w:t>0</w:t>
            </w:r>
          </w:p>
        </w:tc>
      </w:tr>
    </w:tbl>
    <w:p/>
    <w:p>
      <w:r>
        <w:t>F25 created the game-level labeling crosswalk. The 2026 records are incomplete and should not be treated as a full season. Pregame rankings, qualification/elimination scenarios, conference standings, rivalry status, and source evidence still need to be attached.</w:t>
      </w:r>
    </w:p>
    <w:p>
      <w:pPr>
        <w:pStyle w:val="Heading1"/>
      </w:pPr>
      <w:r>
        <w:t>4. WHERE WE ARE AT</w:t>
      </w:r>
    </w:p>
    <w:p>
      <w:r>
        <w:t>The project now has a structured competition proposal, a working calendar, a hypothetical national broadcast plan, and a reproducible commercial sensitivity framework. It does not yet have certified venue dates, signed network agreements, independently validated package-level audiences, or a defensible central market valuation.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Workstream</w:t>
            </w:r>
          </w:p>
        </w:tc>
        <w:tc>
          <w:tcPr>
            <w:tcW w:type="dxa" w:w="4320"/>
          </w:tcPr>
          <w:p>
            <w:r>
              <w:t>Status</w:t>
            </w:r>
          </w:p>
        </w:tc>
      </w:tr>
      <w:tr>
        <w:tc>
          <w:tcPr>
            <w:tcW w:type="dxa" w:w="4320"/>
          </w:tcPr>
          <w:p>
            <w:r>
              <w:t>Competitive structure</w:t>
            </w:r>
          </w:p>
        </w:tc>
        <w:tc>
          <w:tcPr>
            <w:tcW w:type="dxa" w:w="4320"/>
          </w:tcPr>
          <w:p>
            <w:r>
              <w:t>Developed; governance/eligibility pending</w:t>
            </w:r>
          </w:p>
        </w:tc>
      </w:tr>
      <w:tr>
        <w:tc>
          <w:tcPr>
            <w:tcW w:type="dxa" w:w="4320"/>
          </w:tcPr>
          <w:p>
            <w:r>
              <w:t>822-game inventory</w:t>
            </w:r>
          </w:p>
        </w:tc>
        <w:tc>
          <w:tcPr>
            <w:tcW w:type="dxa" w:w="4320"/>
          </w:tcPr>
          <w:p>
            <w:r>
              <w:t>Established; preserve across scenarios</w:t>
            </w:r>
          </w:p>
        </w:tc>
      </w:tr>
      <w:tr>
        <w:tc>
          <w:tcPr>
            <w:tcW w:type="dxa" w:w="4320"/>
          </w:tcPr>
          <w:p>
            <w:r>
              <w:t>F2 operational calendar</w:t>
            </w:r>
          </w:p>
        </w:tc>
        <w:tc>
          <w:tcPr>
            <w:tcW w:type="dxa" w:w="4320"/>
          </w:tcPr>
          <w:p>
            <w:r>
              <w:t>Six-day date-separation rule passes; further audits pending</w:t>
            </w:r>
          </w:p>
        </w:tc>
      </w:tr>
      <w:tr>
        <w:tc>
          <w:tcPr>
            <w:tcW w:type="dxa" w:w="4320"/>
          </w:tcPr>
          <w:p>
            <w:r>
              <w:t>National TV package</w:t>
            </w:r>
          </w:p>
        </w:tc>
        <w:tc>
          <w:tcPr>
            <w:tcW w:type="dxa" w:w="4320"/>
          </w:tcPr>
          <w:p>
            <w:r>
              <w:t>111-game hypothetical baseline</w:t>
            </w:r>
          </w:p>
        </w:tc>
      </w:tr>
      <w:tr>
        <w:tc>
          <w:tcPr>
            <w:tcW w:type="dxa" w:w="4320"/>
          </w:tcPr>
          <w:p>
            <w:r>
              <w:t>Network assignments</w:t>
            </w:r>
          </w:p>
        </w:tc>
        <w:tc>
          <w:tcPr>
            <w:tcW w:type="dxa" w:w="4320"/>
          </w:tcPr>
          <w:p>
            <w:r>
              <w:t>Unconfirmed</w:t>
            </w:r>
          </w:p>
        </w:tc>
      </w:tr>
      <w:tr>
        <w:tc>
          <w:tcPr>
            <w:tcW w:type="dxa" w:w="4320"/>
          </w:tcPr>
          <w:p>
            <w:r>
              <w:t>Audience forecasting</w:t>
            </w:r>
          </w:p>
        </w:tc>
        <w:tc>
          <w:tcPr>
            <w:tcW w:type="dxa" w:w="4320"/>
          </w:tcPr>
          <w:p>
            <w:r>
              <w:t>Historical testing done; package validation pending</w:t>
            </w:r>
          </w:p>
        </w:tc>
      </w:tr>
      <w:tr>
        <w:tc>
          <w:tcPr>
            <w:tcW w:type="dxa" w:w="4320"/>
          </w:tcPr>
          <w:p>
            <w:r>
              <w:t>Financial model</w:t>
            </w:r>
          </w:p>
        </w:tc>
        <w:tc>
          <w:tcPr>
            <w:tcW w:type="dxa" w:w="4320"/>
          </w:tcPr>
          <w:p>
            <w:r>
              <w:t>Scenario framework; assumptions not market-validated</w:t>
            </w:r>
          </w:p>
        </w:tc>
      </w:tr>
      <w:tr>
        <w:tc>
          <w:tcPr>
            <w:tcW w:type="dxa" w:w="4320"/>
          </w:tcPr>
          <w:p>
            <w:r>
              <w:t>Postseason valuation</w:t>
            </w:r>
          </w:p>
        </w:tc>
        <w:tc>
          <w:tcPr>
            <w:tcW w:type="dxa" w:w="4320"/>
          </w:tcPr>
          <w:p>
            <w:r>
              <w:t>Preliminary sensitivities</w:t>
            </w:r>
          </w:p>
        </w:tc>
      </w:tr>
      <w:tr>
        <w:tc>
          <w:tcPr>
            <w:tcW w:type="dxa" w:w="4320"/>
          </w:tcPr>
          <w:p>
            <w:r>
              <w:t>Promotion/relegation premium</w:t>
            </w:r>
          </w:p>
        </w:tc>
        <w:tc>
          <w:tcPr>
            <w:tcW w:type="dxa" w:w="4320"/>
          </w:tcPr>
          <w:p>
            <w:r>
              <w:t>Unmeasured</w:t>
            </w:r>
          </w:p>
        </w:tc>
      </w:tr>
      <w:tr>
        <w:tc>
          <w:tcPr>
            <w:tcW w:type="dxa" w:w="4320"/>
          </w:tcPr>
          <w:p>
            <w:r>
              <w:t>Venue and travel feasibility</w:t>
            </w:r>
          </w:p>
        </w:tc>
        <w:tc>
          <w:tcPr>
            <w:tcW w:type="dxa" w:w="4320"/>
          </w:tcPr>
          <w:p>
            <w:r>
              <w:t>Not independently certified</w:t>
            </w:r>
          </w:p>
        </w:tc>
      </w:tr>
    </w:tbl>
    <w:p/>
    <w:p>
      <w:r>
        <w:t>The early $1.81B screening and later $80M–$707M modeled rights capacities are not directly interchangeable valuation estimates: they arose from different assumptions and methodologies. Their divergence is a reason to improve evidence, not select a preferred number.</w:t>
      </w:r>
    </w:p>
    <w:p>
      <w:pPr>
        <w:pStyle w:val="Heading1"/>
      </w:pPr>
      <w:r>
        <w:t>5. WHAT WE HAVE TO DO NEXT</w:t>
      </w:r>
    </w:p>
    <w:p>
      <w:pPr>
        <w:pStyle w:val="ListNumber"/>
      </w:pPr>
      <w:r>
        <w:rPr>
          <w:b/>
        </w:rPr>
        <w:t xml:space="preserve">F26 competitive-stakes labeling: </w:t>
      </w:r>
      <w:r>
        <w:t>Start with 2024–2025; verify pregame rankings, conference standings, playoff qualification and elimination scenarios, and contemporary sources. Keep four-team and twelve-team playoff eras distinct.</w:t>
      </w:r>
    </w:p>
    <w:p>
      <w:pPr>
        <w:pStyle w:val="ListNumber"/>
      </w:pPr>
      <w:r>
        <w:rPr>
          <w:b/>
        </w:rPr>
        <w:t xml:space="preserve">Measure audience effects: </w:t>
      </w:r>
      <w:r>
        <w:t>Control for network, kickoff window, season, team appeal, rankings, and matchup quality; evaluate promotion/relegation evidence separately from comparable sports.</w:t>
      </w:r>
    </w:p>
    <w:p>
      <w:pPr>
        <w:pStyle w:val="ListNumber"/>
      </w:pPr>
      <w:r>
        <w:rPr>
          <w:b/>
        </w:rPr>
        <w:t xml:space="preserve">Validate package-level forecasts: </w:t>
      </w:r>
      <w:r>
        <w:t>Compare predicted and realized audiences across complete historical broadcast portfolios, not only individual games.</w:t>
      </w:r>
    </w:p>
    <w:p>
      <w:pPr>
        <w:pStyle w:val="ListNumber"/>
      </w:pPr>
      <w:r>
        <w:rPr>
          <w:b/>
        </w:rPr>
        <w:t xml:space="preserve">Ground broadcaster economics: </w:t>
      </w:r>
      <w:r>
        <w:t>Research advertising yields, distribution/subscription benefits, production expenses, buyer margins, and bidder incentives.</w:t>
      </w:r>
    </w:p>
    <w:p>
      <w:pPr>
        <w:pStyle w:val="ListNumber"/>
      </w:pPr>
      <w:r>
        <w:rPr>
          <w:b/>
        </w:rPr>
        <w:t xml:space="preserve">Reconcile schedule versions: </w:t>
      </w:r>
      <w:r>
        <w:t>Crosswalk the leading broadcast schedule with F2 and Pass 25: opponents, dates, home/away, byes, six-day separation, recovery, and proposed kickoff intervals.</w:t>
      </w:r>
    </w:p>
    <w:p>
      <w:pPr>
        <w:pStyle w:val="ListNumber"/>
      </w:pPr>
      <w:r>
        <w:rPr>
          <w:b/>
        </w:rPr>
        <w:t xml:space="preserve">Complete venue and travel certification: </w:t>
      </w:r>
      <w:r>
        <w:t>Prioritize 29 six-day intervals, four consecutive-road sequences, and shared-use venue calendars.</w:t>
      </w:r>
    </w:p>
    <w:p>
      <w:pPr>
        <w:pStyle w:val="ListNumber"/>
      </w:pPr>
      <w:r>
        <w:rPr>
          <w:b/>
        </w:rPr>
        <w:t xml:space="preserve">Revisit package design: </w:t>
      </w:r>
      <w:r>
        <w:t>Re-test 111, 126, 140, and 154 national games and compare unified, multi-buyer, and hybrid sales structures.</w:t>
      </w:r>
    </w:p>
    <w:p>
      <w:pPr>
        <w:pStyle w:val="ListNumber"/>
      </w:pPr>
      <w:r>
        <w:rPr>
          <w:b/>
        </w:rPr>
        <w:t xml:space="preserve">Expand promotion/relegation simulations: </w:t>
      </w:r>
      <w:r>
        <w:t>Test eligibility, historical transitions, and system stability over one-, three-, five-, and ten-year horizons.</w:t>
      </w:r>
    </w:p>
    <w:p>
      <w:pPr>
        <w:pStyle w:val="Heading1"/>
      </w:pPr>
      <w:r>
        <w:t>6. COMBINED END-OF-DAY ASSESSMENT</w:t>
      </w:r>
    </w:p>
    <w:p>
      <w:r>
        <w:t>Today moved the research from constructing a schedule, to testing operational and broadcasting feasibility, to modeling the economics of national and secondary rights. The key strategic choice is a competitiveness-first future system with renegotiable unified rights, rather than a recreation of inherited conference contracts.</w:t>
      </w:r>
    </w:p>
    <w:p>
      <w:r>
        <w:t>The chief limitation is evidence quality for valuation: game-level audience prediction remains imprecise; competitive-stakes uplift is unverified; and nonadvertising broadcaster value is assumption-driven. The next phase should prioritize validating these inputs, not simply extending the range of hypothetical fees.</w:t>
      </w:r>
    </w:p>
    <w:p>
      <w:pPr>
        <w:pStyle w:val="Heading2"/>
      </w:pPr>
      <w:r>
        <w:t>Official restart checkpoint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Item</w:t>
            </w:r>
          </w:p>
        </w:tc>
        <w:tc>
          <w:tcPr>
            <w:tcW w:type="dxa" w:w="4320"/>
          </w:tcPr>
          <w:p>
            <w:r>
              <w:t>Checkpoint</w:t>
            </w:r>
          </w:p>
        </w:tc>
      </w:tr>
      <w:tr>
        <w:tc>
          <w:tcPr>
            <w:tcW w:type="dxa" w:w="4320"/>
          </w:tcPr>
          <w:p>
            <w:r>
              <w:t>Date</w:t>
            </w:r>
          </w:p>
        </w:tc>
        <w:tc>
          <w:tcPr>
            <w:tcW w:type="dxa" w:w="4320"/>
          </w:tcPr>
          <w:p>
            <w:r>
              <w:t>October 17, 2026</w:t>
            </w:r>
          </w:p>
        </w:tc>
      </w:tr>
      <w:tr>
        <w:tc>
          <w:tcPr>
            <w:tcW w:type="dxa" w:w="4320"/>
          </w:tcPr>
          <w:p>
            <w:r>
              <w:t>Last completed research stage</w:t>
            </w:r>
          </w:p>
        </w:tc>
        <w:tc>
          <w:tcPr>
            <w:tcW w:type="dxa" w:w="4320"/>
          </w:tcPr>
          <w:p>
            <w:r>
              <w:t>F25</w:t>
            </w:r>
          </w:p>
        </w:tc>
      </w:tr>
      <w:tr>
        <w:tc>
          <w:tcPr>
            <w:tcW w:type="dxa" w:w="4320"/>
          </w:tcPr>
          <w:p>
            <w:r>
              <w:t>Next stage</w:t>
            </w:r>
          </w:p>
        </w:tc>
        <w:tc>
          <w:tcPr>
            <w:tcW w:type="dxa" w:w="4320"/>
          </w:tcPr>
          <w:p>
            <w:r>
              <w:t>F26 — verify 2024–2025 competitive-stakes labels</w:t>
            </w:r>
          </w:p>
        </w:tc>
      </w:tr>
      <w:tr>
        <w:tc>
          <w:tcPr>
            <w:tcW w:type="dxa" w:w="4320"/>
          </w:tcPr>
          <w:p>
            <w:r>
              <w:t>Scheduling reference</w:t>
            </w:r>
          </w:p>
        </w:tc>
        <w:tc>
          <w:tcPr>
            <w:tcW w:type="dxa" w:w="4320"/>
          </w:tcPr>
          <w:p>
            <w:r>
              <w:t>137 schools; 822 games; 14 weeks; six-day date separation</w:t>
            </w:r>
          </w:p>
        </w:tc>
      </w:tr>
      <w:tr>
        <w:tc>
          <w:tcPr>
            <w:tcW w:type="dxa" w:w="4320"/>
          </w:tcPr>
          <w:p>
            <w:r>
              <w:t>Broadcast reference</w:t>
            </w:r>
          </w:p>
        </w:tc>
        <w:tc>
          <w:tcPr>
            <w:tcW w:type="dxa" w:w="4320"/>
          </w:tcPr>
          <w:p>
            <w:r>
              <w:t>111 hypothetical national games; 13 Thursday and 28 Friday overall</w:t>
            </w:r>
          </w:p>
        </w:tc>
      </w:tr>
      <w:tr>
        <w:tc>
          <w:tcPr>
            <w:tcW w:type="dxa" w:w="4320"/>
          </w:tcPr>
          <w:p>
            <w:r>
              <w:t>Commercial reference</w:t>
            </w:r>
          </w:p>
        </w:tc>
        <w:tc>
          <w:tcPr>
            <w:tcW w:type="dxa" w:w="4320"/>
          </w:tcPr>
          <w:p>
            <w:r>
              <w:t>F18–F23 illustrative sensitivities</w:t>
            </w:r>
          </w:p>
        </w:tc>
      </w:tr>
      <w:tr>
        <w:tc>
          <w:tcPr>
            <w:tcW w:type="dxa" w:w="4320"/>
          </w:tcPr>
          <w:p>
            <w:r>
              <w:t>Key unresolved question</w:t>
            </w:r>
          </w:p>
        </w:tc>
        <w:tc>
          <w:tcPr>
            <w:tcW w:type="dxa" w:w="4320"/>
          </w:tcPr>
          <w:p>
            <w:r>
              <w:t>Defensible annual market value after audience, bidder economics, and competitive-stakes validation</w:t>
            </w:r>
          </w:p>
        </w:tc>
      </w:tr>
    </w:tbl>
    <w:p/>
    <w:p>
      <w:r>
        <w:t>Source note: Combined from the uploaded October 17 Phase 5 end-of-day checkpoint and the F4–F25 research summaries recorded in this conversation. Scenario calculations and proposed assignments are clearly distinguished from independently verified market or operational facts.</w:t>
      </w:r>
    </w:p>
    <w:sectPr w:rsidR="00FC693F" w:rsidRPr="0006063C" w:rsidSect="00034616">
      <w:footerReference w:type="default" r:id="rId9"/>
      <w:pgSz w:w="12240" w:h="15840"/>
      <w:pgMar w:top="1080"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College Football Promotion/Relegation Project • October 17,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95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4C7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