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College Football Promotion/Relegation Project</w:t>
      </w:r>
    </w:p>
    <w:p>
      <w:pPr>
        <w:pStyle w:val="Subtitle"/>
      </w:pPr>
      <w:r>
        <w:t>End-of-Day Research and Development Summary</w:t>
      </w:r>
    </w:p>
    <w:p>
      <w:r>
        <w:rPr>
          <w:color w:val="556478"/>
        </w:rPr>
        <w:t>October 17, 2026  |  Status: Paused pending media-rights evaluation</w:t>
      </w:r>
    </w:p>
    <w:p>
      <w:pPr>
        <w:pStyle w:val="Heading1"/>
      </w:pPr>
      <w:r>
        <w:t>1. Starting point</w:t>
      </w:r>
    </w:p>
    <w:p>
      <w:r>
        <w:t>Today’s work addressed whether a proposed 137-school college football promotion/relegation system could support a nationally attractive, operationally realistic 822-game schedule across a 14-week regular season. The objective extended beyond assigning opponents and dates: it included maximizing television exposure while respecting competitive integrity, rest, travel, venue constraints, and the realities of media-rights ownership.</w:t>
      </w:r>
    </w:p>
    <w:p>
      <w:r>
        <w:t>The key strategic shift was to consider all seven days as potential broadcast inventory rather than assuming that every game must be played on Saturday.</w:t>
      </w:r>
    </w:p>
    <w:p>
      <w:pPr>
        <w:pStyle w:val="Heading1"/>
      </w:pPr>
      <w:r>
        <w:t>2. Research philosophy and intended outcomes</w:t>
      </w:r>
    </w:p>
    <w:p>
      <w:pPr>
        <w:pStyle w:val="ListBullet"/>
      </w:pPr>
      <w:r>
        <w:rPr>
          <w:b/>
        </w:rPr>
        <w:t xml:space="preserve">Competitive integrity: </w:t>
      </w:r>
      <w:r>
        <w:t>Preserve approved matchups, school participation, home/away requirements, and byes.</w:t>
      </w:r>
    </w:p>
    <w:p>
      <w:pPr>
        <w:pStyle w:val="ListBullet"/>
      </w:pPr>
      <w:r>
        <w:rPr>
          <w:b/>
        </w:rPr>
        <w:t xml:space="preserve">Evidence and provenance: </w:t>
      </w:r>
      <w:r>
        <w:t>Separate reported scheduled starts, actual kickoffs, broadcast windows, and hypothetical assignments.</w:t>
      </w:r>
    </w:p>
    <w:p>
      <w:pPr>
        <w:pStyle w:val="ListBullet"/>
      </w:pPr>
      <w:r>
        <w:rPr>
          <w:b/>
        </w:rPr>
        <w:t xml:space="preserve">Seven-day opportunity: </w:t>
      </w:r>
      <w:r>
        <w:t>Evaluate Thursday, Friday, and other weekday windows alongside Saturday.</w:t>
      </w:r>
    </w:p>
    <w:p>
      <w:pPr>
        <w:pStyle w:val="ListBullet"/>
      </w:pPr>
      <w:r>
        <w:rPr>
          <w:b/>
        </w:rPr>
        <w:t xml:space="preserve">Explicit constraints: </w:t>
      </w:r>
      <w:r>
        <w:t>Quantify rest, travel, and venue risks rather than relying on informal judgments.</w:t>
      </w:r>
    </w:p>
    <w:p>
      <w:pPr>
        <w:pStyle w:val="ListBullet"/>
      </w:pPr>
      <w:r>
        <w:rPr>
          <w:b/>
        </w:rPr>
        <w:t xml:space="preserve">Separate feasibility and value: </w:t>
      </w:r>
      <w:r>
        <w:t>A schedulable game is not necessarily a valuable broadcast, and a valuable broadcast is not necessarily operationally practical.</w:t>
      </w:r>
    </w:p>
    <w:p>
      <w:pPr>
        <w:pStyle w:val="ListBullet"/>
      </w:pPr>
      <w:r>
        <w:rPr>
          <w:b/>
        </w:rPr>
        <w:t xml:space="preserve">Reproducibility: </w:t>
      </w:r>
      <w:r>
        <w:t>Retain scenario comparisons, exception registers, and source provenance.</w:t>
      </w:r>
    </w:p>
    <w:p>
      <w:r>
        <w:t>Sports Media Watch remains the preferred historical audience source. ESPN, Yahoo Sports, Sports-Reference, FBSchedules, and official school or conference sources are approved for scheduling and game-time research, with source type identified. The goal is a defensible schedule and media-rights model suitable for further stakeholder review—not merely a mathematically complete calendar.</w:t>
      </w:r>
    </w:p>
    <w:p>
      <w:pPr>
        <w:pStyle w:val="Heading1"/>
      </w:pPr>
      <w:r>
        <w:t>3. What we accomplished today</w:t>
      </w:r>
    </w:p>
    <w:p>
      <w:pPr>
        <w:pStyle w:val="Heading2"/>
      </w:pPr>
      <w:r>
        <w:t>A. Established the research and financial baseline</w:t>
      </w:r>
    </w:p>
    <w:p>
      <w:r>
        <w:t>The 137-school, ten-tier/conference framework yielded 548 same-tier games and 274 adjacent-tier games, for 822 total regular-season games. Adjacent-tier competition supports the project’s promotion/relegation philosophy by linking neighboring competitive levels.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Inventory</w:t>
            </w:r>
          </w:p>
        </w:tc>
        <w:tc>
          <w:tcPr>
            <w:tcW w:type="dxa" w:w="4896"/>
          </w:tcPr>
          <w:p>
            <w:r>
              <w:t>Games</w:t>
            </w:r>
          </w:p>
        </w:tc>
      </w:tr>
      <w:tr>
        <w:tc>
          <w:tcPr>
            <w:tcW w:type="dxa" w:w="4896"/>
          </w:tcPr>
          <w:p>
            <w:r>
              <w:t>Same-tier competition</w:t>
            </w:r>
          </w:p>
        </w:tc>
        <w:tc>
          <w:tcPr>
            <w:tcW w:type="dxa" w:w="4896"/>
          </w:tcPr>
          <w:p>
            <w:r>
              <w:t>548</w:t>
            </w:r>
          </w:p>
        </w:tc>
      </w:tr>
      <w:tr>
        <w:tc>
          <w:tcPr>
            <w:tcW w:type="dxa" w:w="4896"/>
          </w:tcPr>
          <w:p>
            <w:r>
              <w:t>Adjacent-tier competition</w:t>
            </w:r>
          </w:p>
        </w:tc>
        <w:tc>
          <w:tcPr>
            <w:tcW w:type="dxa" w:w="4896"/>
          </w:tcPr>
          <w:p>
            <w:r>
              <w:t>274</w:t>
            </w:r>
          </w:p>
        </w:tc>
      </w:tr>
      <w:tr>
        <w:tc>
          <w:tcPr>
            <w:tcW w:type="dxa" w:w="4896"/>
          </w:tcPr>
          <w:p>
            <w:r>
              <w:t>Total</w:t>
            </w:r>
          </w:p>
        </w:tc>
        <w:tc>
          <w:tcPr>
            <w:tcW w:type="dxa" w:w="4896"/>
          </w:tcPr>
          <w:p>
            <w:r>
              <w:t>822</w:t>
            </w:r>
          </w:p>
        </w:tc>
      </w:tr>
    </w:tbl>
    <w:p>
      <w:r>
        <w:t>An early annual media-rights screening estimated approximately $1.81 billion, with a modeled sensitivity range of $1.08 billion to $2.83 billion against a $4.0 billion project target. These are preliminary scenario estimates, not independently validated market offers or valuations. Existing College Football Playoff revenue should not be counted automatically as new incremental revenue.</w:t>
      </w:r>
    </w:p>
    <w:p>
      <w:pPr>
        <w:pStyle w:val="Heading2"/>
      </w:pPr>
      <w:r>
        <w:t>B. Advanced historical audience and game-time research</w:t>
      </w:r>
    </w:p>
    <w:p>
      <w:r>
        <w:t>Phase 4 developed a historical audience inventory of approximately 3,050 records and continued enrichment of unresolved kickoff-time information. The source standard distinguishes scheduled starts, actual kickoff times where available, broadcast windows, and future modeled slots. That distinction is necessary to avoid assigning unjustified historical ratings to hypothetical 2027 broadcasts.</w:t>
      </w:r>
    </w:p>
    <w:p>
      <w:pPr>
        <w:pStyle w:val="Heading2"/>
      </w:pPr>
      <w:r>
        <w:t>C. Advanced the 2027 schedule and adopted F2 as the operational baseline</w:t>
      </w:r>
    </w:p>
    <w:p>
      <w:r>
        <w:t>The working structure is 12 regular-season games per school, six home and six away, and two byes over 14 weeks, subject to continued cross-scenario integrity checks. Scenario F2 became the primary operational reference.</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Game day</w:t>
            </w:r>
          </w:p>
        </w:tc>
        <w:tc>
          <w:tcPr>
            <w:tcW w:type="dxa" w:w="4896"/>
          </w:tcPr>
          <w:p>
            <w:r>
              <w:t>F2 games</w:t>
            </w:r>
          </w:p>
        </w:tc>
      </w:tr>
      <w:tr>
        <w:tc>
          <w:tcPr>
            <w:tcW w:type="dxa" w:w="4896"/>
          </w:tcPr>
          <w:p>
            <w:r>
              <w:t>Thursday</w:t>
            </w:r>
          </w:p>
        </w:tc>
        <w:tc>
          <w:tcPr>
            <w:tcW w:type="dxa" w:w="4896"/>
          </w:tcPr>
          <w:p>
            <w:r>
              <w:t>13</w:t>
            </w:r>
          </w:p>
        </w:tc>
      </w:tr>
      <w:tr>
        <w:tc>
          <w:tcPr>
            <w:tcW w:type="dxa" w:w="4896"/>
          </w:tcPr>
          <w:p>
            <w:r>
              <w:t>Friday</w:t>
            </w:r>
          </w:p>
        </w:tc>
        <w:tc>
          <w:tcPr>
            <w:tcW w:type="dxa" w:w="4896"/>
          </w:tcPr>
          <w:p>
            <w:r>
              <w:t>28</w:t>
            </w:r>
          </w:p>
        </w:tc>
      </w:tr>
      <w:tr>
        <w:tc>
          <w:tcPr>
            <w:tcW w:type="dxa" w:w="4896"/>
          </w:tcPr>
          <w:p>
            <w:r>
              <w:t>Saturday</w:t>
            </w:r>
          </w:p>
        </w:tc>
        <w:tc>
          <w:tcPr>
            <w:tcW w:type="dxa" w:w="4896"/>
          </w:tcPr>
          <w:p>
            <w:r>
              <w:t>781</w:t>
            </w:r>
          </w:p>
        </w:tc>
      </w:tr>
      <w:tr>
        <w:tc>
          <w:tcPr>
            <w:tcW w:type="dxa" w:w="4896"/>
          </w:tcPr>
          <w:p>
            <w:r>
              <w:t>Total</w:t>
            </w:r>
          </w:p>
        </w:tc>
        <w:tc>
          <w:tcPr>
            <w:tcW w:type="dxa" w:w="4896"/>
          </w:tcPr>
          <w:p>
            <w:r>
              <w:t>822</w:t>
            </w:r>
          </w:p>
        </w:tc>
      </w:tr>
    </w:tbl>
    <w:p>
      <w:r>
        <w:t>The 41 Thursday/Friday placements are proposed broadcast opportunities, not confirmed network bookings or stadium reservations.</w:t>
      </w:r>
    </w:p>
    <w:p>
      <w:pPr>
        <w:pStyle w:val="Heading2"/>
      </w:pPr>
      <w:r>
        <w:t>D. Relaxed the minimum rest requirement from seven to six calendar days</w:t>
      </w:r>
    </w:p>
    <w:p>
      <w:r>
        <w:t>A restricted seven-day repair retained only nine of F2’s 41 weekday games. With a six-calendar-day minimum between game dates, the original F2 calendar passed without date changes. This preserves all 822 matchups and 41 weekday games under the revised rule. A Saturday-to-Friday sequence is permitted, with five full intervening days.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Measure</w:t>
            </w:r>
          </w:p>
        </w:tc>
        <w:tc>
          <w:tcPr>
            <w:tcW w:type="dxa" w:w="3264"/>
          </w:tcPr>
          <w:p>
            <w:r>
              <w:t>Seven-day repair</w:t>
            </w:r>
          </w:p>
        </w:tc>
        <w:tc>
          <w:tcPr>
            <w:tcW w:type="dxa" w:w="3264"/>
          </w:tcPr>
          <w:p>
            <w:r>
              <w:t>Six-day F2</w:t>
            </w:r>
          </w:p>
        </w:tc>
      </w:tr>
      <w:tr>
        <w:tc>
          <w:tcPr>
            <w:tcW w:type="dxa" w:w="3264"/>
          </w:tcPr>
          <w:p>
            <w:r>
              <w:t>Games</w:t>
            </w:r>
          </w:p>
        </w:tc>
        <w:tc>
          <w:tcPr>
            <w:tcW w:type="dxa" w:w="3264"/>
          </w:tcPr>
          <w:p>
            <w:r>
              <w:t>822</w:t>
            </w:r>
          </w:p>
        </w:tc>
        <w:tc>
          <w:tcPr>
            <w:tcW w:type="dxa" w:w="3264"/>
          </w:tcPr>
          <w:p>
            <w:r>
              <w:t>822</w:t>
            </w:r>
          </w:p>
        </w:tc>
      </w:tr>
      <w:tr>
        <w:tc>
          <w:tcPr>
            <w:tcW w:type="dxa" w:w="3264"/>
          </w:tcPr>
          <w:p>
            <w:r>
              <w:t>Thursday/Friday games</w:t>
            </w:r>
          </w:p>
        </w:tc>
        <w:tc>
          <w:tcPr>
            <w:tcW w:type="dxa" w:w="3264"/>
          </w:tcPr>
          <w:p>
            <w:r>
              <w:t>9</w:t>
            </w:r>
          </w:p>
        </w:tc>
        <w:tc>
          <w:tcPr>
            <w:tcW w:type="dxa" w:w="3264"/>
          </w:tcPr>
          <w:p>
            <w:r>
              <w:t>41</w:t>
            </w:r>
          </w:p>
        </w:tc>
      </w:tr>
      <w:tr>
        <w:tc>
          <w:tcPr>
            <w:tcW w:type="dxa" w:w="3264"/>
          </w:tcPr>
          <w:p>
            <w:r>
              <w:t>Rest violations</w:t>
            </w:r>
          </w:p>
        </w:tc>
        <w:tc>
          <w:tcPr>
            <w:tcW w:type="dxa" w:w="3264"/>
          </w:tcPr>
          <w:p>
            <w:r>
              <w:t>0</w:t>
            </w:r>
          </w:p>
        </w:tc>
        <w:tc>
          <w:tcPr>
            <w:tcW w:type="dxa" w:w="3264"/>
          </w:tcPr>
          <w:p>
            <w:r>
              <w:t>0</w:t>
            </w:r>
          </w:p>
        </w:tc>
      </w:tr>
      <w:tr>
        <w:tc>
          <w:tcPr>
            <w:tcW w:type="dxa" w:w="3264"/>
          </w:tcPr>
          <w:p>
            <w:r>
              <w:t>Games moved back to Saturday</w:t>
            </w:r>
          </w:p>
        </w:tc>
        <w:tc>
          <w:tcPr>
            <w:tcW w:type="dxa" w:w="3264"/>
          </w:tcPr>
          <w:p>
            <w:r>
              <w:t>32</w:t>
            </w:r>
          </w:p>
        </w:tc>
        <w:tc>
          <w:tcPr>
            <w:tcW w:type="dxa" w:w="3264"/>
          </w:tcPr>
          <w:p>
            <w:r>
              <w:t>0</w:t>
            </w:r>
          </w:p>
        </w:tc>
      </w:tr>
    </w:tbl>
    <w:p>
      <w:pPr>
        <w:pStyle w:val="Heading2"/>
      </w:pPr>
      <w:r>
        <w:t>E. Completed operational audits (Passes 36–43)</w:t>
      </w:r>
    </w:p>
    <w:p>
      <w:pPr>
        <w:pStyle w:val="ListBullet"/>
      </w:pPr>
      <w:r>
        <w:rPr>
          <w:b/>
        </w:rPr>
        <w:t xml:space="preserve">Pass 36: </w:t>
      </w:r>
      <w:r>
        <w:t>Reconciled all 822 F2 games with the operational crosswalk and earlier pilot.</w:t>
      </w:r>
    </w:p>
    <w:p>
      <w:pPr>
        <w:pStyle w:val="ListBullet"/>
      </w:pPr>
      <w:r>
        <w:rPr>
          <w:b/>
        </w:rPr>
        <w:t xml:space="preserve">Passes 37–38: </w:t>
      </w:r>
      <w:r>
        <w:t>Compared seven-day and six-day rest rules and established the new baseline.</w:t>
      </w:r>
    </w:p>
    <w:p>
      <w:pPr>
        <w:pStyle w:val="ListBullet"/>
      </w:pPr>
      <w:r>
        <w:rPr>
          <w:b/>
        </w:rPr>
        <w:t xml:space="preserve">Passes 39–41: </w:t>
      </w:r>
      <w:r>
        <w:t>Screened short-rest recovery, weekday exposure concentration, and kickoff-time ambiguities.</w:t>
      </w:r>
    </w:p>
    <w:p>
      <w:pPr>
        <w:pStyle w:val="ListBullet"/>
      </w:pPr>
      <w:r>
        <w:rPr>
          <w:b/>
        </w:rPr>
        <w:t xml:space="preserve">Passes 42–43: </w:t>
      </w:r>
      <w:r>
        <w:t>Prioritized consecutive-road sequences and travel-verification cases; modeled provisional kickoff intervals.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Operational indicator</w:t>
            </w:r>
          </w:p>
        </w:tc>
        <w:tc>
          <w:tcPr>
            <w:tcW w:type="dxa" w:w="4896"/>
          </w:tcPr>
          <w:p>
            <w:r>
              <w:t>Finding</w:t>
            </w:r>
          </w:p>
        </w:tc>
      </w:tr>
      <w:tr>
        <w:tc>
          <w:tcPr>
            <w:tcW w:type="dxa" w:w="4896"/>
          </w:tcPr>
          <w:p>
            <w:r>
              <w:t>Six-day team turnaround intervals</w:t>
            </w:r>
          </w:p>
        </w:tc>
        <w:tc>
          <w:tcPr>
            <w:tcW w:type="dxa" w:w="4896"/>
          </w:tcPr>
          <w:p>
            <w:r>
              <w:t>29</w:t>
            </w:r>
          </w:p>
        </w:tc>
      </w:tr>
      <w:tr>
        <w:tc>
          <w:tcPr>
            <w:tcW w:type="dxa" w:w="4896"/>
          </w:tcPr>
          <w:p>
            <w:r>
              <w:t>Teams affected</w:t>
            </w:r>
          </w:p>
        </w:tc>
        <w:tc>
          <w:tcPr>
            <w:tcW w:type="dxa" w:w="4896"/>
          </w:tcPr>
          <w:p>
            <w:r>
              <w:t>16</w:t>
            </w:r>
          </w:p>
        </w:tc>
      </w:tr>
      <w:tr>
        <w:tc>
          <w:tcPr>
            <w:tcW w:type="dxa" w:w="4896"/>
          </w:tcPr>
          <w:p>
            <w:r>
              <w:t>Distinct games touching intervals</w:t>
            </w:r>
          </w:p>
        </w:tc>
        <w:tc>
          <w:tcPr>
            <w:tcW w:type="dxa" w:w="4896"/>
          </w:tcPr>
          <w:p>
            <w:r>
              <w:t>49</w:t>
            </w:r>
          </w:p>
        </w:tc>
      </w:tr>
      <w:tr>
        <w:tc>
          <w:tcPr>
            <w:tcW w:type="dxa" w:w="4896"/>
          </w:tcPr>
          <w:p>
            <w:r>
              <w:t>Consecutive-road six-day sequences</w:t>
            </w:r>
          </w:p>
        </w:tc>
        <w:tc>
          <w:tcPr>
            <w:tcW w:type="dxa" w:w="4896"/>
          </w:tcPr>
          <w:p>
            <w:r>
              <w:t>4</w:t>
            </w:r>
          </w:p>
        </w:tc>
      </w:tr>
      <w:tr>
        <w:tc>
          <w:tcPr>
            <w:tcW w:type="dxa" w:w="4896"/>
          </w:tcPr>
          <w:p>
            <w:r>
              <w:t>Cross-time-zone six-day intervals</w:t>
            </w:r>
          </w:p>
        </w:tc>
        <w:tc>
          <w:tcPr>
            <w:tcW w:type="dxa" w:w="4896"/>
          </w:tcPr>
          <w:p>
            <w:r>
              <w:t>17</w:t>
            </w:r>
          </w:p>
        </w:tc>
      </w:tr>
      <w:tr>
        <w:tc>
          <w:tcPr>
            <w:tcW w:type="dxa" w:w="4896"/>
          </w:tcPr>
          <w:p>
            <w:r>
              <w:t>Teams with Thursday/Friday exposure</w:t>
            </w:r>
          </w:p>
        </w:tc>
        <w:tc>
          <w:tcPr>
            <w:tcW w:type="dxa" w:w="4896"/>
          </w:tcPr>
          <w:p>
            <w:r>
              <w:t>26</w:t>
            </w:r>
          </w:p>
        </w:tc>
      </w:tr>
      <w:tr>
        <w:tc>
          <w:tcPr>
            <w:tcW w:type="dxa" w:w="4896"/>
          </w:tcPr>
          <w:p>
            <w:r>
              <w:t>Ambiguous 11:00 ET windows</w:t>
            </w:r>
          </w:p>
        </w:tc>
        <w:tc>
          <w:tcPr>
            <w:tcW w:type="dxa" w:w="4896"/>
          </w:tcPr>
          <w:p>
            <w:r>
              <w:t>58</w:t>
            </w:r>
          </w:p>
        </w:tc>
      </w:tr>
    </w:tbl>
    <w:p>
      <w:r>
        <w:t>Oregon’s proposed Ole Miss → Ohio State and Notre Dame → Michigan road sequences were among the priority cases, along with Tennessee and Oklahoma road sequences. These are risk screens, not proof of infeasibility. Candidate kickoff interpretations are not verified actual kickoff times.</w:t>
      </w:r>
    </w:p>
    <w:p>
      <w:pPr>
        <w:pStyle w:val="Heading2"/>
      </w:pPr>
      <w:r>
        <w:t>F. Expanded venue and stadium screening</w:t>
      </w:r>
    </w:p>
    <w:p>
      <w:r>
        <w:t>Stadium identification and operational registers were developed to support seven-day venue feasibility checks, including shared-use facilities and potential setup or conversion requirements. Identifying a venue is not the same as verifying availability for a proposed 2027 date. No venue-date calendar was fully certified in these audits.</w:t>
      </w:r>
    </w:p>
    <w:p>
      <w:pPr>
        <w:pStyle w:val="Heading1"/>
      </w:pPr>
      <w:r>
        <w:t>4. Where we are now</w:t>
      </w:r>
    </w:p>
    <w:p>
      <w:r>
        <w:t>The project has a working 822-game scheduling model and an operationally compliant F2 calendar under the six-day separation rule. Media-rights valuation is proceeding separately. The newer F4/F5 candidate has been discussed as part of that workstream, but its underlying game-by-game schedule has not yet been reconciled against the F2 operational files in this conversation.</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Workstream</w:t>
            </w:r>
          </w:p>
        </w:tc>
        <w:tc>
          <w:tcPr>
            <w:tcW w:type="dxa" w:w="4896"/>
          </w:tcPr>
          <w:p>
            <w:r>
              <w:t>Status / outstanding task</w:t>
            </w:r>
          </w:p>
        </w:tc>
      </w:tr>
      <w:tr>
        <w:tc>
          <w:tcPr>
            <w:tcW w:type="dxa" w:w="4896"/>
          </w:tcPr>
          <w:p>
            <w:r>
              <w:t>Competition framework</w:t>
            </w:r>
          </w:p>
        </w:tc>
        <w:tc>
          <w:tcPr>
            <w:tcW w:type="dxa" w:w="4896"/>
          </w:tcPr>
          <w:p>
            <w:r>
              <w:t>Established; governance and eligibility review pending</w:t>
            </w:r>
          </w:p>
        </w:tc>
      </w:tr>
      <w:tr>
        <w:tc>
          <w:tcPr>
            <w:tcW w:type="dxa" w:w="4896"/>
          </w:tcPr>
          <w:p>
            <w:r>
              <w:t>822-game inventory</w:t>
            </w:r>
          </w:p>
        </w:tc>
        <w:tc>
          <w:tcPr>
            <w:tcW w:type="dxa" w:w="4896"/>
          </w:tcPr>
          <w:p>
            <w:r>
              <w:t>Established; maintain integrity across scenarios</w:t>
            </w:r>
          </w:p>
        </w:tc>
      </w:tr>
      <w:tr>
        <w:tc>
          <w:tcPr>
            <w:tcW w:type="dxa" w:w="4896"/>
          </w:tcPr>
          <w:p>
            <w:r>
              <w:t>14-week calendar</w:t>
            </w:r>
          </w:p>
        </w:tc>
        <w:tc>
          <w:tcPr>
            <w:tcW w:type="dxa" w:w="4896"/>
          </w:tcPr>
          <w:p>
            <w:r>
              <w:t>Modeled; final cross-scenario validation pending</w:t>
            </w:r>
          </w:p>
        </w:tc>
      </w:tr>
      <w:tr>
        <w:tc>
          <w:tcPr>
            <w:tcW w:type="dxa" w:w="4896"/>
          </w:tcPr>
          <w:p>
            <w:r>
              <w:t>Six-day rest rule</w:t>
            </w:r>
          </w:p>
        </w:tc>
        <w:tc>
          <w:tcPr>
            <w:tcW w:type="dxa" w:w="4896"/>
          </w:tcPr>
          <w:p>
            <w:r>
              <w:t>F2 passes; apply to F4 and later candidates</w:t>
            </w:r>
          </w:p>
        </w:tc>
      </w:tr>
      <w:tr>
        <w:tc>
          <w:tcPr>
            <w:tcW w:type="dxa" w:w="4896"/>
          </w:tcPr>
          <w:p>
            <w:r>
              <w:t>Weekday inventory</w:t>
            </w:r>
          </w:p>
        </w:tc>
        <w:tc>
          <w:tcPr>
            <w:tcW w:type="dxa" w:w="4896"/>
          </w:tcPr>
          <w:p>
            <w:r>
              <w:t>Modeled; network demand and economics unconfirmed</w:t>
            </w:r>
          </w:p>
        </w:tc>
      </w:tr>
      <w:tr>
        <w:tc>
          <w:tcPr>
            <w:tcW w:type="dxa" w:w="4896"/>
          </w:tcPr>
          <w:p>
            <w:r>
              <w:t>Historical audiences and kickoff times</w:t>
            </w:r>
          </w:p>
        </w:tc>
        <w:tc>
          <w:tcPr>
            <w:tcW w:type="dxa" w:w="4896"/>
          </w:tcPr>
          <w:p>
            <w:r>
              <w:t>Research continuing; unresolved records remain</w:t>
            </w:r>
          </w:p>
        </w:tc>
      </w:tr>
      <w:tr>
        <w:tc>
          <w:tcPr>
            <w:tcW w:type="dxa" w:w="4896"/>
          </w:tcPr>
          <w:p>
            <w:r>
              <w:t>Stadium identities</w:t>
            </w:r>
          </w:p>
        </w:tc>
        <w:tc>
          <w:tcPr>
            <w:tcW w:type="dxa" w:w="4896"/>
          </w:tcPr>
          <w:p>
            <w:r>
              <w:t>Substantially developed; venue evidence needs completion</w:t>
            </w:r>
          </w:p>
        </w:tc>
      </w:tr>
      <w:tr>
        <w:tc>
          <w:tcPr>
            <w:tcW w:type="dxa" w:w="4896"/>
          </w:tcPr>
          <w:p>
            <w:r>
              <w:t>Venue-date availability</w:t>
            </w:r>
          </w:p>
        </w:tc>
        <w:tc>
          <w:tcPr>
            <w:tcW w:type="dxa" w:w="4896"/>
          </w:tcPr>
          <w:p>
            <w:r>
              <w:t>Not externally certified</w:t>
            </w:r>
          </w:p>
        </w:tc>
      </w:tr>
      <w:tr>
        <w:tc>
          <w:tcPr>
            <w:tcW w:type="dxa" w:w="4896"/>
          </w:tcPr>
          <w:p>
            <w:r>
              <w:t>Travel recovery</w:t>
            </w:r>
          </w:p>
        </w:tc>
        <w:tc>
          <w:tcPr>
            <w:tcW w:type="dxa" w:w="4896"/>
          </w:tcPr>
          <w:p>
            <w:r>
              <w:t>Screened; itineraries and recovery hours unverified</w:t>
            </w:r>
          </w:p>
        </w:tc>
      </w:tr>
      <w:tr>
        <w:tc>
          <w:tcPr>
            <w:tcW w:type="dxa" w:w="4896"/>
          </w:tcPr>
          <w:p>
            <w:r>
              <w:t>Media-rights valuation</w:t>
            </w:r>
          </w:p>
        </w:tc>
        <w:tc>
          <w:tcPr>
            <w:tcW w:type="dxa" w:w="4896"/>
          </w:tcPr>
          <w:p>
            <w:r>
              <w:t>In progress; rights allocation and sensitivity testing needed</w:t>
            </w:r>
          </w:p>
        </w:tc>
      </w:tr>
      <w:tr>
        <w:tc>
          <w:tcPr>
            <w:tcW w:type="dxa" w:w="4896"/>
          </w:tcPr>
          <w:p>
            <w:r>
              <w:t>Final implementation approval</w:t>
            </w:r>
          </w:p>
        </w:tc>
        <w:tc>
          <w:tcPr>
            <w:tcW w:type="dxa" w:w="4896"/>
          </w:tcPr>
          <w:p>
            <w:r>
              <w:t>Pending integrated commercial and operational review</w:t>
            </w:r>
          </w:p>
        </w:tc>
      </w:tr>
    </w:tbl>
    <w:p>
      <w:r>
        <w:t>The schedule is a useful planning baseline, not a confirmed operational implementation plan. Broadcast rights, venue dates, network assignments, and travel arrangements require independent verification.</w:t>
      </w:r>
    </w:p>
    <w:p>
      <w:pPr>
        <w:pStyle w:val="Heading1"/>
      </w:pPr>
      <w:r>
        <w:t>5. What we have to do next</w:t>
      </w:r>
    </w:p>
    <w:p>
      <w:pPr>
        <w:pStyle w:val="Heading2"/>
      </w:pPr>
      <w:r>
        <w:t>Priority 1 — Complete the media-rights evaluation</w:t>
      </w:r>
    </w:p>
    <w:p>
      <w:r>
        <w:t>Assess network-specific demand, package structure, exclusivity, incumbent rights, renegotiation options, audience evidence, and sensitivity ranges. Separate incremental revenue from existing rights value.</w:t>
      </w:r>
    </w:p>
    <w:p>
      <w:pPr>
        <w:pStyle w:val="Heading2"/>
      </w:pPr>
      <w:r>
        <w:t>Priority 2 — Reconcile F4 with the operational baseline</w:t>
      </w:r>
    </w:p>
    <w:p>
      <w:r>
        <w:t>Compare F4 against F2 game by game: matchups, dates, broadcast windows, home/away balance, byes, six-day rest, and recovery risks. Select one authoritative schedule after reconciliation.</w:t>
      </w:r>
    </w:p>
    <w:p>
      <w:pPr>
        <w:pStyle w:val="Heading2"/>
      </w:pPr>
      <w:r>
        <w:t>Priority 3 — Finish historical and kickoff-time validation</w:t>
      </w:r>
    </w:p>
    <w:p>
      <w:r>
        <w:t>Resolve ambiguous 11:00 ET labels and other source-time issues; retain the distinction between scheduled, actual, broadcast, and hypothetical times.</w:t>
      </w:r>
    </w:p>
    <w:p>
      <w:pPr>
        <w:pStyle w:val="Heading2"/>
      </w:pPr>
      <w:r>
        <w:t>Priority 4 — Complete venue and travel feasibility</w:t>
      </w:r>
    </w:p>
    <w:p>
      <w:r>
        <w:t>Verify shared-use stadium calendars and game-date availability. Prioritize the 29 six-day intervals and four consecutive-road sequences for distance, travel-time, and recovery analysis.</w:t>
      </w:r>
    </w:p>
    <w:p>
      <w:pPr>
        <w:pStyle w:val="Heading2"/>
      </w:pPr>
      <w:r>
        <w:t>Priority 5 — Integrate financial and operational decisions</w:t>
      </w:r>
    </w:p>
    <w:p>
      <w:r>
        <w:t>Evaluate any game-date change against projected audience value, competitive fairness, travel burden, and venue constraints.</w:t>
      </w:r>
    </w:p>
    <w:p>
      <w:pPr>
        <w:pStyle w:val="Heading2"/>
      </w:pPr>
      <w:r>
        <w:t>Priority 6 — Prepare broader promotion/relegation simulations</w:t>
      </w:r>
    </w:p>
    <w:p>
      <w:r>
        <w:t>Extend historical testing across the larger multi-level program universe, examining movement and system stability over one-, three-, five-, and ten-year horizons.</w:t>
      </w:r>
    </w:p>
    <w:p>
      <w:pPr>
        <w:pStyle w:val="Heading1"/>
      </w:pPr>
      <w:r>
        <w:t>6. Overall assessment</w:t>
      </w:r>
    </w:p>
    <w:p>
      <w:r>
        <w:t>Three achievements define the day. First, the project moved from constructing a schedule to evaluating it. Second, the six-day separation decision preserved 41 weekday opportunities in F2. Third, the audits identified precisely what remains unproven: actual venue availability, travel itineraries, confirmed kickoff definitions, network commitments, and defensible media-rights revenues.</w:t>
      </w:r>
    </w:p>
    <w:p>
      <w:r>
        <w:t>These distinctions strengthen the credibility of the eventual proposal. The scheduling model, competitive system, media inventory, and financial case must be assessed together rather than optimized in isolation.</w:t>
      </w:r>
    </w:p>
    <w:p>
      <w:pPr>
        <w:pStyle w:val="Heading1"/>
      </w:pPr>
      <w:r>
        <w:t>7. Project checkpoint and restart point</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Checkpoint item</w:t>
            </w:r>
          </w:p>
        </w:tc>
        <w:tc>
          <w:tcPr>
            <w:tcW w:type="dxa" w:w="4896"/>
          </w:tcPr>
          <w:p>
            <w:r>
              <w:t>Current position</w:t>
            </w:r>
          </w:p>
        </w:tc>
      </w:tr>
      <w:tr>
        <w:tc>
          <w:tcPr>
            <w:tcW w:type="dxa" w:w="4896"/>
          </w:tcPr>
          <w:p>
            <w:r>
              <w:t>Date</w:t>
            </w:r>
          </w:p>
        </w:tc>
        <w:tc>
          <w:tcPr>
            <w:tcW w:type="dxa" w:w="4896"/>
          </w:tcPr>
          <w:p>
            <w:r>
              <w:t>October 17, 2026</w:t>
            </w:r>
          </w:p>
        </w:tc>
      </w:tr>
      <w:tr>
        <w:tc>
          <w:tcPr>
            <w:tcW w:type="dxa" w:w="4896"/>
          </w:tcPr>
          <w:p>
            <w:r>
              <w:t>Scheduling reference</w:t>
            </w:r>
          </w:p>
        </w:tc>
        <w:tc>
          <w:tcPr>
            <w:tcW w:type="dxa" w:w="4896"/>
          </w:tcPr>
          <w:p>
            <w:r>
              <w:t>F2: 137 schools, 822 games, 14 weeks</w:t>
            </w:r>
          </w:p>
        </w:tc>
      </w:tr>
      <w:tr>
        <w:tc>
          <w:tcPr>
            <w:tcW w:type="dxa" w:w="4896"/>
          </w:tcPr>
          <w:p>
            <w:r>
              <w:t>Rest standard</w:t>
            </w:r>
          </w:p>
        </w:tc>
        <w:tc>
          <w:tcPr>
            <w:tcW w:type="dxa" w:w="4896"/>
          </w:tcPr>
          <w:p>
            <w:r>
              <w:t>Six-calendar-day minimum between game dates</w:t>
            </w:r>
          </w:p>
        </w:tc>
      </w:tr>
      <w:tr>
        <w:tc>
          <w:tcPr>
            <w:tcW w:type="dxa" w:w="4896"/>
          </w:tcPr>
          <w:p>
            <w:r>
              <w:t>Weekday inventory</w:t>
            </w:r>
          </w:p>
        </w:tc>
        <w:tc>
          <w:tcPr>
            <w:tcW w:type="dxa" w:w="4896"/>
          </w:tcPr>
          <w:p>
            <w:r>
              <w:t>13 Thursday + 28 Friday games</w:t>
            </w:r>
          </w:p>
        </w:tc>
      </w:tr>
      <w:tr>
        <w:tc>
          <w:tcPr>
            <w:tcW w:type="dxa" w:w="4896"/>
          </w:tcPr>
          <w:p>
            <w:r>
              <w:t>Commercial workstream</w:t>
            </w:r>
          </w:p>
        </w:tc>
        <w:tc>
          <w:tcPr>
            <w:tcW w:type="dxa" w:w="4896"/>
          </w:tcPr>
          <w:p>
            <w:r>
              <w:t>F4/F5 media-rights evaluation ongoing</w:t>
            </w:r>
          </w:p>
        </w:tc>
      </w:tr>
      <w:tr>
        <w:tc>
          <w:tcPr>
            <w:tcW w:type="dxa" w:w="4896"/>
          </w:tcPr>
          <w:p>
            <w:r>
              <w:t>Immediate dependency</w:t>
            </w:r>
          </w:p>
        </w:tc>
        <w:tc>
          <w:tcPr>
            <w:tcW w:type="dxa" w:w="4896"/>
          </w:tcPr>
          <w:p>
            <w:r>
              <w:t>Completion of media-rights evaluation</w:t>
            </w:r>
          </w:p>
        </w:tc>
      </w:tr>
      <w:tr>
        <w:tc>
          <w:tcPr>
            <w:tcW w:type="dxa" w:w="4896"/>
          </w:tcPr>
          <w:p>
            <w:r>
              <w:t>Next operational action</w:t>
            </w:r>
          </w:p>
        </w:tc>
        <w:tc>
          <w:tcPr>
            <w:tcW w:type="dxa" w:w="4896"/>
          </w:tcPr>
          <w:p>
            <w:r>
              <w:t>Reconcile leading media scenario against F2; complete venue, travel, and kickoff validation</w:t>
            </w:r>
          </w:p>
        </w:tc>
      </w:tr>
    </w:tbl>
    <w:p>
      <w:r>
        <w:t>The next major milestone is to determine whether the schedule most attractive to media partners can also satisfy the operational and competitive requirements of the proposed promotion/relegation system. Work is paused at this checkpoint pending the media-rights evaluation.</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College Football Promotion/Relegation Project  •  Research checkpoint  •  October 17,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83153"/>
      <w:sz w:val="28"/>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76B8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b/>
      <w:color w:val="1831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