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0E51B" w14:textId="77777777" w:rsidR="00F73264" w:rsidRDefault="0032073D">
      <w:pPr>
        <w:pStyle w:val="Title"/>
      </w:pPr>
      <w:r>
        <w:t>Could Promotion and Relegation Work in Real-Life College Football?</w:t>
      </w:r>
    </w:p>
    <w:p w14:paraId="1631EB31" w14:textId="77777777" w:rsidR="00F73264" w:rsidRDefault="0032073D">
      <w:pPr>
        <w:pStyle w:val="Subtitle"/>
      </w:pPr>
      <w:r>
        <w:t>Comprehensive research summary and current framework | Phases 1–6 | Rulebook v1.0 | Model v0.9 | Master Scorecard v0.1</w:t>
      </w:r>
    </w:p>
    <w:p w14:paraId="14187AFD" w14:textId="77777777" w:rsidR="00F73264" w:rsidRDefault="0032073D">
      <w:r>
        <w:t>Research status: evolving and provisional. The sporting rules are adopted as the project’s proposed design, not by the NCAA, conferences, universities, or broadcasters. Feasibility has not been demonstrated.</w:t>
      </w:r>
    </w:p>
    <w:p w14:paraId="0A32FAA1" w14:textId="77777777" w:rsidR="00F73264" w:rsidRDefault="0032073D">
      <w:pPr>
        <w:pStyle w:val="Heading1"/>
      </w:pPr>
      <w:r>
        <w:t>Executive summary and central hypothesis</w:t>
      </w:r>
    </w:p>
    <w:p w14:paraId="60C5A73C" w14:textId="77777777" w:rsidR="00F73264" w:rsidRDefault="0032073D">
      <w:r>
        <w:t>This independent project tests whether a transparent, merit-based conference ladder could improve competitive opportunity, produce more meaningful games, preserve workable institutional operations, and sustain—or increase—the value of college football. It began with historical FCS records research and an optional college-football dynasty adaptation, then expanded into a national data and feasibility study. EA Sports College Football 27 is an optional demonstration environment, not the governing real-world t</w:t>
      </w:r>
      <w:r>
        <w:t>est.</w:t>
      </w:r>
    </w:p>
    <w:p w14:paraId="19ADA435" w14:textId="77777777" w:rsidR="00F73264" w:rsidRDefault="0032073D">
      <w:r>
        <w:t>The working research universe comprises 899 American football programs across FBS, FCS, NCAA Divisions II and III, NAIA, NJCAA, and California 3C2A/CCCAA. A narrower 137-program FBS pilot uses ten ranked conferences. These are distinct scopes: the provisional national v0.6 alignment uses 38 competitive tiers, while the FBS pilot uses ten. Neither represents official current NCAA conference membership.</w:t>
      </w:r>
    </w:p>
    <w:p w14:paraId="35813EF3" w14:textId="77777777" w:rsidR="00F73264" w:rsidRDefault="0032073D">
      <w:r>
        <w:t>Bottom line: the repository demonstrates a substantial, versioned research program, but its data provenance, cross-division calibration, scheduling feasibility, media-rights economics, institutional consent, and travel implications still require testing. The appropriate conclusion is that the hypothesis is testable—not that the system has been proven viable.</w:t>
      </w:r>
    </w:p>
    <w:p w14:paraId="3A58C4DF" w14:textId="77777777" w:rsidR="00F73264" w:rsidRDefault="0032073D">
      <w:pPr>
        <w:pStyle w:val="Heading1"/>
      </w:pPr>
      <w:r>
        <w:t>Research architecture and evidence status</w:t>
      </w:r>
    </w:p>
    <w:tbl>
      <w:tblPr>
        <w:tblStyle w:val="LightShading-Accent1"/>
        <w:tblW w:w="0" w:type="auto"/>
        <w:tblLook w:val="04A0" w:firstRow="1" w:lastRow="0" w:firstColumn="1" w:lastColumn="0" w:noHBand="0" w:noVBand="1"/>
      </w:tblPr>
      <w:tblGrid>
        <w:gridCol w:w="3293"/>
        <w:gridCol w:w="3293"/>
        <w:gridCol w:w="3293"/>
      </w:tblGrid>
      <w:tr w:rsidR="00F73264" w14:paraId="4EEB5F4E" w14:textId="77777777" w:rsidTr="00F732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7A857B9F" w14:textId="77777777" w:rsidR="00F73264" w:rsidRDefault="0032073D">
            <w:r>
              <w:t>Phase</w:t>
            </w:r>
          </w:p>
        </w:tc>
        <w:tc>
          <w:tcPr>
            <w:tcW w:w="3293" w:type="dxa"/>
          </w:tcPr>
          <w:p w14:paraId="6DE47014" w14:textId="77777777" w:rsidR="00F73264" w:rsidRDefault="0032073D">
            <w:pPr>
              <w:cnfStyle w:val="100000000000" w:firstRow="1" w:lastRow="0" w:firstColumn="0" w:lastColumn="0" w:oddVBand="0" w:evenVBand="0" w:oddHBand="0" w:evenHBand="0" w:firstRowFirstColumn="0" w:firstRowLastColumn="0" w:lastRowFirstColumn="0" w:lastRowLastColumn="0"/>
            </w:pPr>
            <w:r>
              <w:t>Research question / deliverable</w:t>
            </w:r>
          </w:p>
        </w:tc>
        <w:tc>
          <w:tcPr>
            <w:tcW w:w="3293" w:type="dxa"/>
          </w:tcPr>
          <w:p w14:paraId="6FACB011" w14:textId="77777777" w:rsidR="00F73264" w:rsidRDefault="0032073D">
            <w:pPr>
              <w:cnfStyle w:val="100000000000" w:firstRow="1" w:lastRow="0" w:firstColumn="0" w:lastColumn="0" w:oddVBand="0" w:evenVBand="0" w:oddHBand="0" w:evenHBand="0" w:firstRowFirstColumn="0" w:firstRowLastColumn="0" w:lastRowFirstColumn="0" w:lastRowLastColumn="0"/>
            </w:pPr>
            <w:r>
              <w:t>Current status</w:t>
            </w:r>
          </w:p>
        </w:tc>
      </w:tr>
      <w:tr w:rsidR="00F73264" w14:paraId="19C5C5ED"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36B4192A" w14:textId="77777777" w:rsidR="00F73264" w:rsidRDefault="0032073D">
            <w:r>
              <w:t>1 — Origins and evidence</w:t>
            </w:r>
          </w:p>
        </w:tc>
        <w:tc>
          <w:tcPr>
            <w:tcW w:w="3293" w:type="dxa"/>
          </w:tcPr>
          <w:p w14:paraId="36363454" w14:textId="77777777" w:rsidR="00F73264" w:rsidRDefault="0032073D">
            <w:pPr>
              <w:cnfStyle w:val="000000100000" w:firstRow="0" w:lastRow="0" w:firstColumn="0" w:lastColumn="0" w:oddVBand="0" w:evenVBand="0" w:oddHBand="1" w:evenHBand="0" w:firstRowFirstColumn="0" w:firstRowLastColumn="0" w:lastRowFirstColumn="0" w:lastRowLastColumn="0"/>
            </w:pPr>
            <w:r>
              <w:t>Hypothesis, historical records, identity/classification crosswalk</w:t>
            </w:r>
          </w:p>
        </w:tc>
        <w:tc>
          <w:tcPr>
            <w:tcW w:w="3293" w:type="dxa"/>
          </w:tcPr>
          <w:p w14:paraId="58824CB6" w14:textId="77777777" w:rsidR="00F73264" w:rsidRDefault="0032073D">
            <w:pPr>
              <w:cnfStyle w:val="000000100000" w:firstRow="0" w:lastRow="0" w:firstColumn="0" w:lastColumn="0" w:oddVBand="0" w:evenVBand="0" w:oddHBand="1" w:evenHBand="0" w:firstRowFirstColumn="0" w:firstRowLastColumn="0" w:lastRowFirstColumn="0" w:lastRowLastColumn="0"/>
            </w:pPr>
            <w:r>
              <w:t>Historical compilation completed in part; verification ongoing</w:t>
            </w:r>
          </w:p>
        </w:tc>
      </w:tr>
      <w:tr w:rsidR="00F73264" w14:paraId="1C1238CC" w14:textId="77777777" w:rsidTr="00F73264">
        <w:tc>
          <w:tcPr>
            <w:cnfStyle w:val="001000000000" w:firstRow="0" w:lastRow="0" w:firstColumn="1" w:lastColumn="0" w:oddVBand="0" w:evenVBand="0" w:oddHBand="0" w:evenHBand="0" w:firstRowFirstColumn="0" w:firstRowLastColumn="0" w:lastRowFirstColumn="0" w:lastRowLastColumn="0"/>
            <w:tcW w:w="3293" w:type="dxa"/>
          </w:tcPr>
          <w:p w14:paraId="5346C679" w14:textId="77777777" w:rsidR="00F73264" w:rsidRDefault="0032073D">
            <w:r>
              <w:t>2 — Competitive design</w:t>
            </w:r>
          </w:p>
        </w:tc>
        <w:tc>
          <w:tcPr>
            <w:tcW w:w="3293" w:type="dxa"/>
          </w:tcPr>
          <w:p w14:paraId="5D3904B2" w14:textId="77777777" w:rsidR="00F73264" w:rsidRDefault="0032073D">
            <w:pPr>
              <w:cnfStyle w:val="000000000000" w:firstRow="0" w:lastRow="0" w:firstColumn="0" w:lastColumn="0" w:oddVBand="0" w:evenVBand="0" w:oddHBand="0" w:evenHBand="0" w:firstRowFirstColumn="0" w:firstRowLastColumn="0" w:lastRowFirstColumn="0" w:lastRowLastColumn="0"/>
            </w:pPr>
            <w:r>
              <w:t>Ratings, tiers, conferences, sporting rulebook, institutional fit</w:t>
            </w:r>
          </w:p>
        </w:tc>
        <w:tc>
          <w:tcPr>
            <w:tcW w:w="3293" w:type="dxa"/>
          </w:tcPr>
          <w:p w14:paraId="6F75FA5A" w14:textId="77777777" w:rsidR="00F73264" w:rsidRDefault="0032073D">
            <w:pPr>
              <w:cnfStyle w:val="000000000000" w:firstRow="0" w:lastRow="0" w:firstColumn="0" w:lastColumn="0" w:oddVBand="0" w:evenVBand="0" w:oddHBand="0" w:evenHBand="0" w:firstRowFirstColumn="0" w:firstRowLastColumn="0" w:lastRowFirstColumn="0" w:lastRowLastColumn="0"/>
            </w:pPr>
            <w:r>
              <w:t>Rulebook v1.0 adopted as proposal; models provisional through v0.9</w:t>
            </w:r>
          </w:p>
        </w:tc>
      </w:tr>
      <w:tr w:rsidR="00F73264" w14:paraId="256D2B9F"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0219A562" w14:textId="77777777" w:rsidR="00F73264" w:rsidRDefault="0032073D">
            <w:r>
              <w:t>3 — Institutional economics</w:t>
            </w:r>
          </w:p>
        </w:tc>
        <w:tc>
          <w:tcPr>
            <w:tcW w:w="3293" w:type="dxa"/>
          </w:tcPr>
          <w:p w14:paraId="2CEA47B7" w14:textId="77777777" w:rsidR="00F73264" w:rsidRDefault="0032073D">
            <w:pPr>
              <w:cnfStyle w:val="000000100000" w:firstRow="0" w:lastRow="0" w:firstColumn="0" w:lastColumn="0" w:oddVBand="0" w:evenVBand="0" w:oddHBand="1" w:evenHBand="0" w:firstRowFirstColumn="0" w:firstRowLastColumn="0" w:lastRowFirstColumn="0" w:lastRowLastColumn="0"/>
            </w:pPr>
            <w:r>
              <w:t>Finance, readiness, revenue distribution, legal/governance questions</w:t>
            </w:r>
          </w:p>
        </w:tc>
        <w:tc>
          <w:tcPr>
            <w:tcW w:w="3293" w:type="dxa"/>
          </w:tcPr>
          <w:p w14:paraId="32CE0A48" w14:textId="77777777" w:rsidR="00F73264" w:rsidRDefault="0032073D">
            <w:pPr>
              <w:cnfStyle w:val="000000100000" w:firstRow="0" w:lastRow="0" w:firstColumn="0" w:lastColumn="0" w:oddVBand="0" w:evenVBand="0" w:oddHBand="1" w:evenHBand="0" w:firstRowFirstColumn="0" w:firstRowLastColumn="0" w:lastRowFirstColumn="0" w:lastRowLastColumn="0"/>
            </w:pPr>
            <w:r>
              <w:t>Illustrative financial scenarios; unverified estimates</w:t>
            </w:r>
          </w:p>
        </w:tc>
      </w:tr>
      <w:tr w:rsidR="00F73264" w14:paraId="2FEBEAFF" w14:textId="77777777" w:rsidTr="00F73264">
        <w:tc>
          <w:tcPr>
            <w:cnfStyle w:val="001000000000" w:firstRow="0" w:lastRow="0" w:firstColumn="1" w:lastColumn="0" w:oddVBand="0" w:evenVBand="0" w:oddHBand="0" w:evenHBand="0" w:firstRowFirstColumn="0" w:firstRowLastColumn="0" w:lastRowFirstColumn="0" w:lastRowLastColumn="0"/>
            <w:tcW w:w="3293" w:type="dxa"/>
          </w:tcPr>
          <w:p w14:paraId="682F46D4" w14:textId="77777777" w:rsidR="00F73264" w:rsidRDefault="0032073D">
            <w:r>
              <w:t>4 — Media audiences</w:t>
            </w:r>
          </w:p>
        </w:tc>
        <w:tc>
          <w:tcPr>
            <w:tcW w:w="3293" w:type="dxa"/>
          </w:tcPr>
          <w:p w14:paraId="78BD2B92" w14:textId="77777777" w:rsidR="00F73264" w:rsidRDefault="0032073D">
            <w:pPr>
              <w:cnfStyle w:val="000000000000" w:firstRow="0" w:lastRow="0" w:firstColumn="0" w:lastColumn="0" w:oddVBand="0" w:evenVBand="0" w:oddHBand="0" w:evenHBand="0" w:firstRowFirstColumn="0" w:firstRowLastColumn="0" w:lastRowFirstColumn="0" w:lastRowLastColumn="0"/>
            </w:pPr>
            <w:r>
              <w:t>Observed TV games, time slots, network, audience, rights modeling</w:t>
            </w:r>
          </w:p>
        </w:tc>
        <w:tc>
          <w:tcPr>
            <w:tcW w:w="3293" w:type="dxa"/>
          </w:tcPr>
          <w:p w14:paraId="0C3D8A36" w14:textId="77777777" w:rsidR="00F73264" w:rsidRDefault="0032073D">
            <w:pPr>
              <w:cnfStyle w:val="000000000000" w:firstRow="0" w:lastRow="0" w:firstColumn="0" w:lastColumn="0" w:oddVBand="0" w:evenVBand="0" w:oddHBand="0" w:evenHBand="0" w:firstRowFirstColumn="0" w:firstRowLastColumn="0" w:lastRowFirstColumn="0" w:lastRowLastColumn="0"/>
            </w:pPr>
            <w:r>
              <w:t>3,790-game partial audience master; explanatory valuation unfinished</w:t>
            </w:r>
          </w:p>
        </w:tc>
      </w:tr>
      <w:tr w:rsidR="00F73264" w14:paraId="61BDF8F5"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08A30704" w14:textId="77777777" w:rsidR="00F73264" w:rsidRDefault="0032073D">
            <w:r>
              <w:t>5 — Historical simulation</w:t>
            </w:r>
          </w:p>
        </w:tc>
        <w:tc>
          <w:tcPr>
            <w:tcW w:w="3293" w:type="dxa"/>
          </w:tcPr>
          <w:p w14:paraId="7150D7C7" w14:textId="77777777" w:rsidR="00F73264" w:rsidRDefault="0032073D">
            <w:pPr>
              <w:cnfStyle w:val="000000100000" w:firstRow="0" w:lastRow="0" w:firstColumn="0" w:lastColumn="0" w:oddVBand="0" w:evenVBand="0" w:oddHBand="1" w:evenHBand="0" w:firstRowFirstColumn="0" w:firstRowLastColumn="0" w:lastRowFirstColumn="0" w:lastRowLastColumn="0"/>
            </w:pPr>
            <w:r>
              <w:t>2018–2026 counterfactual tiers and schedules, cycle sensitivities</w:t>
            </w:r>
          </w:p>
        </w:tc>
        <w:tc>
          <w:tcPr>
            <w:tcW w:w="3293" w:type="dxa"/>
          </w:tcPr>
          <w:p w14:paraId="4572D764" w14:textId="77777777" w:rsidR="00F73264" w:rsidRDefault="0032073D">
            <w:pPr>
              <w:cnfStyle w:val="000000100000" w:firstRow="0" w:lastRow="0" w:firstColumn="0" w:lastColumn="0" w:oddVBand="0" w:evenVBand="0" w:oddHBand="1" w:evenHBand="0" w:firstRowFirstColumn="0" w:firstRowLastColumn="0" w:lastRowFirstColumn="0" w:lastRowLastColumn="0"/>
            </w:pPr>
            <w:r>
              <w:t>Planned; readiness gates unresolved</w:t>
            </w:r>
          </w:p>
        </w:tc>
      </w:tr>
      <w:tr w:rsidR="00F73264" w14:paraId="4CA5FE2E" w14:textId="77777777" w:rsidTr="00F73264">
        <w:tc>
          <w:tcPr>
            <w:cnfStyle w:val="001000000000" w:firstRow="0" w:lastRow="0" w:firstColumn="1" w:lastColumn="0" w:oddVBand="0" w:evenVBand="0" w:oddHBand="0" w:evenHBand="0" w:firstRowFirstColumn="0" w:firstRowLastColumn="0" w:lastRowFirstColumn="0" w:lastRowLastColumn="0"/>
            <w:tcW w:w="3293" w:type="dxa"/>
          </w:tcPr>
          <w:p w14:paraId="5004C2D8" w14:textId="77777777" w:rsidR="00F73264" w:rsidRDefault="0032073D">
            <w:r>
              <w:t>6 — Travel and geography</w:t>
            </w:r>
          </w:p>
        </w:tc>
        <w:tc>
          <w:tcPr>
            <w:tcW w:w="3293" w:type="dxa"/>
          </w:tcPr>
          <w:p w14:paraId="61B3AB43" w14:textId="77777777" w:rsidR="00F73264" w:rsidRDefault="0032073D">
            <w:pPr>
              <w:cnfStyle w:val="000000000000" w:firstRow="0" w:lastRow="0" w:firstColumn="0" w:lastColumn="0" w:oddVBand="0" w:evenVBand="0" w:oddHBand="0" w:evenHBand="0" w:firstRowFirstColumn="0" w:firstRowLastColumn="0" w:lastRowFirstColumn="0" w:lastRowLastColumn="0"/>
            </w:pPr>
            <w:r>
              <w:t>Actual vs simulated trip costs in common 2026 dollars</w:t>
            </w:r>
          </w:p>
        </w:tc>
        <w:tc>
          <w:tcPr>
            <w:tcW w:w="3293" w:type="dxa"/>
          </w:tcPr>
          <w:p w14:paraId="44BE1E87" w14:textId="77777777" w:rsidR="00F73264" w:rsidRDefault="0032073D">
            <w:pPr>
              <w:cnfStyle w:val="000000000000" w:firstRow="0" w:lastRow="0" w:firstColumn="0" w:lastColumn="0" w:oddVBand="0" w:evenVBand="0" w:oddHBand="0" w:evenHBand="0" w:firstRowFirstColumn="0" w:firstRowLastColumn="0" w:lastRowFirstColumn="0" w:lastRowLastColumn="0"/>
            </w:pPr>
            <w:r>
              <w:t>Planned; preliminary distance/cost inputs exist</w:t>
            </w:r>
          </w:p>
        </w:tc>
      </w:tr>
    </w:tbl>
    <w:p w14:paraId="1714FC16" w14:textId="77777777" w:rsidR="00F73264" w:rsidRDefault="0032073D">
      <w:pPr>
        <w:pStyle w:val="Heading1"/>
      </w:pPr>
      <w:r>
        <w:t>Phase 1 | Origins, hypothesis, and historical data foundation</w:t>
      </w:r>
    </w:p>
    <w:p w14:paraId="1B179583" w14:textId="77777777" w:rsidR="00F73264" w:rsidRDefault="0032073D">
      <w:r>
        <w:t>The initial effort gathered ESPN FCS season records from 2014 onward, including season, school, classification, conference, overall wins/losses, and conference wins/losses. It expanded to game-by-game opponents, scores, and schedules and to other football classifications. The central hypothesis evolved from a playable dynasty structure into a real-world question about competitive merit, geography, revenue, readiness, and governance.</w:t>
      </w:r>
    </w:p>
    <w:tbl>
      <w:tblPr>
        <w:tblStyle w:val="LightShading-Accent1"/>
        <w:tblW w:w="0" w:type="auto"/>
        <w:tblLook w:val="04A0" w:firstRow="1" w:lastRow="0" w:firstColumn="1" w:lastColumn="0" w:noHBand="0" w:noVBand="1"/>
      </w:tblPr>
      <w:tblGrid>
        <w:gridCol w:w="4939"/>
        <w:gridCol w:w="4939"/>
      </w:tblGrid>
      <w:tr w:rsidR="00F73264" w14:paraId="1072B031" w14:textId="77777777" w:rsidTr="00F732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2CF7AEF" w14:textId="77777777" w:rsidR="00F73264" w:rsidRDefault="0032073D">
            <w:r>
              <w:lastRenderedPageBreak/>
              <w:t>Working classification</w:t>
            </w:r>
          </w:p>
        </w:tc>
        <w:tc>
          <w:tcPr>
            <w:tcW w:w="4939" w:type="dxa"/>
          </w:tcPr>
          <w:p w14:paraId="1CAC1372" w14:textId="77777777" w:rsidR="00F73264" w:rsidRDefault="0032073D">
            <w:pPr>
              <w:cnfStyle w:val="100000000000" w:firstRow="1" w:lastRow="0" w:firstColumn="0" w:lastColumn="0" w:oddVBand="0" w:evenVBand="0" w:oddHBand="0" w:evenHBand="0" w:firstRowFirstColumn="0" w:firstRowLastColumn="0" w:lastRowFirstColumn="0" w:lastRowLastColumn="0"/>
            </w:pPr>
            <w:r>
              <w:t>Programs</w:t>
            </w:r>
          </w:p>
        </w:tc>
      </w:tr>
      <w:tr w:rsidR="00F73264" w14:paraId="77F20BDC"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ADE0EFC" w14:textId="77777777" w:rsidR="00F73264" w:rsidRDefault="0032073D">
            <w:r>
              <w:t>FBS</w:t>
            </w:r>
          </w:p>
        </w:tc>
        <w:tc>
          <w:tcPr>
            <w:tcW w:w="4939" w:type="dxa"/>
          </w:tcPr>
          <w:p w14:paraId="53F1A274" w14:textId="77777777" w:rsidR="00F73264" w:rsidRDefault="0032073D">
            <w:pPr>
              <w:cnfStyle w:val="000000100000" w:firstRow="0" w:lastRow="0" w:firstColumn="0" w:lastColumn="0" w:oddVBand="0" w:evenVBand="0" w:oddHBand="1" w:evenHBand="0" w:firstRowFirstColumn="0" w:firstRowLastColumn="0" w:lastRowFirstColumn="0" w:lastRowLastColumn="0"/>
            </w:pPr>
            <w:r>
              <w:t>137</w:t>
            </w:r>
          </w:p>
        </w:tc>
      </w:tr>
      <w:tr w:rsidR="00F73264" w14:paraId="73B955FF" w14:textId="77777777" w:rsidTr="00F73264">
        <w:tc>
          <w:tcPr>
            <w:cnfStyle w:val="001000000000" w:firstRow="0" w:lastRow="0" w:firstColumn="1" w:lastColumn="0" w:oddVBand="0" w:evenVBand="0" w:oddHBand="0" w:evenHBand="0" w:firstRowFirstColumn="0" w:firstRowLastColumn="0" w:lastRowFirstColumn="0" w:lastRowLastColumn="0"/>
            <w:tcW w:w="4939" w:type="dxa"/>
          </w:tcPr>
          <w:p w14:paraId="1BBE0151" w14:textId="77777777" w:rsidR="00F73264" w:rsidRDefault="0032073D">
            <w:r>
              <w:t>FCS</w:t>
            </w:r>
          </w:p>
        </w:tc>
        <w:tc>
          <w:tcPr>
            <w:tcW w:w="4939" w:type="dxa"/>
          </w:tcPr>
          <w:p w14:paraId="634546C8" w14:textId="77777777" w:rsidR="00F73264" w:rsidRDefault="0032073D">
            <w:pPr>
              <w:cnfStyle w:val="000000000000" w:firstRow="0" w:lastRow="0" w:firstColumn="0" w:lastColumn="0" w:oddVBand="0" w:evenVBand="0" w:oddHBand="0" w:evenHBand="0" w:firstRowFirstColumn="0" w:firstRowLastColumn="0" w:lastRowFirstColumn="0" w:lastRowLastColumn="0"/>
            </w:pPr>
            <w:r>
              <w:t>128</w:t>
            </w:r>
          </w:p>
        </w:tc>
      </w:tr>
      <w:tr w:rsidR="00F73264" w14:paraId="226C8026"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82514B2" w14:textId="77777777" w:rsidR="00F73264" w:rsidRDefault="0032073D">
            <w:r>
              <w:t>NCAA Division II</w:t>
            </w:r>
          </w:p>
        </w:tc>
        <w:tc>
          <w:tcPr>
            <w:tcW w:w="4939" w:type="dxa"/>
          </w:tcPr>
          <w:p w14:paraId="3197AA49" w14:textId="77777777" w:rsidR="00F73264" w:rsidRDefault="0032073D">
            <w:pPr>
              <w:cnfStyle w:val="000000100000" w:firstRow="0" w:lastRow="0" w:firstColumn="0" w:lastColumn="0" w:oddVBand="0" w:evenVBand="0" w:oddHBand="1" w:evenHBand="0" w:firstRowFirstColumn="0" w:firstRowLastColumn="0" w:lastRowFirstColumn="0" w:lastRowLastColumn="0"/>
            </w:pPr>
            <w:r>
              <w:t>171</w:t>
            </w:r>
          </w:p>
        </w:tc>
      </w:tr>
      <w:tr w:rsidR="00F73264" w14:paraId="3630C859" w14:textId="77777777" w:rsidTr="00F73264">
        <w:tc>
          <w:tcPr>
            <w:cnfStyle w:val="001000000000" w:firstRow="0" w:lastRow="0" w:firstColumn="1" w:lastColumn="0" w:oddVBand="0" w:evenVBand="0" w:oddHBand="0" w:evenHBand="0" w:firstRowFirstColumn="0" w:firstRowLastColumn="0" w:lastRowFirstColumn="0" w:lastRowLastColumn="0"/>
            <w:tcW w:w="4939" w:type="dxa"/>
          </w:tcPr>
          <w:p w14:paraId="377CEC2D" w14:textId="77777777" w:rsidR="00F73264" w:rsidRDefault="0032073D">
            <w:r>
              <w:t>NCAA Division III</w:t>
            </w:r>
          </w:p>
        </w:tc>
        <w:tc>
          <w:tcPr>
            <w:tcW w:w="4939" w:type="dxa"/>
          </w:tcPr>
          <w:p w14:paraId="4E7D40EE" w14:textId="77777777" w:rsidR="00F73264" w:rsidRDefault="0032073D">
            <w:pPr>
              <w:cnfStyle w:val="000000000000" w:firstRow="0" w:lastRow="0" w:firstColumn="0" w:lastColumn="0" w:oddVBand="0" w:evenVBand="0" w:oddHBand="0" w:evenHBand="0" w:firstRowFirstColumn="0" w:firstRowLastColumn="0" w:lastRowFirstColumn="0" w:lastRowLastColumn="0"/>
            </w:pPr>
            <w:r>
              <w:t>244</w:t>
            </w:r>
          </w:p>
        </w:tc>
      </w:tr>
      <w:tr w:rsidR="00F73264" w14:paraId="180D240E"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882C8AA" w14:textId="77777777" w:rsidR="00F73264" w:rsidRDefault="0032073D">
            <w:r>
              <w:t>NAIA</w:t>
            </w:r>
          </w:p>
        </w:tc>
        <w:tc>
          <w:tcPr>
            <w:tcW w:w="4939" w:type="dxa"/>
          </w:tcPr>
          <w:p w14:paraId="1C58DC6E" w14:textId="77777777" w:rsidR="00F73264" w:rsidRDefault="0032073D">
            <w:pPr>
              <w:cnfStyle w:val="000000100000" w:firstRow="0" w:lastRow="0" w:firstColumn="0" w:lastColumn="0" w:oddVBand="0" w:evenVBand="0" w:oddHBand="1" w:evenHBand="0" w:firstRowFirstColumn="0" w:firstRowLastColumn="0" w:lastRowFirstColumn="0" w:lastRowLastColumn="0"/>
            </w:pPr>
            <w:r>
              <w:t>88</w:t>
            </w:r>
          </w:p>
        </w:tc>
      </w:tr>
      <w:tr w:rsidR="00F73264" w14:paraId="64764C1B" w14:textId="77777777" w:rsidTr="00F73264">
        <w:tc>
          <w:tcPr>
            <w:cnfStyle w:val="001000000000" w:firstRow="0" w:lastRow="0" w:firstColumn="1" w:lastColumn="0" w:oddVBand="0" w:evenVBand="0" w:oddHBand="0" w:evenHBand="0" w:firstRowFirstColumn="0" w:firstRowLastColumn="0" w:lastRowFirstColumn="0" w:lastRowLastColumn="0"/>
            <w:tcW w:w="4939" w:type="dxa"/>
          </w:tcPr>
          <w:p w14:paraId="4B2CFA7D" w14:textId="77777777" w:rsidR="00F73264" w:rsidRDefault="0032073D">
            <w:r>
              <w:t>NJCAA</w:t>
            </w:r>
          </w:p>
        </w:tc>
        <w:tc>
          <w:tcPr>
            <w:tcW w:w="4939" w:type="dxa"/>
          </w:tcPr>
          <w:p w14:paraId="1792593E" w14:textId="77777777" w:rsidR="00F73264" w:rsidRDefault="0032073D">
            <w:pPr>
              <w:cnfStyle w:val="000000000000" w:firstRow="0" w:lastRow="0" w:firstColumn="0" w:lastColumn="0" w:oddVBand="0" w:evenVBand="0" w:oddHBand="0" w:evenHBand="0" w:firstRowFirstColumn="0" w:firstRowLastColumn="0" w:lastRowFirstColumn="0" w:lastRowLastColumn="0"/>
            </w:pPr>
            <w:r>
              <w:t>62</w:t>
            </w:r>
          </w:p>
        </w:tc>
      </w:tr>
      <w:tr w:rsidR="00F73264" w14:paraId="76E807F1"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9528492" w14:textId="77777777" w:rsidR="00F73264" w:rsidRDefault="0032073D">
            <w:r>
              <w:t>California 3C2A / CCCAA</w:t>
            </w:r>
          </w:p>
        </w:tc>
        <w:tc>
          <w:tcPr>
            <w:tcW w:w="4939" w:type="dxa"/>
          </w:tcPr>
          <w:p w14:paraId="5DB4A9EE" w14:textId="77777777" w:rsidR="00F73264" w:rsidRDefault="0032073D">
            <w:pPr>
              <w:cnfStyle w:val="000000100000" w:firstRow="0" w:lastRow="0" w:firstColumn="0" w:lastColumn="0" w:oddVBand="0" w:evenVBand="0" w:oddHBand="1" w:evenHBand="0" w:firstRowFirstColumn="0" w:firstRowLastColumn="0" w:lastRowFirstColumn="0" w:lastRowLastColumn="0"/>
            </w:pPr>
            <w:r>
              <w:t>69</w:t>
            </w:r>
          </w:p>
        </w:tc>
      </w:tr>
      <w:tr w:rsidR="00F73264" w14:paraId="025EF4E9" w14:textId="77777777" w:rsidTr="00F73264">
        <w:tc>
          <w:tcPr>
            <w:cnfStyle w:val="001000000000" w:firstRow="0" w:lastRow="0" w:firstColumn="1" w:lastColumn="0" w:oddVBand="0" w:evenVBand="0" w:oddHBand="0" w:evenHBand="0" w:firstRowFirstColumn="0" w:firstRowLastColumn="0" w:lastRowFirstColumn="0" w:lastRowLastColumn="0"/>
            <w:tcW w:w="4939" w:type="dxa"/>
          </w:tcPr>
          <w:p w14:paraId="3E85ABC0" w14:textId="77777777" w:rsidR="00F73264" w:rsidRDefault="0032073D">
            <w:r>
              <w:t>TOTAL</w:t>
            </w:r>
          </w:p>
        </w:tc>
        <w:tc>
          <w:tcPr>
            <w:tcW w:w="4939" w:type="dxa"/>
          </w:tcPr>
          <w:p w14:paraId="291AC0B0" w14:textId="77777777" w:rsidR="00F73264" w:rsidRDefault="0032073D">
            <w:pPr>
              <w:cnfStyle w:val="000000000000" w:firstRow="0" w:lastRow="0" w:firstColumn="0" w:lastColumn="0" w:oddVBand="0" w:evenVBand="0" w:oddHBand="0" w:evenHBand="0" w:firstRowFirstColumn="0" w:firstRowLastColumn="0" w:lastRowFirstColumn="0" w:lastRowLastColumn="0"/>
            </w:pPr>
            <w:r>
              <w:t>899</w:t>
            </w:r>
          </w:p>
        </w:tc>
      </w:tr>
    </w:tbl>
    <w:p w14:paraId="0FE64160" w14:textId="77777777" w:rsidR="00F73264" w:rsidRDefault="0032073D">
      <w:r>
        <w:t>These are working model counts, not certified season-specific membership counts. Approximately 106,000 team-side game entries from 2014–2025 are described in the project proposal; team-side entries are not unique games. Records and team classifications are incomplete or provisional in some seasons. The crosswalk tracks school identifiers, aliases, changing divisions, first year at a level, and opponents. The pandemic-disrupted 2020 season requires special treatment; incomplete 2026 results remain separate f</w:t>
      </w:r>
      <w:r>
        <w:t>rom completed-season baseline evidence.</w:t>
      </w:r>
    </w:p>
    <w:p w14:paraId="0F66B23C" w14:textId="77777777" w:rsidR="00F73264" w:rsidRDefault="0032073D">
      <w:r>
        <w:t>Canadian U Sports schools are excluded from the American promotion/relegation ladder. Verified cross-border results may inform strength of schedule only after appropriate calibration. Two-year institution eligibility within a shared national ladder remains a policy question and must not be silently assumed settled.</w:t>
      </w:r>
    </w:p>
    <w:p w14:paraId="71D04E4F" w14:textId="77777777" w:rsidR="00F73264" w:rsidRDefault="0032073D">
      <w:pPr>
        <w:pStyle w:val="Heading1"/>
      </w:pPr>
      <w:r>
        <w:t>Phase 2 | Competitive ratings, national tiers, and the FBS pilot</w:t>
      </w:r>
    </w:p>
    <w:p w14:paraId="5F591479" w14:textId="77777777" w:rsidR="00F73264" w:rsidRDefault="0032073D">
      <w:pPr>
        <w:pStyle w:val="Heading2"/>
      </w:pPr>
      <w:r>
        <w:t>Model version history</w:t>
      </w:r>
    </w:p>
    <w:tbl>
      <w:tblPr>
        <w:tblStyle w:val="LightShading-Accent1"/>
        <w:tblW w:w="0" w:type="auto"/>
        <w:tblLook w:val="04A0" w:firstRow="1" w:lastRow="0" w:firstColumn="1" w:lastColumn="0" w:noHBand="0" w:noVBand="1"/>
      </w:tblPr>
      <w:tblGrid>
        <w:gridCol w:w="4939"/>
        <w:gridCol w:w="4939"/>
      </w:tblGrid>
      <w:tr w:rsidR="00F73264" w14:paraId="6F7CDBE6" w14:textId="77777777" w:rsidTr="00F732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77355D2" w14:textId="77777777" w:rsidR="00F73264" w:rsidRDefault="0032073D">
            <w:r>
              <w:t>Version</w:t>
            </w:r>
          </w:p>
        </w:tc>
        <w:tc>
          <w:tcPr>
            <w:tcW w:w="4939" w:type="dxa"/>
          </w:tcPr>
          <w:p w14:paraId="1EB060C3" w14:textId="77777777" w:rsidR="00F73264" w:rsidRDefault="0032073D">
            <w:pPr>
              <w:cnfStyle w:val="100000000000" w:firstRow="1" w:lastRow="0" w:firstColumn="0" w:lastColumn="0" w:oddVBand="0" w:evenVBand="0" w:oddHBand="0" w:evenHBand="0" w:firstRowFirstColumn="0" w:firstRowLastColumn="0" w:lastRowFirstColumn="0" w:lastRowLastColumn="0"/>
            </w:pPr>
            <w:r>
              <w:t>Documented development</w:t>
            </w:r>
          </w:p>
        </w:tc>
      </w:tr>
      <w:tr w:rsidR="00F73264" w14:paraId="64066B19"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0CF633" w14:textId="77777777" w:rsidR="00F73264" w:rsidRDefault="0032073D">
            <w:r>
              <w:t>v0.4</w:t>
            </w:r>
          </w:p>
        </w:tc>
        <w:tc>
          <w:tcPr>
            <w:tcW w:w="4939" w:type="dxa"/>
          </w:tcPr>
          <w:p w14:paraId="204DCEE2" w14:textId="77777777" w:rsidR="00F73264" w:rsidRDefault="0032073D">
            <w:pPr>
              <w:cnfStyle w:val="000000100000" w:firstRow="0" w:lastRow="0" w:firstColumn="0" w:lastColumn="0" w:oddVBand="0" w:evenVBand="0" w:oddHBand="1" w:evenHBand="0" w:firstRowFirstColumn="0" w:firstRowLastColumn="0" w:lastRowFirstColumn="0" w:lastRowLastColumn="0"/>
            </w:pPr>
            <w:r>
              <w:t>Initial performance, strength-of-schedule, and consistency design</w:t>
            </w:r>
          </w:p>
        </w:tc>
      </w:tr>
      <w:tr w:rsidR="00F73264" w14:paraId="35379B06" w14:textId="77777777" w:rsidTr="00F73264">
        <w:tc>
          <w:tcPr>
            <w:cnfStyle w:val="001000000000" w:firstRow="0" w:lastRow="0" w:firstColumn="1" w:lastColumn="0" w:oddVBand="0" w:evenVBand="0" w:oddHBand="0" w:evenHBand="0" w:firstRowFirstColumn="0" w:firstRowLastColumn="0" w:lastRowFirstColumn="0" w:lastRowLastColumn="0"/>
            <w:tcW w:w="4939" w:type="dxa"/>
          </w:tcPr>
          <w:p w14:paraId="6547845B" w14:textId="77777777" w:rsidR="00F73264" w:rsidRDefault="0032073D">
            <w:r>
              <w:t>v0.5</w:t>
            </w:r>
          </w:p>
        </w:tc>
        <w:tc>
          <w:tcPr>
            <w:tcW w:w="4939" w:type="dxa"/>
          </w:tcPr>
          <w:p w14:paraId="03AD94F1" w14:textId="77777777" w:rsidR="00F73264" w:rsidRDefault="0032073D">
            <w:pPr>
              <w:cnfStyle w:val="000000000000" w:firstRow="0" w:lastRow="0" w:firstColumn="0" w:lastColumn="0" w:oddVBand="0" w:evenVBand="0" w:oddHBand="0" w:evenHBand="0" w:firstRowFirstColumn="0" w:firstRowLastColumn="0" w:lastRowFirstColumn="0" w:lastRowLastColumn="0"/>
            </w:pPr>
            <w:r>
              <w:t>Early FBS/FCS competitive alignments</w:t>
            </w:r>
          </w:p>
        </w:tc>
      </w:tr>
      <w:tr w:rsidR="00F73264" w14:paraId="7D4EACF4"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142F4DF" w14:textId="77777777" w:rsidR="00F73264" w:rsidRDefault="0032073D">
            <w:r>
              <w:t>v0.6</w:t>
            </w:r>
          </w:p>
        </w:tc>
        <w:tc>
          <w:tcPr>
            <w:tcW w:w="4939" w:type="dxa"/>
          </w:tcPr>
          <w:p w14:paraId="70B8D19F" w14:textId="77777777" w:rsidR="00F73264" w:rsidRDefault="0032073D">
            <w:pPr>
              <w:cnfStyle w:val="000000100000" w:firstRow="0" w:lastRow="0" w:firstColumn="0" w:lastColumn="0" w:oddVBand="0" w:evenVBand="0" w:oddHBand="1" w:evenHBand="0" w:firstRowFirstColumn="0" w:firstRowLastColumn="0" w:lastRowFirstColumn="0" w:lastRowLastColumn="0"/>
            </w:pPr>
            <w:r>
              <w:t>899-program expansion; 38 provisional tiers, generally 24 programs per tier</w:t>
            </w:r>
          </w:p>
        </w:tc>
      </w:tr>
      <w:tr w:rsidR="00F73264" w14:paraId="7E783227" w14:textId="77777777" w:rsidTr="00F73264">
        <w:tc>
          <w:tcPr>
            <w:cnfStyle w:val="001000000000" w:firstRow="0" w:lastRow="0" w:firstColumn="1" w:lastColumn="0" w:oddVBand="0" w:evenVBand="0" w:oddHBand="0" w:evenHBand="0" w:firstRowFirstColumn="0" w:firstRowLastColumn="0" w:lastRowFirstColumn="0" w:lastRowLastColumn="0"/>
            <w:tcW w:w="4939" w:type="dxa"/>
          </w:tcPr>
          <w:p w14:paraId="4E4E17EF" w14:textId="77777777" w:rsidR="00F73264" w:rsidRDefault="0032073D">
            <w:r>
              <w:t>v0.7</w:t>
            </w:r>
          </w:p>
        </w:tc>
        <w:tc>
          <w:tcPr>
            <w:tcW w:w="4939" w:type="dxa"/>
          </w:tcPr>
          <w:p w14:paraId="24F8F914" w14:textId="77777777" w:rsidR="00F73264" w:rsidRDefault="0032073D">
            <w:pPr>
              <w:cnfStyle w:val="000000000000" w:firstRow="0" w:lastRow="0" w:firstColumn="0" w:lastColumn="0" w:oddVBand="0" w:evenVBand="0" w:oddHBand="0" w:evenHBand="0" w:firstRowFirstColumn="0" w:firstRowLastColumn="0" w:lastRowFirstColumn="0" w:lastRowLastColumn="0"/>
            </w:pPr>
            <w:r>
              <w:t>Game-level evidence, source diagnostics, and release gates</w:t>
            </w:r>
          </w:p>
        </w:tc>
      </w:tr>
      <w:tr w:rsidR="00F73264" w14:paraId="219EDE5E"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42903B8" w14:textId="77777777" w:rsidR="00F73264" w:rsidRDefault="0032073D">
            <w:r>
              <w:t>v0.8</w:t>
            </w:r>
          </w:p>
        </w:tc>
        <w:tc>
          <w:tcPr>
            <w:tcW w:w="4939" w:type="dxa"/>
          </w:tcPr>
          <w:p w14:paraId="148085EF" w14:textId="77777777" w:rsidR="00F73264" w:rsidRDefault="0032073D">
            <w:pPr>
              <w:cnfStyle w:val="000000100000" w:firstRow="0" w:lastRow="0" w:firstColumn="0" w:lastColumn="0" w:oddVBand="0" w:evenVBand="0" w:oddHBand="1" w:evenHBand="0" w:firstRowFirstColumn="0" w:firstRowLastColumn="0" w:lastRowFirstColumn="0" w:lastRowLastColumn="0"/>
            </w:pPr>
            <w:r>
              <w:t>Geographic conference grouping and source coverage audit</w:t>
            </w:r>
          </w:p>
        </w:tc>
      </w:tr>
      <w:tr w:rsidR="00F73264" w14:paraId="0E7476A4" w14:textId="77777777" w:rsidTr="00F73264">
        <w:tc>
          <w:tcPr>
            <w:cnfStyle w:val="001000000000" w:firstRow="0" w:lastRow="0" w:firstColumn="1" w:lastColumn="0" w:oddVBand="0" w:evenVBand="0" w:oddHBand="0" w:evenHBand="0" w:firstRowFirstColumn="0" w:firstRowLastColumn="0" w:lastRowFirstColumn="0" w:lastRowLastColumn="0"/>
            <w:tcW w:w="4939" w:type="dxa"/>
          </w:tcPr>
          <w:p w14:paraId="66C58CFE" w14:textId="77777777" w:rsidR="00F73264" w:rsidRDefault="0032073D">
            <w:r>
              <w:t>v0.9</w:t>
            </w:r>
          </w:p>
        </w:tc>
        <w:tc>
          <w:tcPr>
            <w:tcW w:w="4939" w:type="dxa"/>
          </w:tcPr>
          <w:p w14:paraId="43BEEC1A" w14:textId="77777777" w:rsidR="00F73264" w:rsidRDefault="0032073D">
            <w:pPr>
              <w:cnfStyle w:val="000000000000" w:firstRow="0" w:lastRow="0" w:firstColumn="0" w:lastColumn="0" w:oddVBand="0" w:evenVBand="0" w:oddHBand="0" w:evenHBand="0" w:firstRowFirstColumn="0" w:firstRowLastColumn="0" w:lastRowFirstColumn="0" w:lastRowLastColumn="0"/>
            </w:pPr>
            <w:r>
              <w:t>Provisional recalibration blending incumbent ratings with recent evidence</w:t>
            </w:r>
          </w:p>
        </w:tc>
      </w:tr>
    </w:tbl>
    <w:p w14:paraId="24F83936" w14:textId="77777777" w:rsidR="00F73264" w:rsidRDefault="0032073D">
      <w:r>
        <w:t>The target rating design is 65% opponent-adjusted performance, 25% strength of schedule, and 10% consistency/trajectory, with proposed recency weights of 65% for 2023–2025, 25% for 2019–2022, and 10% for 2014–2018. These are design specifications, not proof that every component is implemented in v0.9. Some recent FBS SOS exports use opponent winning percentage, a proxy rather than a fully opponent-adjusted national SOS measure. Winning against stronger opposition should matter more than merely scheduling th</w:t>
      </w:r>
      <w:r>
        <w:t>em; capped margins limit incentives to run up scores.</w:t>
      </w:r>
    </w:p>
    <w:p w14:paraId="61B798F8" w14:textId="77777777" w:rsidR="00F73264" w:rsidRDefault="0032073D">
      <w:r>
        <w:t>The national 38-tier provisional alignment is a research exploration. The FBS pilot is a separate 137-program design comprising ten ranked competitive conferences: seven conferences with 14 teams and three with 13. Conference numbers denote competitive levels, not current real-world conference brands. The proposed 137-team FBS file and a separately described 138-team game roster require reconciliation before any EA-specific adaptation.</w:t>
      </w:r>
    </w:p>
    <w:p w14:paraId="5B743F74" w14:textId="77777777" w:rsidR="00F73264" w:rsidRDefault="0032073D">
      <w:pPr>
        <w:pStyle w:val="Heading2"/>
      </w:pPr>
      <w:r>
        <w:t>Official Competitive Rulebook v1.0 — proposed sporting design</w:t>
      </w:r>
    </w:p>
    <w:p w14:paraId="15B32B6C" w14:textId="77777777" w:rsidR="00F73264" w:rsidRDefault="0032073D">
      <w:pPr>
        <w:pStyle w:val="ListBullet"/>
      </w:pPr>
      <w:r>
        <w:t>Hierarchy: Conference 1 is highest and Conference 10 lowest. A school can move at most one conference level per season. Football results, not prestige or brand, determine movement.</w:t>
      </w:r>
    </w:p>
    <w:p w14:paraId="15957F64" w14:textId="77777777" w:rsidR="00F73264" w:rsidRDefault="0032073D">
      <w:pPr>
        <w:pStyle w:val="ListBullet"/>
      </w:pPr>
      <w:r>
        <w:t>Regular season: Exactly 12 games per team. At least ten must be in the team’s own conference. At most two are nonconference games, and each such opponent must be in the immediately higher or lower conference; same-level cross-conference games are not permitted. Boundary conferences have only one adjacent level.</w:t>
      </w:r>
    </w:p>
    <w:p w14:paraId="2344D8CD" w14:textId="77777777" w:rsidR="00F73264" w:rsidRDefault="0032073D">
      <w:pPr>
        <w:pStyle w:val="ListBullet"/>
      </w:pPr>
      <w:r>
        <w:lastRenderedPageBreak/>
        <w:t>Results and SOS: Performance-based ratings should reward meaningful results against strong opponents, adjust for opponent quality, and cap margins; full national cross-division calibration remains unresolved.</w:t>
      </w:r>
    </w:p>
    <w:p w14:paraId="233DF02A" w14:textId="77777777" w:rsidR="00F73264" w:rsidRDefault="0032073D">
      <w:pPr>
        <w:pStyle w:val="ListBullet"/>
      </w:pPr>
      <w:r>
        <w:t>Promotion: The first- and second-place teams in Conferences 2–10 move up one level after the regular season.</w:t>
      </w:r>
    </w:p>
    <w:p w14:paraId="1A333DDF" w14:textId="77777777" w:rsidR="00F73264" w:rsidRDefault="0032073D">
      <w:pPr>
        <w:pStyle w:val="ListBullet"/>
      </w:pPr>
      <w:r>
        <w:t>Relegation: The last- and second-to-last-place teams in Conferences 1–9 move down one level. Each adjacent pair exchanges two teams, preserving conference sizes.</w:t>
      </w:r>
    </w:p>
    <w:p w14:paraId="3AD959D8" w14:textId="77777777" w:rsidR="00F73264" w:rsidRDefault="0032073D">
      <w:pPr>
        <w:pStyle w:val="ListBullet"/>
      </w:pPr>
      <w:r>
        <w:t>Standings and tiebreakers: Conference winning percentage; then head-to-head; opponent-adjusted SOS; record against highest-ranked common conference opponents; capped conference point differential (21 points per game); overall winning percentage. Multi-team and no-head-to-head cases need formal procedures.</w:t>
      </w:r>
    </w:p>
    <w:p w14:paraId="3F589866" w14:textId="77777777" w:rsidR="00F73264" w:rsidRDefault="0032073D">
      <w:pPr>
        <w:pStyle w:val="ListBullet"/>
      </w:pPr>
      <w:r>
        <w:t>Postseason: Conference title games, bowls, and national playoffs do not reverse regular-season promotion/relegation. Qualification and title formats remain separate policy questions.</w:t>
      </w:r>
    </w:p>
    <w:p w14:paraId="44DB4E3B" w14:textId="77777777" w:rsidR="00F73264" w:rsidRDefault="0032073D">
      <w:pPr>
        <w:pStyle w:val="ListBullet"/>
      </w:pPr>
      <w:r>
        <w:t>Annual cycle: Play and certify the 12-game season; resolve standings and movement; complete postseason; realign, update ratings, generate and audit the following season’s schedule. Violations trigger review; forfeiture procedures are not yet specified.</w:t>
      </w:r>
    </w:p>
    <w:p w14:paraId="2C550AB9" w14:textId="77777777" w:rsidR="00F73264" w:rsidRDefault="0032073D">
      <w:r>
        <w:t>Schedule feasibility is not established simply by adopting the rule. It must be tested as a constrained matching problem, including opponents, home/away distribution, availability, travel, television windows, and rivalry requirements. With 13- or 14-team conferences, at least ten conference games per team are possible in principle, but seasonwide scheduling still requires a solver.</w:t>
      </w:r>
    </w:p>
    <w:p w14:paraId="55891427" w14:textId="77777777" w:rsidR="00F73264" w:rsidRDefault="0032073D">
      <w:pPr>
        <w:pStyle w:val="Heading1"/>
      </w:pPr>
      <w:r>
        <w:t>Institutional academic profiles | Master Scorecard v0.1 update</w:t>
      </w:r>
    </w:p>
    <w:p w14:paraId="06D6F7CF" w14:textId="77777777" w:rsidR="00F73264" w:rsidRDefault="0032073D">
      <w:r>
        <w:t>Academic profiles are descriptive institutional-fit inputs, not football-performance metrics. They may shape assignment to a conference within an already established competitive tier, peer-group scheduling, geographic clusters, institutional compatibility, and long-term readiness discussion. They may not affect tier placement, promotion eligibility, relegation, playoff qualification, parachute-payment eligibility, or create exemptions for prestigious institutions.</w:t>
      </w:r>
    </w:p>
    <w:p w14:paraId="7FED794A" w14:textId="77777777" w:rsidR="00F73264" w:rsidRDefault="0032073D">
      <w:pPr>
        <w:pStyle w:val="Heading2"/>
      </w:pPr>
      <w:r>
        <w:t>Master Scorecard fields</w:t>
      </w:r>
    </w:p>
    <w:tbl>
      <w:tblPr>
        <w:tblStyle w:val="LightShading-Accent1"/>
        <w:tblW w:w="0" w:type="auto"/>
        <w:tblLook w:val="04A0" w:firstRow="1" w:lastRow="0" w:firstColumn="1" w:lastColumn="0" w:noHBand="0" w:noVBand="1"/>
      </w:tblPr>
      <w:tblGrid>
        <w:gridCol w:w="4939"/>
        <w:gridCol w:w="4939"/>
      </w:tblGrid>
      <w:tr w:rsidR="00F73264" w14:paraId="4325050F" w14:textId="77777777" w:rsidTr="00F732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4531BD2" w14:textId="77777777" w:rsidR="00F73264" w:rsidRDefault="0032073D">
            <w:r>
              <w:t>Field</w:t>
            </w:r>
          </w:p>
        </w:tc>
        <w:tc>
          <w:tcPr>
            <w:tcW w:w="4939" w:type="dxa"/>
          </w:tcPr>
          <w:p w14:paraId="135F1E95" w14:textId="77777777" w:rsidR="00F73264" w:rsidRDefault="0032073D">
            <w:pPr>
              <w:cnfStyle w:val="100000000000" w:firstRow="1" w:lastRow="0" w:firstColumn="0" w:lastColumn="0" w:oddVBand="0" w:evenVBand="0" w:oddHBand="0" w:evenHBand="0" w:firstRowFirstColumn="0" w:firstRowLastColumn="0" w:lastRowFirstColumn="0" w:lastRowLastColumn="0"/>
            </w:pPr>
            <w:r>
              <w:t>Role</w:t>
            </w:r>
          </w:p>
        </w:tc>
      </w:tr>
      <w:tr w:rsidR="00F73264" w14:paraId="2296073F"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E3FDC7F" w14:textId="77777777" w:rsidR="00F73264" w:rsidRDefault="0032073D">
            <w:r>
              <w:t>School_ID</w:t>
            </w:r>
          </w:p>
        </w:tc>
        <w:tc>
          <w:tcPr>
            <w:tcW w:w="4939" w:type="dxa"/>
          </w:tcPr>
          <w:p w14:paraId="72FB0259" w14:textId="77777777" w:rsidR="00F73264" w:rsidRDefault="0032073D">
            <w:pPr>
              <w:cnfStyle w:val="000000100000" w:firstRow="0" w:lastRow="0" w:firstColumn="0" w:lastColumn="0" w:oddVBand="0" w:evenVBand="0" w:oddHBand="1" w:evenHBand="0" w:firstRowFirstColumn="0" w:firstRowLastColumn="0" w:lastRowFirstColumn="0" w:lastRowLastColumn="0"/>
            </w:pPr>
            <w:r>
              <w:t>Join key</w:t>
            </w:r>
          </w:p>
        </w:tc>
      </w:tr>
      <w:tr w:rsidR="00F73264" w14:paraId="2241272D" w14:textId="77777777" w:rsidTr="00F73264">
        <w:tc>
          <w:tcPr>
            <w:cnfStyle w:val="001000000000" w:firstRow="0" w:lastRow="0" w:firstColumn="1" w:lastColumn="0" w:oddVBand="0" w:evenVBand="0" w:oddHBand="0" w:evenHBand="0" w:firstRowFirstColumn="0" w:firstRowLastColumn="0" w:lastRowFirstColumn="0" w:lastRowLastColumn="0"/>
            <w:tcW w:w="4939" w:type="dxa"/>
          </w:tcPr>
          <w:p w14:paraId="70A0B98D" w14:textId="77777777" w:rsidR="00F73264" w:rsidRDefault="0032073D">
            <w:r>
              <w:t>Institution / Current_Subdivision</w:t>
            </w:r>
          </w:p>
        </w:tc>
        <w:tc>
          <w:tcPr>
            <w:tcW w:w="4939" w:type="dxa"/>
          </w:tcPr>
          <w:p w14:paraId="60FB42DE" w14:textId="77777777" w:rsidR="00F73264" w:rsidRDefault="0032073D">
            <w:pPr>
              <w:cnfStyle w:val="000000000000" w:firstRow="0" w:lastRow="0" w:firstColumn="0" w:lastColumn="0" w:oddVBand="0" w:evenVBand="0" w:oddHBand="0" w:evenHBand="0" w:firstRowFirstColumn="0" w:firstRowLastColumn="0" w:lastRowFirstColumn="0" w:lastRowLastColumn="0"/>
            </w:pPr>
            <w:r>
              <w:t>Identity and current classification</w:t>
            </w:r>
          </w:p>
        </w:tc>
      </w:tr>
      <w:tr w:rsidR="00F73264" w14:paraId="6E08C5C8"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888ABBC" w14:textId="77777777" w:rsidR="00F73264" w:rsidRDefault="0032073D">
            <w:r>
              <w:t>Academic_Tier</w:t>
            </w:r>
          </w:p>
        </w:tc>
        <w:tc>
          <w:tcPr>
            <w:tcW w:w="4939" w:type="dxa"/>
          </w:tcPr>
          <w:p w14:paraId="6E312296" w14:textId="77777777" w:rsidR="00F73264" w:rsidRDefault="0032073D">
            <w:pPr>
              <w:cnfStyle w:val="000000100000" w:firstRow="0" w:lastRow="0" w:firstColumn="0" w:lastColumn="0" w:oddVBand="0" w:evenVBand="0" w:oddHBand="1" w:evenHBand="0" w:firstRowFirstColumn="0" w:firstRowLastColumn="0" w:lastRowFirstColumn="0" w:lastRowLastColumn="0"/>
            </w:pPr>
            <w:r>
              <w:t>Dataset-supplied descriptive academic category</w:t>
            </w:r>
          </w:p>
        </w:tc>
      </w:tr>
      <w:tr w:rsidR="00F73264" w14:paraId="78EAFA98" w14:textId="77777777" w:rsidTr="00F73264">
        <w:tc>
          <w:tcPr>
            <w:cnfStyle w:val="001000000000" w:firstRow="0" w:lastRow="0" w:firstColumn="1" w:lastColumn="0" w:oddVBand="0" w:evenVBand="0" w:oddHBand="0" w:evenHBand="0" w:firstRowFirstColumn="0" w:firstRowLastColumn="0" w:lastRowFirstColumn="0" w:lastRowLastColumn="0"/>
            <w:tcW w:w="4939" w:type="dxa"/>
          </w:tcPr>
          <w:p w14:paraId="61987C12" w14:textId="77777777" w:rsidR="00F73264" w:rsidRDefault="0032073D">
            <w:r>
              <w:t>Academic_Profile</w:t>
            </w:r>
          </w:p>
        </w:tc>
        <w:tc>
          <w:tcPr>
            <w:tcW w:w="4939" w:type="dxa"/>
          </w:tcPr>
          <w:p w14:paraId="31DCA677" w14:textId="77777777" w:rsidR="00F73264" w:rsidRDefault="0032073D">
            <w:pPr>
              <w:cnfStyle w:val="000000000000" w:firstRow="0" w:lastRow="0" w:firstColumn="0" w:lastColumn="0" w:oddVBand="0" w:evenVBand="0" w:oddHBand="0" w:evenHBand="0" w:firstRowFirstColumn="0" w:firstRowLastColumn="0" w:lastRowFirstColumn="0" w:lastRowLastColumn="0"/>
            </w:pPr>
            <w:r>
              <w:t>Institution type or mission</w:t>
            </w:r>
          </w:p>
        </w:tc>
      </w:tr>
      <w:tr w:rsidR="00F73264" w14:paraId="497CC621"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99C917A" w14:textId="77777777" w:rsidR="00F73264" w:rsidRDefault="0032073D">
            <w:r>
              <w:t>Selectivity_Assessment</w:t>
            </w:r>
          </w:p>
        </w:tc>
        <w:tc>
          <w:tcPr>
            <w:tcW w:w="4939" w:type="dxa"/>
          </w:tcPr>
          <w:p w14:paraId="3685E3B1" w14:textId="77777777" w:rsidR="00F73264" w:rsidRDefault="0032073D">
            <w:pPr>
              <w:cnfStyle w:val="000000100000" w:firstRow="0" w:lastRow="0" w:firstColumn="0" w:lastColumn="0" w:oddVBand="0" w:evenVBand="0" w:oddHBand="1" w:evenHBand="0" w:firstRowFirstColumn="0" w:firstRowLastColumn="0" w:lastRowFirstColumn="0" w:lastRowLastColumn="0"/>
            </w:pPr>
            <w:r>
              <w:t>Contextual institutional-fit input</w:t>
            </w:r>
          </w:p>
        </w:tc>
      </w:tr>
      <w:tr w:rsidR="00F73264" w14:paraId="63B27146" w14:textId="77777777" w:rsidTr="00F73264">
        <w:tc>
          <w:tcPr>
            <w:cnfStyle w:val="001000000000" w:firstRow="0" w:lastRow="0" w:firstColumn="1" w:lastColumn="0" w:oddVBand="0" w:evenVBand="0" w:oddHBand="0" w:evenHBand="0" w:firstRowFirstColumn="0" w:firstRowLastColumn="0" w:lastRowFirstColumn="0" w:lastRowLastColumn="0"/>
            <w:tcW w:w="4939" w:type="dxa"/>
          </w:tcPr>
          <w:p w14:paraId="52C9CF1B" w14:textId="77777777" w:rsidR="00F73264" w:rsidRDefault="0032073D">
            <w:r>
              <w:t>Research_Graduate_Scope</w:t>
            </w:r>
          </w:p>
        </w:tc>
        <w:tc>
          <w:tcPr>
            <w:tcW w:w="4939" w:type="dxa"/>
          </w:tcPr>
          <w:p w14:paraId="231B26F6" w14:textId="77777777" w:rsidR="00F73264" w:rsidRDefault="0032073D">
            <w:pPr>
              <w:cnfStyle w:val="000000000000" w:firstRow="0" w:lastRow="0" w:firstColumn="0" w:lastColumn="0" w:oddVBand="0" w:evenVBand="0" w:oddHBand="0" w:evenHBand="0" w:firstRowFirstColumn="0" w:firstRowLastColumn="0" w:lastRowFirstColumn="0" w:lastRowLastColumn="0"/>
            </w:pPr>
            <w:r>
              <w:t>Research/graduate breadth context</w:t>
            </w:r>
          </w:p>
        </w:tc>
      </w:tr>
      <w:tr w:rsidR="00F73264" w14:paraId="1A1EE7B4"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FB07653" w14:textId="77777777" w:rsidR="00F73264" w:rsidRDefault="0032073D">
            <w:r>
              <w:t>Completion_Career_Outcomes_Assessment</w:t>
            </w:r>
          </w:p>
        </w:tc>
        <w:tc>
          <w:tcPr>
            <w:tcW w:w="4939" w:type="dxa"/>
          </w:tcPr>
          <w:p w14:paraId="3FB83D92" w14:textId="77777777" w:rsidR="00F73264" w:rsidRDefault="0032073D">
            <w:pPr>
              <w:cnfStyle w:val="000000100000" w:firstRow="0" w:lastRow="0" w:firstColumn="0" w:lastColumn="0" w:oddVBand="0" w:evenVBand="0" w:oddHBand="1" w:evenHBand="0" w:firstRowFirstColumn="0" w:firstRowLastColumn="0" w:lastRowFirstColumn="0" w:lastRowLastColumn="0"/>
            </w:pPr>
            <w:r>
              <w:t>Student-outcomes context</w:t>
            </w:r>
          </w:p>
        </w:tc>
      </w:tr>
      <w:tr w:rsidR="00F73264" w14:paraId="01767157" w14:textId="77777777" w:rsidTr="00F73264">
        <w:tc>
          <w:tcPr>
            <w:cnfStyle w:val="001000000000" w:firstRow="0" w:lastRow="0" w:firstColumn="1" w:lastColumn="0" w:oddVBand="0" w:evenVBand="0" w:oddHBand="0" w:evenHBand="0" w:firstRowFirstColumn="0" w:firstRowLastColumn="0" w:lastRowFirstColumn="0" w:lastRowLastColumn="0"/>
            <w:tcW w:w="4939" w:type="dxa"/>
          </w:tcPr>
          <w:p w14:paraId="2EAB99D1" w14:textId="77777777" w:rsidR="00F73264" w:rsidRDefault="0032073D">
            <w:r>
              <w:t>Academic_Source_Label</w:t>
            </w:r>
          </w:p>
        </w:tc>
        <w:tc>
          <w:tcPr>
            <w:tcW w:w="4939" w:type="dxa"/>
          </w:tcPr>
          <w:p w14:paraId="0838ADF6" w14:textId="77777777" w:rsidR="00F73264" w:rsidRDefault="0032073D">
            <w:pPr>
              <w:cnfStyle w:val="000000000000" w:firstRow="0" w:lastRow="0" w:firstColumn="0" w:lastColumn="0" w:oddVBand="0" w:evenVBand="0" w:oddHBand="0" w:evenHBand="0" w:firstRowFirstColumn="0" w:firstRowLastColumn="0" w:lastRowFirstColumn="0" w:lastRowLastColumn="0"/>
            </w:pPr>
            <w:r>
              <w:t>Source provenance</w:t>
            </w:r>
          </w:p>
        </w:tc>
      </w:tr>
      <w:tr w:rsidR="00F73264" w14:paraId="07056C90"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7E6C835" w14:textId="77777777" w:rsidR="00F73264" w:rsidRDefault="0032073D">
            <w:r>
              <w:t>Academic_Confidence_Label</w:t>
            </w:r>
          </w:p>
        </w:tc>
        <w:tc>
          <w:tcPr>
            <w:tcW w:w="4939" w:type="dxa"/>
          </w:tcPr>
          <w:p w14:paraId="2B9B7C89" w14:textId="77777777" w:rsidR="00F73264" w:rsidRDefault="0032073D">
            <w:pPr>
              <w:cnfStyle w:val="000000100000" w:firstRow="0" w:lastRow="0" w:firstColumn="0" w:lastColumn="0" w:oddVBand="0" w:evenVBand="0" w:oddHBand="1" w:evenHBand="0" w:firstRowFirstColumn="0" w:firstRowLastColumn="0" w:lastRowFirstColumn="0" w:lastRowLastColumn="0"/>
            </w:pPr>
            <w:r>
              <w:t>Evidence-confidence control</w:t>
            </w:r>
          </w:p>
        </w:tc>
      </w:tr>
      <w:tr w:rsidR="00F73264" w14:paraId="3051DCE2" w14:textId="77777777" w:rsidTr="00F73264">
        <w:tc>
          <w:tcPr>
            <w:cnfStyle w:val="001000000000" w:firstRow="0" w:lastRow="0" w:firstColumn="1" w:lastColumn="0" w:oddVBand="0" w:evenVBand="0" w:oddHBand="0" w:evenHBand="0" w:firstRowFirstColumn="0" w:firstRowLastColumn="0" w:lastRowFirstColumn="0" w:lastRowLastColumn="0"/>
            <w:tcW w:w="4939" w:type="dxa"/>
          </w:tcPr>
          <w:p w14:paraId="76228D27" w14:textId="77777777" w:rsidR="00F73264" w:rsidRDefault="0032073D">
            <w:r>
              <w:t>Academic_Compatibility_Score</w:t>
            </w:r>
          </w:p>
        </w:tc>
        <w:tc>
          <w:tcPr>
            <w:tcW w:w="4939" w:type="dxa"/>
          </w:tcPr>
          <w:p w14:paraId="268DFDE4" w14:textId="77777777" w:rsidR="00F73264" w:rsidRDefault="0032073D">
            <w:pPr>
              <w:cnfStyle w:val="000000000000" w:firstRow="0" w:lastRow="0" w:firstColumn="0" w:lastColumn="0" w:oddVBand="0" w:evenVBand="0" w:oddHBand="0" w:evenHBand="0" w:firstRowFirstColumn="0" w:firstRowLastColumn="0" w:lastRowFirstColumn="0" w:lastRowLastColumn="0"/>
            </w:pPr>
            <w:r>
              <w:t>Within-tier conference-fit component</w:t>
            </w:r>
          </w:p>
        </w:tc>
      </w:tr>
    </w:tbl>
    <w:p w14:paraId="4F93A7C3" w14:textId="77777777" w:rsidR="00F73264" w:rsidRDefault="0032073D">
      <w:r>
        <w:t>The file uses five labels: TIER_1_ELITE; TIER_2_HIGHLY_SELECTIVE; TIER_3_STRONG_ACADEMIC; TIER_4_SOLID_ACADEMIC; TIER_5_MISSION_SPECIALIZED_OR_DEVELOPING. They are supplied classifications, not independently verified academic rankings. The file includes varied profiles such as private/public research universities, HBCU doctoral institutions, public regional universities, liberal-arts colleges, service academies, and senior military colleges. Its qualitative estimates and mixed confidence must be retained in</w:t>
      </w:r>
      <w:r>
        <w:t xml:space="preserve"> analysis.</w:t>
      </w:r>
    </w:p>
    <w:p w14:paraId="6E97BFA0" w14:textId="77777777" w:rsidR="00F73264" w:rsidRDefault="0032073D">
      <w:pPr>
        <w:pStyle w:val="Heading2"/>
      </w:pPr>
      <w:r>
        <w:t>Conference-fit optimization (within a competitive tier only)</w:t>
      </w:r>
    </w:p>
    <w:p w14:paraId="4E9F4A85" w14:textId="77777777" w:rsidR="00F73264" w:rsidRDefault="0032073D">
      <w:r>
        <w:t>Conference Fit Score = 40% Travel/Geography + 25% Competitive Fit + 15% Rivalry Preservation + 10% Media/Financial Fit + 10% Academic Compatibility.</w:t>
      </w:r>
    </w:p>
    <w:p w14:paraId="4FFAB1A6" w14:textId="77777777" w:rsidR="00F73264" w:rsidRDefault="0032073D">
      <w:r>
        <w:t>Academic Compatibility = 40% Academic Tier Proximity + 25% Institutional Type Similarity + 20% Research/Graduate Scope Similarity + 15% Completion/Career-Outcome Similarity.</w:t>
      </w:r>
    </w:p>
    <w:p w14:paraId="5F7E0545" w14:textId="77777777" w:rsidR="00F73264" w:rsidRDefault="0032073D">
      <w:r>
        <w:lastRenderedPageBreak/>
        <w:t>All component scales, missing-value treatments, and pairwise or group aggregation methods must be published before numerical optimization. Academic compatibility must not create segregated prestige conferences or exclude HBCUs, regional schools, service academies, public institutions, or smaller private schools. A successful lower-profile program may not be denied promotion; an elite-profile school receives no protection from relegation.</w:t>
      </w:r>
    </w:p>
    <w:p w14:paraId="009D0B5A" w14:textId="77777777" w:rsidR="00F73264" w:rsidRDefault="0032073D">
      <w:r>
        <w:t>Academic eligibility, athlete-support capacity, and compliance are distinct operational readiness requirements. This academic-profile dataset does not provide athlete APR, graduation-success, eligibility, or compliance evidence and therefore cannot itself certify academic readiness. Historical simulations must avoid using contemporary academic profiles as if they were verified 2018 observations.</w:t>
      </w:r>
    </w:p>
    <w:p w14:paraId="23C922A9" w14:textId="77777777" w:rsidR="00F73264" w:rsidRDefault="0032073D">
      <w:pPr>
        <w:pStyle w:val="Heading1"/>
      </w:pPr>
      <w:r>
        <w:t>Phase 3 | Institutional economics, operational readiness, and governance</w:t>
      </w:r>
    </w:p>
    <w:p w14:paraId="76437240" w14:textId="77777777" w:rsidR="00F73264" w:rsidRDefault="0032073D">
      <w:r>
        <w:t>The repository includes preliminary FBS and FCS finance/readiness records, academics, rivalry data, attendance and brand proxies. Fields include athletic department revenue and expense, football operating expense, ticket and media revenue, roster spending estimates, donor support, and confidence labels. These are heterogeneous reported or estimated inputs, not uniformly audited financial statements; source-by-source reconciliation is required.</w:t>
      </w:r>
    </w:p>
    <w:p w14:paraId="14830A2F" w14:textId="77777777" w:rsidR="00F73264" w:rsidRDefault="0032073D">
      <w:r>
        <w:t>Illustrative gross annual distribution pools under discussion are $4 billion, $6 billion, and $8 billion. A 15% central reserve implies $3.4 billion, $5.1 billion, and $6.8 billion available after reserve, respectively. These are stress-test assumptions, not observed or secured broadcast rights. Earlier exploratory media valuations of roughly $1.08–$2.83 billion are unvalidated and may not support the modeled gross pools.</w:t>
      </w:r>
    </w:p>
    <w:p w14:paraId="022A71CA" w14:textId="77777777" w:rsidR="00F73264" w:rsidRDefault="0032073D">
      <w:r>
        <w:t>A feasible system would need binding membership consent, enforceable governance, contract and rights renegotiation, equitable transition funding, transparent parachute provisions, athlete welfare and academic support, dispute resolution, NIL/recruiting implications, and defensible allocation of financial risks. Football merit determines movement; economic and operational safeguards address implementation, not exemptions from sporting outcomes.</w:t>
      </w:r>
    </w:p>
    <w:p w14:paraId="315BF527" w14:textId="77777777" w:rsidR="00F73264" w:rsidRDefault="0032073D">
      <w:pPr>
        <w:pStyle w:val="Heading1"/>
      </w:pPr>
      <w:r>
        <w:t>Phase 4 | Television audiences and media-rights research</w:t>
      </w:r>
    </w:p>
    <w:p w14:paraId="2FD89770" w14:textId="77777777" w:rsidR="00F73264" w:rsidRDefault="0032073D">
      <w:r>
        <w:t>The working television master contains 3,790 game-level records for 2014–2026; 3,789 have populated average-viewer fields and 3,742 have network fields. Of 3,790, 2,158 (56.9%) contain at least one recognized scheduled/kickoff time field; these are not all verified actual kickoff times. There are 1,632 without a recognized time field. Coverage is highly uneven by season and network, so missingness and selection bias must be modeled.</w:t>
      </w:r>
    </w:p>
    <w:tbl>
      <w:tblPr>
        <w:tblStyle w:val="LightShading-Accent1"/>
        <w:tblW w:w="0" w:type="auto"/>
        <w:tblLook w:val="04A0" w:firstRow="1" w:lastRow="0" w:firstColumn="1" w:lastColumn="0" w:noHBand="0" w:noVBand="1"/>
      </w:tblPr>
      <w:tblGrid>
        <w:gridCol w:w="2469"/>
        <w:gridCol w:w="2469"/>
        <w:gridCol w:w="2469"/>
        <w:gridCol w:w="2469"/>
      </w:tblGrid>
      <w:tr w:rsidR="00F73264" w14:paraId="59B01E70" w14:textId="77777777" w:rsidTr="00F732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23366BFF" w14:textId="77777777" w:rsidR="00F73264" w:rsidRDefault="0032073D">
            <w:r>
              <w:t>Season</w:t>
            </w:r>
          </w:p>
        </w:tc>
        <w:tc>
          <w:tcPr>
            <w:tcW w:w="2469" w:type="dxa"/>
          </w:tcPr>
          <w:p w14:paraId="79D9D3F9" w14:textId="77777777" w:rsidR="00F73264" w:rsidRDefault="0032073D">
            <w:pPr>
              <w:cnfStyle w:val="100000000000" w:firstRow="1" w:lastRow="0" w:firstColumn="0" w:lastColumn="0" w:oddVBand="0" w:evenVBand="0" w:oddHBand="0" w:evenHBand="0" w:firstRowFirstColumn="0" w:firstRowLastColumn="0" w:lastRowFirstColumn="0" w:lastRowLastColumn="0"/>
            </w:pPr>
            <w:r>
              <w:t>TV records</w:t>
            </w:r>
          </w:p>
        </w:tc>
        <w:tc>
          <w:tcPr>
            <w:tcW w:w="2469" w:type="dxa"/>
          </w:tcPr>
          <w:p w14:paraId="34A5FC75" w14:textId="77777777" w:rsidR="00F73264" w:rsidRDefault="0032073D">
            <w:pPr>
              <w:cnfStyle w:val="100000000000" w:firstRow="1" w:lastRow="0" w:firstColumn="0" w:lastColumn="0" w:oddVBand="0" w:evenVBand="0" w:oddHBand="0" w:evenHBand="0" w:firstRowFirstColumn="0" w:firstRowLastColumn="0" w:lastRowFirstColumn="0" w:lastRowLastColumn="0"/>
            </w:pPr>
            <w:r>
              <w:t>Time populated</w:t>
            </w:r>
          </w:p>
        </w:tc>
        <w:tc>
          <w:tcPr>
            <w:tcW w:w="2469" w:type="dxa"/>
          </w:tcPr>
          <w:p w14:paraId="5ED2D7DD" w14:textId="77777777" w:rsidR="00F73264" w:rsidRDefault="0032073D">
            <w:pPr>
              <w:cnfStyle w:val="100000000000" w:firstRow="1" w:lastRow="0" w:firstColumn="0" w:lastColumn="0" w:oddVBand="0" w:evenVBand="0" w:oddHBand="0" w:evenHBand="0" w:firstRowFirstColumn="0" w:firstRowLastColumn="0" w:lastRowFirstColumn="0" w:lastRowLastColumn="0"/>
            </w:pPr>
            <w:r>
              <w:t>Time coverage</w:t>
            </w:r>
          </w:p>
        </w:tc>
      </w:tr>
      <w:tr w:rsidR="00F73264" w14:paraId="077AA082"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548C90C5" w14:textId="77777777" w:rsidR="00F73264" w:rsidRDefault="0032073D">
            <w:r>
              <w:t>2014</w:t>
            </w:r>
          </w:p>
        </w:tc>
        <w:tc>
          <w:tcPr>
            <w:tcW w:w="2469" w:type="dxa"/>
          </w:tcPr>
          <w:p w14:paraId="2F9AA67E" w14:textId="77777777" w:rsidR="00F73264" w:rsidRDefault="0032073D">
            <w:pPr>
              <w:cnfStyle w:val="000000100000" w:firstRow="0" w:lastRow="0" w:firstColumn="0" w:lastColumn="0" w:oddVBand="0" w:evenVBand="0" w:oddHBand="1" w:evenHBand="0" w:firstRowFirstColumn="0" w:firstRowLastColumn="0" w:lastRowFirstColumn="0" w:lastRowLastColumn="0"/>
            </w:pPr>
            <w:r>
              <w:t>297</w:t>
            </w:r>
          </w:p>
        </w:tc>
        <w:tc>
          <w:tcPr>
            <w:tcW w:w="2469" w:type="dxa"/>
          </w:tcPr>
          <w:p w14:paraId="5AF1E9D7" w14:textId="77777777" w:rsidR="00F73264" w:rsidRDefault="0032073D">
            <w:pPr>
              <w:cnfStyle w:val="000000100000" w:firstRow="0" w:lastRow="0" w:firstColumn="0" w:lastColumn="0" w:oddVBand="0" w:evenVBand="0" w:oddHBand="1" w:evenHBand="0" w:firstRowFirstColumn="0" w:firstRowLastColumn="0" w:lastRowFirstColumn="0" w:lastRowLastColumn="0"/>
            </w:pPr>
            <w:r>
              <w:t>292</w:t>
            </w:r>
          </w:p>
        </w:tc>
        <w:tc>
          <w:tcPr>
            <w:tcW w:w="2469" w:type="dxa"/>
          </w:tcPr>
          <w:p w14:paraId="0DA4D48B" w14:textId="77777777" w:rsidR="00F73264" w:rsidRDefault="0032073D">
            <w:pPr>
              <w:cnfStyle w:val="000000100000" w:firstRow="0" w:lastRow="0" w:firstColumn="0" w:lastColumn="0" w:oddVBand="0" w:evenVBand="0" w:oddHBand="1" w:evenHBand="0" w:firstRowFirstColumn="0" w:firstRowLastColumn="0" w:lastRowFirstColumn="0" w:lastRowLastColumn="0"/>
            </w:pPr>
            <w:r>
              <w:t>98.3%</w:t>
            </w:r>
          </w:p>
        </w:tc>
      </w:tr>
      <w:tr w:rsidR="00F73264" w14:paraId="224C0E5B" w14:textId="77777777" w:rsidTr="00F73264">
        <w:tc>
          <w:tcPr>
            <w:cnfStyle w:val="001000000000" w:firstRow="0" w:lastRow="0" w:firstColumn="1" w:lastColumn="0" w:oddVBand="0" w:evenVBand="0" w:oddHBand="0" w:evenHBand="0" w:firstRowFirstColumn="0" w:firstRowLastColumn="0" w:lastRowFirstColumn="0" w:lastRowLastColumn="0"/>
            <w:tcW w:w="2469" w:type="dxa"/>
          </w:tcPr>
          <w:p w14:paraId="066C3DB3" w14:textId="77777777" w:rsidR="00F73264" w:rsidRDefault="0032073D">
            <w:r>
              <w:t>2015</w:t>
            </w:r>
          </w:p>
        </w:tc>
        <w:tc>
          <w:tcPr>
            <w:tcW w:w="2469" w:type="dxa"/>
          </w:tcPr>
          <w:p w14:paraId="01879E6C" w14:textId="77777777" w:rsidR="00F73264" w:rsidRDefault="0032073D">
            <w:pPr>
              <w:cnfStyle w:val="000000000000" w:firstRow="0" w:lastRow="0" w:firstColumn="0" w:lastColumn="0" w:oddVBand="0" w:evenVBand="0" w:oddHBand="0" w:evenHBand="0" w:firstRowFirstColumn="0" w:firstRowLastColumn="0" w:lastRowFirstColumn="0" w:lastRowLastColumn="0"/>
            </w:pPr>
            <w:r>
              <w:t>383</w:t>
            </w:r>
          </w:p>
        </w:tc>
        <w:tc>
          <w:tcPr>
            <w:tcW w:w="2469" w:type="dxa"/>
          </w:tcPr>
          <w:p w14:paraId="4AD55705" w14:textId="77777777" w:rsidR="00F73264" w:rsidRDefault="0032073D">
            <w:pPr>
              <w:cnfStyle w:val="000000000000" w:firstRow="0" w:lastRow="0" w:firstColumn="0" w:lastColumn="0" w:oddVBand="0" w:evenVBand="0" w:oddHBand="0" w:evenHBand="0" w:firstRowFirstColumn="0" w:firstRowLastColumn="0" w:lastRowFirstColumn="0" w:lastRowLastColumn="0"/>
            </w:pPr>
            <w:r>
              <w:t>193</w:t>
            </w:r>
          </w:p>
        </w:tc>
        <w:tc>
          <w:tcPr>
            <w:tcW w:w="2469" w:type="dxa"/>
          </w:tcPr>
          <w:p w14:paraId="75784716" w14:textId="77777777" w:rsidR="00F73264" w:rsidRDefault="0032073D">
            <w:pPr>
              <w:cnfStyle w:val="000000000000" w:firstRow="0" w:lastRow="0" w:firstColumn="0" w:lastColumn="0" w:oddVBand="0" w:evenVBand="0" w:oddHBand="0" w:evenHBand="0" w:firstRowFirstColumn="0" w:firstRowLastColumn="0" w:lastRowFirstColumn="0" w:lastRowLastColumn="0"/>
            </w:pPr>
            <w:r>
              <w:t>50.4%</w:t>
            </w:r>
          </w:p>
        </w:tc>
      </w:tr>
      <w:tr w:rsidR="00F73264" w14:paraId="1C5026B5"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5ACF7A2C" w14:textId="77777777" w:rsidR="00F73264" w:rsidRDefault="0032073D">
            <w:r>
              <w:t>2016</w:t>
            </w:r>
          </w:p>
        </w:tc>
        <w:tc>
          <w:tcPr>
            <w:tcW w:w="2469" w:type="dxa"/>
          </w:tcPr>
          <w:p w14:paraId="648EBDE7" w14:textId="77777777" w:rsidR="00F73264" w:rsidRDefault="0032073D">
            <w:pPr>
              <w:cnfStyle w:val="000000100000" w:firstRow="0" w:lastRow="0" w:firstColumn="0" w:lastColumn="0" w:oddVBand="0" w:evenVBand="0" w:oddHBand="1" w:evenHBand="0" w:firstRowFirstColumn="0" w:firstRowLastColumn="0" w:lastRowFirstColumn="0" w:lastRowLastColumn="0"/>
            </w:pPr>
            <w:r>
              <w:t>301</w:t>
            </w:r>
          </w:p>
        </w:tc>
        <w:tc>
          <w:tcPr>
            <w:tcW w:w="2469" w:type="dxa"/>
          </w:tcPr>
          <w:p w14:paraId="5318318A" w14:textId="77777777" w:rsidR="00F73264" w:rsidRDefault="0032073D">
            <w:pPr>
              <w:cnfStyle w:val="000000100000" w:firstRow="0" w:lastRow="0" w:firstColumn="0" w:lastColumn="0" w:oddVBand="0" w:evenVBand="0" w:oddHBand="1" w:evenHBand="0" w:firstRowFirstColumn="0" w:firstRowLastColumn="0" w:lastRowFirstColumn="0" w:lastRowLastColumn="0"/>
            </w:pPr>
            <w:r>
              <w:t>135</w:t>
            </w:r>
          </w:p>
        </w:tc>
        <w:tc>
          <w:tcPr>
            <w:tcW w:w="2469" w:type="dxa"/>
          </w:tcPr>
          <w:p w14:paraId="6231672D" w14:textId="77777777" w:rsidR="00F73264" w:rsidRDefault="0032073D">
            <w:pPr>
              <w:cnfStyle w:val="000000100000" w:firstRow="0" w:lastRow="0" w:firstColumn="0" w:lastColumn="0" w:oddVBand="0" w:evenVBand="0" w:oddHBand="1" w:evenHBand="0" w:firstRowFirstColumn="0" w:firstRowLastColumn="0" w:lastRowFirstColumn="0" w:lastRowLastColumn="0"/>
            </w:pPr>
            <w:r>
              <w:t>44.9%</w:t>
            </w:r>
          </w:p>
        </w:tc>
      </w:tr>
      <w:tr w:rsidR="00F73264" w14:paraId="3DBE0A18" w14:textId="77777777" w:rsidTr="00F73264">
        <w:tc>
          <w:tcPr>
            <w:cnfStyle w:val="001000000000" w:firstRow="0" w:lastRow="0" w:firstColumn="1" w:lastColumn="0" w:oddVBand="0" w:evenVBand="0" w:oddHBand="0" w:evenHBand="0" w:firstRowFirstColumn="0" w:firstRowLastColumn="0" w:lastRowFirstColumn="0" w:lastRowLastColumn="0"/>
            <w:tcW w:w="2469" w:type="dxa"/>
          </w:tcPr>
          <w:p w14:paraId="49E99CCF" w14:textId="77777777" w:rsidR="00F73264" w:rsidRDefault="0032073D">
            <w:r>
              <w:t>2017</w:t>
            </w:r>
          </w:p>
        </w:tc>
        <w:tc>
          <w:tcPr>
            <w:tcW w:w="2469" w:type="dxa"/>
          </w:tcPr>
          <w:p w14:paraId="22318DBD" w14:textId="77777777" w:rsidR="00F73264" w:rsidRDefault="0032073D">
            <w:pPr>
              <w:cnfStyle w:val="000000000000" w:firstRow="0" w:lastRow="0" w:firstColumn="0" w:lastColumn="0" w:oddVBand="0" w:evenVBand="0" w:oddHBand="0" w:evenHBand="0" w:firstRowFirstColumn="0" w:firstRowLastColumn="0" w:lastRowFirstColumn="0" w:lastRowLastColumn="0"/>
            </w:pPr>
            <w:r>
              <w:t>144</w:t>
            </w:r>
          </w:p>
        </w:tc>
        <w:tc>
          <w:tcPr>
            <w:tcW w:w="2469" w:type="dxa"/>
          </w:tcPr>
          <w:p w14:paraId="62174BA6" w14:textId="77777777" w:rsidR="00F73264" w:rsidRDefault="0032073D">
            <w:pPr>
              <w:cnfStyle w:val="000000000000" w:firstRow="0" w:lastRow="0" w:firstColumn="0" w:lastColumn="0" w:oddVBand="0" w:evenVBand="0" w:oddHBand="0" w:evenHBand="0" w:firstRowFirstColumn="0" w:firstRowLastColumn="0" w:lastRowFirstColumn="0" w:lastRowLastColumn="0"/>
            </w:pPr>
            <w:r>
              <w:t>64</w:t>
            </w:r>
          </w:p>
        </w:tc>
        <w:tc>
          <w:tcPr>
            <w:tcW w:w="2469" w:type="dxa"/>
          </w:tcPr>
          <w:p w14:paraId="32BDFDCA" w14:textId="77777777" w:rsidR="00F73264" w:rsidRDefault="0032073D">
            <w:pPr>
              <w:cnfStyle w:val="000000000000" w:firstRow="0" w:lastRow="0" w:firstColumn="0" w:lastColumn="0" w:oddVBand="0" w:evenVBand="0" w:oddHBand="0" w:evenHBand="0" w:firstRowFirstColumn="0" w:firstRowLastColumn="0" w:lastRowFirstColumn="0" w:lastRowLastColumn="0"/>
            </w:pPr>
            <w:r>
              <w:t>44.4%</w:t>
            </w:r>
          </w:p>
        </w:tc>
      </w:tr>
      <w:tr w:rsidR="00F73264" w14:paraId="360DF670"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3E962125" w14:textId="77777777" w:rsidR="00F73264" w:rsidRDefault="0032073D">
            <w:r>
              <w:t>2018</w:t>
            </w:r>
          </w:p>
        </w:tc>
        <w:tc>
          <w:tcPr>
            <w:tcW w:w="2469" w:type="dxa"/>
          </w:tcPr>
          <w:p w14:paraId="20826DE6" w14:textId="77777777" w:rsidR="00F73264" w:rsidRDefault="0032073D">
            <w:pPr>
              <w:cnfStyle w:val="000000100000" w:firstRow="0" w:lastRow="0" w:firstColumn="0" w:lastColumn="0" w:oddVBand="0" w:evenVBand="0" w:oddHBand="1" w:evenHBand="0" w:firstRowFirstColumn="0" w:firstRowLastColumn="0" w:lastRowFirstColumn="0" w:lastRowLastColumn="0"/>
            </w:pPr>
            <w:r>
              <w:t>217</w:t>
            </w:r>
          </w:p>
        </w:tc>
        <w:tc>
          <w:tcPr>
            <w:tcW w:w="2469" w:type="dxa"/>
          </w:tcPr>
          <w:p w14:paraId="46BEC1C8" w14:textId="77777777" w:rsidR="00F73264" w:rsidRDefault="0032073D">
            <w:pPr>
              <w:cnfStyle w:val="000000100000" w:firstRow="0" w:lastRow="0" w:firstColumn="0" w:lastColumn="0" w:oddVBand="0" w:evenVBand="0" w:oddHBand="1" w:evenHBand="0" w:firstRowFirstColumn="0" w:firstRowLastColumn="0" w:lastRowFirstColumn="0" w:lastRowLastColumn="0"/>
            </w:pPr>
            <w:r>
              <w:t>36</w:t>
            </w:r>
          </w:p>
        </w:tc>
        <w:tc>
          <w:tcPr>
            <w:tcW w:w="2469" w:type="dxa"/>
          </w:tcPr>
          <w:p w14:paraId="1F1CFC76" w14:textId="77777777" w:rsidR="00F73264" w:rsidRDefault="0032073D">
            <w:pPr>
              <w:cnfStyle w:val="000000100000" w:firstRow="0" w:lastRow="0" w:firstColumn="0" w:lastColumn="0" w:oddVBand="0" w:evenVBand="0" w:oddHBand="1" w:evenHBand="0" w:firstRowFirstColumn="0" w:firstRowLastColumn="0" w:lastRowFirstColumn="0" w:lastRowLastColumn="0"/>
            </w:pPr>
            <w:r>
              <w:t>16.6%</w:t>
            </w:r>
          </w:p>
        </w:tc>
      </w:tr>
      <w:tr w:rsidR="00F73264" w14:paraId="063E765F" w14:textId="77777777" w:rsidTr="00F73264">
        <w:tc>
          <w:tcPr>
            <w:cnfStyle w:val="001000000000" w:firstRow="0" w:lastRow="0" w:firstColumn="1" w:lastColumn="0" w:oddVBand="0" w:evenVBand="0" w:oddHBand="0" w:evenHBand="0" w:firstRowFirstColumn="0" w:firstRowLastColumn="0" w:lastRowFirstColumn="0" w:lastRowLastColumn="0"/>
            <w:tcW w:w="2469" w:type="dxa"/>
          </w:tcPr>
          <w:p w14:paraId="50B3E9AC" w14:textId="77777777" w:rsidR="00F73264" w:rsidRDefault="0032073D">
            <w:r>
              <w:t>2019</w:t>
            </w:r>
          </w:p>
        </w:tc>
        <w:tc>
          <w:tcPr>
            <w:tcW w:w="2469" w:type="dxa"/>
          </w:tcPr>
          <w:p w14:paraId="21185429" w14:textId="77777777" w:rsidR="00F73264" w:rsidRDefault="0032073D">
            <w:pPr>
              <w:cnfStyle w:val="000000000000" w:firstRow="0" w:lastRow="0" w:firstColumn="0" w:lastColumn="0" w:oddVBand="0" w:evenVBand="0" w:oddHBand="0" w:evenHBand="0" w:firstRowFirstColumn="0" w:firstRowLastColumn="0" w:lastRowFirstColumn="0" w:lastRowLastColumn="0"/>
            </w:pPr>
            <w:r>
              <w:t>202</w:t>
            </w:r>
          </w:p>
        </w:tc>
        <w:tc>
          <w:tcPr>
            <w:tcW w:w="2469" w:type="dxa"/>
          </w:tcPr>
          <w:p w14:paraId="3D617938" w14:textId="77777777" w:rsidR="00F73264" w:rsidRDefault="0032073D">
            <w:pPr>
              <w:cnfStyle w:val="000000000000" w:firstRow="0" w:lastRow="0" w:firstColumn="0" w:lastColumn="0" w:oddVBand="0" w:evenVBand="0" w:oddHBand="0" w:evenHBand="0" w:firstRowFirstColumn="0" w:firstRowLastColumn="0" w:lastRowFirstColumn="0" w:lastRowLastColumn="0"/>
            </w:pPr>
            <w:r>
              <w:t>59</w:t>
            </w:r>
          </w:p>
        </w:tc>
        <w:tc>
          <w:tcPr>
            <w:tcW w:w="2469" w:type="dxa"/>
          </w:tcPr>
          <w:p w14:paraId="5F742864" w14:textId="77777777" w:rsidR="00F73264" w:rsidRDefault="0032073D">
            <w:pPr>
              <w:cnfStyle w:val="000000000000" w:firstRow="0" w:lastRow="0" w:firstColumn="0" w:lastColumn="0" w:oddVBand="0" w:evenVBand="0" w:oddHBand="0" w:evenHBand="0" w:firstRowFirstColumn="0" w:firstRowLastColumn="0" w:lastRowFirstColumn="0" w:lastRowLastColumn="0"/>
            </w:pPr>
            <w:r>
              <w:t>29.2%</w:t>
            </w:r>
          </w:p>
        </w:tc>
      </w:tr>
      <w:tr w:rsidR="00F73264" w14:paraId="378121BF"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254FDF86" w14:textId="77777777" w:rsidR="00F73264" w:rsidRDefault="0032073D">
            <w:r>
              <w:t>2020</w:t>
            </w:r>
          </w:p>
        </w:tc>
        <w:tc>
          <w:tcPr>
            <w:tcW w:w="2469" w:type="dxa"/>
          </w:tcPr>
          <w:p w14:paraId="043ED653" w14:textId="77777777" w:rsidR="00F73264" w:rsidRDefault="0032073D">
            <w:pPr>
              <w:cnfStyle w:val="000000100000" w:firstRow="0" w:lastRow="0" w:firstColumn="0" w:lastColumn="0" w:oddVBand="0" w:evenVBand="0" w:oddHBand="1" w:evenHBand="0" w:firstRowFirstColumn="0" w:firstRowLastColumn="0" w:lastRowFirstColumn="0" w:lastRowLastColumn="0"/>
            </w:pPr>
            <w:r>
              <w:t>274</w:t>
            </w:r>
          </w:p>
        </w:tc>
        <w:tc>
          <w:tcPr>
            <w:tcW w:w="2469" w:type="dxa"/>
          </w:tcPr>
          <w:p w14:paraId="79B0DBEE" w14:textId="77777777" w:rsidR="00F73264" w:rsidRDefault="0032073D">
            <w:pPr>
              <w:cnfStyle w:val="000000100000" w:firstRow="0" w:lastRow="0" w:firstColumn="0" w:lastColumn="0" w:oddVBand="0" w:evenVBand="0" w:oddHBand="1" w:evenHBand="0" w:firstRowFirstColumn="0" w:firstRowLastColumn="0" w:lastRowFirstColumn="0" w:lastRowLastColumn="0"/>
            </w:pPr>
            <w:r>
              <w:t>127</w:t>
            </w:r>
          </w:p>
        </w:tc>
        <w:tc>
          <w:tcPr>
            <w:tcW w:w="2469" w:type="dxa"/>
          </w:tcPr>
          <w:p w14:paraId="10F238FE" w14:textId="77777777" w:rsidR="00F73264" w:rsidRDefault="0032073D">
            <w:pPr>
              <w:cnfStyle w:val="000000100000" w:firstRow="0" w:lastRow="0" w:firstColumn="0" w:lastColumn="0" w:oddVBand="0" w:evenVBand="0" w:oddHBand="1" w:evenHBand="0" w:firstRowFirstColumn="0" w:firstRowLastColumn="0" w:lastRowFirstColumn="0" w:lastRowLastColumn="0"/>
            </w:pPr>
            <w:r>
              <w:t>46.4%</w:t>
            </w:r>
          </w:p>
        </w:tc>
      </w:tr>
      <w:tr w:rsidR="00F73264" w14:paraId="3AFEF829" w14:textId="77777777" w:rsidTr="00F73264">
        <w:tc>
          <w:tcPr>
            <w:cnfStyle w:val="001000000000" w:firstRow="0" w:lastRow="0" w:firstColumn="1" w:lastColumn="0" w:oddVBand="0" w:evenVBand="0" w:oddHBand="0" w:evenHBand="0" w:firstRowFirstColumn="0" w:firstRowLastColumn="0" w:lastRowFirstColumn="0" w:lastRowLastColumn="0"/>
            <w:tcW w:w="2469" w:type="dxa"/>
          </w:tcPr>
          <w:p w14:paraId="6FF85C13" w14:textId="77777777" w:rsidR="00F73264" w:rsidRDefault="0032073D">
            <w:r>
              <w:t>2021</w:t>
            </w:r>
          </w:p>
        </w:tc>
        <w:tc>
          <w:tcPr>
            <w:tcW w:w="2469" w:type="dxa"/>
          </w:tcPr>
          <w:p w14:paraId="25F12DE1" w14:textId="77777777" w:rsidR="00F73264" w:rsidRDefault="0032073D">
            <w:pPr>
              <w:cnfStyle w:val="000000000000" w:firstRow="0" w:lastRow="0" w:firstColumn="0" w:lastColumn="0" w:oddVBand="0" w:evenVBand="0" w:oddHBand="0" w:evenHBand="0" w:firstRowFirstColumn="0" w:firstRowLastColumn="0" w:lastRowFirstColumn="0" w:lastRowLastColumn="0"/>
            </w:pPr>
            <w:r>
              <w:t>365</w:t>
            </w:r>
          </w:p>
        </w:tc>
        <w:tc>
          <w:tcPr>
            <w:tcW w:w="2469" w:type="dxa"/>
          </w:tcPr>
          <w:p w14:paraId="3079D6A6" w14:textId="77777777" w:rsidR="00F73264" w:rsidRDefault="0032073D">
            <w:pPr>
              <w:cnfStyle w:val="000000000000" w:firstRow="0" w:lastRow="0" w:firstColumn="0" w:lastColumn="0" w:oddVBand="0" w:evenVBand="0" w:oddHBand="0" w:evenHBand="0" w:firstRowFirstColumn="0" w:firstRowLastColumn="0" w:lastRowFirstColumn="0" w:lastRowLastColumn="0"/>
            </w:pPr>
            <w:r>
              <w:t>49</w:t>
            </w:r>
          </w:p>
        </w:tc>
        <w:tc>
          <w:tcPr>
            <w:tcW w:w="2469" w:type="dxa"/>
          </w:tcPr>
          <w:p w14:paraId="4D2C63D6" w14:textId="77777777" w:rsidR="00F73264" w:rsidRDefault="0032073D">
            <w:pPr>
              <w:cnfStyle w:val="000000000000" w:firstRow="0" w:lastRow="0" w:firstColumn="0" w:lastColumn="0" w:oddVBand="0" w:evenVBand="0" w:oddHBand="0" w:evenHBand="0" w:firstRowFirstColumn="0" w:firstRowLastColumn="0" w:lastRowFirstColumn="0" w:lastRowLastColumn="0"/>
            </w:pPr>
            <w:r>
              <w:t>13.4%</w:t>
            </w:r>
          </w:p>
        </w:tc>
      </w:tr>
      <w:tr w:rsidR="00F73264" w14:paraId="730A6A00"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62831A8E" w14:textId="77777777" w:rsidR="00F73264" w:rsidRDefault="0032073D">
            <w:r>
              <w:t>2022</w:t>
            </w:r>
          </w:p>
        </w:tc>
        <w:tc>
          <w:tcPr>
            <w:tcW w:w="2469" w:type="dxa"/>
          </w:tcPr>
          <w:p w14:paraId="5A9E955F" w14:textId="77777777" w:rsidR="00F73264" w:rsidRDefault="0032073D">
            <w:pPr>
              <w:cnfStyle w:val="000000100000" w:firstRow="0" w:lastRow="0" w:firstColumn="0" w:lastColumn="0" w:oddVBand="0" w:evenVBand="0" w:oddHBand="1" w:evenHBand="0" w:firstRowFirstColumn="0" w:firstRowLastColumn="0" w:lastRowFirstColumn="0" w:lastRowLastColumn="0"/>
            </w:pPr>
            <w:r>
              <w:t>212</w:t>
            </w:r>
          </w:p>
        </w:tc>
        <w:tc>
          <w:tcPr>
            <w:tcW w:w="2469" w:type="dxa"/>
          </w:tcPr>
          <w:p w14:paraId="10D54AE9" w14:textId="77777777" w:rsidR="00F73264" w:rsidRDefault="0032073D">
            <w:pPr>
              <w:cnfStyle w:val="000000100000" w:firstRow="0" w:lastRow="0" w:firstColumn="0" w:lastColumn="0" w:oddVBand="0" w:evenVBand="0" w:oddHBand="1" w:evenHBand="0" w:firstRowFirstColumn="0" w:firstRowLastColumn="0" w:lastRowFirstColumn="0" w:lastRowLastColumn="0"/>
            </w:pPr>
            <w:r>
              <w:t>0</w:t>
            </w:r>
          </w:p>
        </w:tc>
        <w:tc>
          <w:tcPr>
            <w:tcW w:w="2469" w:type="dxa"/>
          </w:tcPr>
          <w:p w14:paraId="61A7879D" w14:textId="77777777" w:rsidR="00F73264" w:rsidRDefault="0032073D">
            <w:pPr>
              <w:cnfStyle w:val="000000100000" w:firstRow="0" w:lastRow="0" w:firstColumn="0" w:lastColumn="0" w:oddVBand="0" w:evenVBand="0" w:oddHBand="1" w:evenHBand="0" w:firstRowFirstColumn="0" w:firstRowLastColumn="0" w:lastRowFirstColumn="0" w:lastRowLastColumn="0"/>
            </w:pPr>
            <w:r>
              <w:t>0.0%</w:t>
            </w:r>
          </w:p>
        </w:tc>
      </w:tr>
      <w:tr w:rsidR="00F73264" w14:paraId="171364AF" w14:textId="77777777" w:rsidTr="00F73264">
        <w:tc>
          <w:tcPr>
            <w:cnfStyle w:val="001000000000" w:firstRow="0" w:lastRow="0" w:firstColumn="1" w:lastColumn="0" w:oddVBand="0" w:evenVBand="0" w:oddHBand="0" w:evenHBand="0" w:firstRowFirstColumn="0" w:firstRowLastColumn="0" w:lastRowFirstColumn="0" w:lastRowLastColumn="0"/>
            <w:tcW w:w="2469" w:type="dxa"/>
          </w:tcPr>
          <w:p w14:paraId="71916547" w14:textId="77777777" w:rsidR="00F73264" w:rsidRDefault="0032073D">
            <w:r>
              <w:t>2023</w:t>
            </w:r>
          </w:p>
        </w:tc>
        <w:tc>
          <w:tcPr>
            <w:tcW w:w="2469" w:type="dxa"/>
          </w:tcPr>
          <w:p w14:paraId="71E7488E" w14:textId="77777777" w:rsidR="00F73264" w:rsidRDefault="0032073D">
            <w:pPr>
              <w:cnfStyle w:val="000000000000" w:firstRow="0" w:lastRow="0" w:firstColumn="0" w:lastColumn="0" w:oddVBand="0" w:evenVBand="0" w:oddHBand="0" w:evenHBand="0" w:firstRowFirstColumn="0" w:firstRowLastColumn="0" w:lastRowFirstColumn="0" w:lastRowLastColumn="0"/>
            </w:pPr>
            <w:r>
              <w:t>496</w:t>
            </w:r>
          </w:p>
        </w:tc>
        <w:tc>
          <w:tcPr>
            <w:tcW w:w="2469" w:type="dxa"/>
          </w:tcPr>
          <w:p w14:paraId="50D761DA" w14:textId="77777777" w:rsidR="00F73264" w:rsidRDefault="0032073D">
            <w:pPr>
              <w:cnfStyle w:val="000000000000" w:firstRow="0" w:lastRow="0" w:firstColumn="0" w:lastColumn="0" w:oddVBand="0" w:evenVBand="0" w:oddHBand="0" w:evenHBand="0" w:firstRowFirstColumn="0" w:firstRowLastColumn="0" w:lastRowFirstColumn="0" w:lastRowLastColumn="0"/>
            </w:pPr>
            <w:r>
              <w:t>331</w:t>
            </w:r>
          </w:p>
        </w:tc>
        <w:tc>
          <w:tcPr>
            <w:tcW w:w="2469" w:type="dxa"/>
          </w:tcPr>
          <w:p w14:paraId="71D1C22E" w14:textId="77777777" w:rsidR="00F73264" w:rsidRDefault="0032073D">
            <w:pPr>
              <w:cnfStyle w:val="000000000000" w:firstRow="0" w:lastRow="0" w:firstColumn="0" w:lastColumn="0" w:oddVBand="0" w:evenVBand="0" w:oddHBand="0" w:evenHBand="0" w:firstRowFirstColumn="0" w:firstRowLastColumn="0" w:lastRowFirstColumn="0" w:lastRowLastColumn="0"/>
            </w:pPr>
            <w:r>
              <w:t>66.7%</w:t>
            </w:r>
          </w:p>
        </w:tc>
      </w:tr>
      <w:tr w:rsidR="00F73264" w14:paraId="27CCCB6F"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5E0A5EB8" w14:textId="77777777" w:rsidR="00F73264" w:rsidRDefault="0032073D">
            <w:r>
              <w:t>2024</w:t>
            </w:r>
          </w:p>
        </w:tc>
        <w:tc>
          <w:tcPr>
            <w:tcW w:w="2469" w:type="dxa"/>
          </w:tcPr>
          <w:p w14:paraId="4EE0AE2E" w14:textId="77777777" w:rsidR="00F73264" w:rsidRDefault="0032073D">
            <w:pPr>
              <w:cnfStyle w:val="000000100000" w:firstRow="0" w:lastRow="0" w:firstColumn="0" w:lastColumn="0" w:oddVBand="0" w:evenVBand="0" w:oddHBand="1" w:evenHBand="0" w:firstRowFirstColumn="0" w:firstRowLastColumn="0" w:lastRowFirstColumn="0" w:lastRowLastColumn="0"/>
            </w:pPr>
            <w:r>
              <w:t>481</w:t>
            </w:r>
          </w:p>
        </w:tc>
        <w:tc>
          <w:tcPr>
            <w:tcW w:w="2469" w:type="dxa"/>
          </w:tcPr>
          <w:p w14:paraId="1C8705C9" w14:textId="77777777" w:rsidR="00F73264" w:rsidRDefault="0032073D">
            <w:pPr>
              <w:cnfStyle w:val="000000100000" w:firstRow="0" w:lastRow="0" w:firstColumn="0" w:lastColumn="0" w:oddVBand="0" w:evenVBand="0" w:oddHBand="1" w:evenHBand="0" w:firstRowFirstColumn="0" w:firstRowLastColumn="0" w:lastRowFirstColumn="0" w:lastRowLastColumn="0"/>
            </w:pPr>
            <w:r>
              <w:t>478</w:t>
            </w:r>
          </w:p>
        </w:tc>
        <w:tc>
          <w:tcPr>
            <w:tcW w:w="2469" w:type="dxa"/>
          </w:tcPr>
          <w:p w14:paraId="02F5B927" w14:textId="77777777" w:rsidR="00F73264" w:rsidRDefault="0032073D">
            <w:pPr>
              <w:cnfStyle w:val="000000100000" w:firstRow="0" w:lastRow="0" w:firstColumn="0" w:lastColumn="0" w:oddVBand="0" w:evenVBand="0" w:oddHBand="1" w:evenHBand="0" w:firstRowFirstColumn="0" w:firstRowLastColumn="0" w:lastRowFirstColumn="0" w:lastRowLastColumn="0"/>
            </w:pPr>
            <w:r>
              <w:t>99.4%</w:t>
            </w:r>
          </w:p>
        </w:tc>
      </w:tr>
      <w:tr w:rsidR="00F73264" w14:paraId="16934AB0" w14:textId="77777777" w:rsidTr="00F73264">
        <w:tc>
          <w:tcPr>
            <w:cnfStyle w:val="001000000000" w:firstRow="0" w:lastRow="0" w:firstColumn="1" w:lastColumn="0" w:oddVBand="0" w:evenVBand="0" w:oddHBand="0" w:evenHBand="0" w:firstRowFirstColumn="0" w:firstRowLastColumn="0" w:lastRowFirstColumn="0" w:lastRowLastColumn="0"/>
            <w:tcW w:w="2469" w:type="dxa"/>
          </w:tcPr>
          <w:p w14:paraId="76A538FD" w14:textId="77777777" w:rsidR="00F73264" w:rsidRDefault="0032073D">
            <w:r>
              <w:t>2025</w:t>
            </w:r>
          </w:p>
        </w:tc>
        <w:tc>
          <w:tcPr>
            <w:tcW w:w="2469" w:type="dxa"/>
          </w:tcPr>
          <w:p w14:paraId="3B8846AF" w14:textId="77777777" w:rsidR="00F73264" w:rsidRDefault="0032073D">
            <w:pPr>
              <w:cnfStyle w:val="000000000000" w:firstRow="0" w:lastRow="0" w:firstColumn="0" w:lastColumn="0" w:oddVBand="0" w:evenVBand="0" w:oddHBand="0" w:evenHBand="0" w:firstRowFirstColumn="0" w:firstRowLastColumn="0" w:lastRowFirstColumn="0" w:lastRowLastColumn="0"/>
            </w:pPr>
            <w:r>
              <w:t>408</w:t>
            </w:r>
          </w:p>
        </w:tc>
        <w:tc>
          <w:tcPr>
            <w:tcW w:w="2469" w:type="dxa"/>
          </w:tcPr>
          <w:p w14:paraId="760C7C51" w14:textId="77777777" w:rsidR="00F73264" w:rsidRDefault="0032073D">
            <w:pPr>
              <w:cnfStyle w:val="000000000000" w:firstRow="0" w:lastRow="0" w:firstColumn="0" w:lastColumn="0" w:oddVBand="0" w:evenVBand="0" w:oddHBand="0" w:evenHBand="0" w:firstRowFirstColumn="0" w:firstRowLastColumn="0" w:lastRowFirstColumn="0" w:lastRowLastColumn="0"/>
            </w:pPr>
            <w:r>
              <w:t>394</w:t>
            </w:r>
          </w:p>
        </w:tc>
        <w:tc>
          <w:tcPr>
            <w:tcW w:w="2469" w:type="dxa"/>
          </w:tcPr>
          <w:p w14:paraId="580A19F9" w14:textId="77777777" w:rsidR="00F73264" w:rsidRDefault="0032073D">
            <w:pPr>
              <w:cnfStyle w:val="000000000000" w:firstRow="0" w:lastRow="0" w:firstColumn="0" w:lastColumn="0" w:oddVBand="0" w:evenVBand="0" w:oddHBand="0" w:evenHBand="0" w:firstRowFirstColumn="0" w:firstRowLastColumn="0" w:lastRowFirstColumn="0" w:lastRowLastColumn="0"/>
            </w:pPr>
            <w:r>
              <w:t>96.6%</w:t>
            </w:r>
          </w:p>
        </w:tc>
      </w:tr>
      <w:tr w:rsidR="00F73264" w14:paraId="34891825"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2BA504A0" w14:textId="77777777" w:rsidR="00F73264" w:rsidRDefault="0032073D">
            <w:r>
              <w:t>2026</w:t>
            </w:r>
          </w:p>
        </w:tc>
        <w:tc>
          <w:tcPr>
            <w:tcW w:w="2469" w:type="dxa"/>
          </w:tcPr>
          <w:p w14:paraId="74AF3AEC" w14:textId="77777777" w:rsidR="00F73264" w:rsidRDefault="0032073D">
            <w:pPr>
              <w:cnfStyle w:val="000000100000" w:firstRow="0" w:lastRow="0" w:firstColumn="0" w:lastColumn="0" w:oddVBand="0" w:evenVBand="0" w:oddHBand="1" w:evenHBand="0" w:firstRowFirstColumn="0" w:firstRowLastColumn="0" w:lastRowFirstColumn="0" w:lastRowLastColumn="0"/>
            </w:pPr>
            <w:r>
              <w:t>10</w:t>
            </w:r>
          </w:p>
        </w:tc>
        <w:tc>
          <w:tcPr>
            <w:tcW w:w="2469" w:type="dxa"/>
          </w:tcPr>
          <w:p w14:paraId="017476E9" w14:textId="77777777" w:rsidR="00F73264" w:rsidRDefault="0032073D">
            <w:pPr>
              <w:cnfStyle w:val="000000100000" w:firstRow="0" w:lastRow="0" w:firstColumn="0" w:lastColumn="0" w:oddVBand="0" w:evenVBand="0" w:oddHBand="1" w:evenHBand="0" w:firstRowFirstColumn="0" w:firstRowLastColumn="0" w:lastRowFirstColumn="0" w:lastRowLastColumn="0"/>
            </w:pPr>
            <w:r>
              <w:t>0</w:t>
            </w:r>
          </w:p>
        </w:tc>
        <w:tc>
          <w:tcPr>
            <w:tcW w:w="2469" w:type="dxa"/>
          </w:tcPr>
          <w:p w14:paraId="6C026FD4" w14:textId="77777777" w:rsidR="00F73264" w:rsidRDefault="0032073D">
            <w:pPr>
              <w:cnfStyle w:val="000000100000" w:firstRow="0" w:lastRow="0" w:firstColumn="0" w:lastColumn="0" w:oddVBand="0" w:evenVBand="0" w:oddHBand="1" w:evenHBand="0" w:firstRowFirstColumn="0" w:firstRowLastColumn="0" w:lastRowFirstColumn="0" w:lastRowLastColumn="0"/>
            </w:pPr>
            <w:r>
              <w:t>0.0%</w:t>
            </w:r>
          </w:p>
        </w:tc>
      </w:tr>
      <w:tr w:rsidR="00F73264" w14:paraId="107BCCC5" w14:textId="77777777" w:rsidTr="00F73264">
        <w:tc>
          <w:tcPr>
            <w:cnfStyle w:val="001000000000" w:firstRow="0" w:lastRow="0" w:firstColumn="1" w:lastColumn="0" w:oddVBand="0" w:evenVBand="0" w:oddHBand="0" w:evenHBand="0" w:firstRowFirstColumn="0" w:firstRowLastColumn="0" w:lastRowFirstColumn="0" w:lastRowLastColumn="0"/>
            <w:tcW w:w="2469" w:type="dxa"/>
          </w:tcPr>
          <w:p w14:paraId="0A7019B0" w14:textId="77777777" w:rsidR="00F73264" w:rsidRDefault="0032073D">
            <w:r>
              <w:t>Total</w:t>
            </w:r>
          </w:p>
        </w:tc>
        <w:tc>
          <w:tcPr>
            <w:tcW w:w="2469" w:type="dxa"/>
          </w:tcPr>
          <w:p w14:paraId="09962B0A" w14:textId="77777777" w:rsidR="00F73264" w:rsidRDefault="0032073D">
            <w:pPr>
              <w:cnfStyle w:val="000000000000" w:firstRow="0" w:lastRow="0" w:firstColumn="0" w:lastColumn="0" w:oddVBand="0" w:evenVBand="0" w:oddHBand="0" w:evenHBand="0" w:firstRowFirstColumn="0" w:firstRowLastColumn="0" w:lastRowFirstColumn="0" w:lastRowLastColumn="0"/>
            </w:pPr>
            <w:r>
              <w:t>3,790</w:t>
            </w:r>
          </w:p>
        </w:tc>
        <w:tc>
          <w:tcPr>
            <w:tcW w:w="2469" w:type="dxa"/>
          </w:tcPr>
          <w:p w14:paraId="60FDD7A7" w14:textId="77777777" w:rsidR="00F73264" w:rsidRDefault="0032073D">
            <w:pPr>
              <w:cnfStyle w:val="000000000000" w:firstRow="0" w:lastRow="0" w:firstColumn="0" w:lastColumn="0" w:oddVBand="0" w:evenVBand="0" w:oddHBand="0" w:evenHBand="0" w:firstRowFirstColumn="0" w:firstRowLastColumn="0" w:lastRowFirstColumn="0" w:lastRowLastColumn="0"/>
            </w:pPr>
            <w:r>
              <w:t>2,158</w:t>
            </w:r>
          </w:p>
        </w:tc>
        <w:tc>
          <w:tcPr>
            <w:tcW w:w="2469" w:type="dxa"/>
          </w:tcPr>
          <w:p w14:paraId="05470447" w14:textId="77777777" w:rsidR="00F73264" w:rsidRDefault="0032073D">
            <w:pPr>
              <w:cnfStyle w:val="000000000000" w:firstRow="0" w:lastRow="0" w:firstColumn="0" w:lastColumn="0" w:oddVBand="0" w:evenVBand="0" w:oddHBand="0" w:evenHBand="0" w:firstRowFirstColumn="0" w:firstRowLastColumn="0" w:lastRowFirstColumn="0" w:lastRowLastColumn="0"/>
            </w:pPr>
            <w:r>
              <w:t>56.9%</w:t>
            </w:r>
          </w:p>
        </w:tc>
      </w:tr>
    </w:tbl>
    <w:p w14:paraId="786B6526" w14:textId="77777777" w:rsidR="00F73264" w:rsidRDefault="0032073D">
      <w:r>
        <w:t xml:space="preserve">Preliminary descriptive statistics from the working sample were a median 1.50 million viewers and mean 2.66 million. Selected network medians in millions: CBS 4.48, ABC 4.09, FOX 2.88, NBC 2.84, ESPN 1.87, BTN 0.59, ESPN2 0.50, FS1 0.49, ESPNU </w:t>
      </w:r>
      <w:r>
        <w:lastRenderedPageBreak/>
        <w:t>0.13. These should be recomputed against a frozen, audited CSV before publication. Differences reflect selection, game inventory, reach, time slots, and brand strength; they are not causal estimates of network or conference effects.</w:t>
      </w:r>
    </w:p>
    <w:p w14:paraId="4B145CDD" w14:textId="77777777" w:rsidR="00F73264" w:rsidRDefault="0032073D">
      <w:r>
        <w:t>The 2014 time audit flags five records without times and six kickoff-versus-schedule conflicts requiring disposition. The media study must control for team brand, opponent strength, game stakes, broadcast network and reach, kickoff window, competing games, season and postseason context, and missing data. Its central question is whether added promotion/relegation stakes create enough incremental media value to offset relegated-brand risk, rivalry disruption, rights uncertainty, and institutional transition c</w:t>
      </w:r>
      <w:r>
        <w:t>osts.</w:t>
      </w:r>
    </w:p>
    <w:p w14:paraId="673B6013" w14:textId="77777777" w:rsidR="00F73264" w:rsidRDefault="0032073D">
      <w:pPr>
        <w:pStyle w:val="Heading1"/>
      </w:pPr>
      <w:r>
        <w:t>Phase 5 | Historical promotion/relegation and scheduling simulation — planned</w:t>
      </w:r>
    </w:p>
    <w:p w14:paraId="6BE1B847" w14:textId="77777777" w:rsidR="00F73264" w:rsidRDefault="0032073D">
      <w:r>
        <w:t>Use 2014–2017 results as the initial evidence window for hypothetical 2018 placements; do not use 2018+ results to seed that first alignment. Independently simulate 2018–2026 annual movement (the v1.0 baseline), plus 3-, 5-, and 10-year sensitivity alternatives. A ten-year cycle starting in 2018 cannot be observed to completion by 2026; extend the horizon or explicitly report an incomplete cycle. Alternatives do not supersede the adopted annual rule.</w:t>
      </w:r>
    </w:p>
    <w:p w14:paraId="4D6773E7" w14:textId="77777777" w:rsidR="00F73264" w:rsidRDefault="0032073D">
      <w:r>
        <w:t>Observed historical games must remain separate from hypothetical unplayed games. Counterfactual outcomes require predictive models, uncertainty ranges, and schedule feedback: changing opponents changes wins, SOS, future placements, travel, and audience inventory. Test twelve-game schedules with ten or more intra-conference games, at most two adjacent-level nonconference games, and operational home/away, rivalry, and geographic constraints.</w:t>
      </w:r>
    </w:p>
    <w:p w14:paraId="14D6455B" w14:textId="77777777" w:rsidR="00F73264" w:rsidRDefault="0032073D">
      <w:r>
        <w:t>Primary outcomes: expected competitive win-probability distribution (including illustrative 35–65% matchup bands), expected blowouts, schedule strength, tier mobility and stability, rivalry retention, travel, audience implications, and predictive calibration. Publish methodology, code/version inputs, confidence bands, and a public team-by-team explorer with clearly labeled historical versus simulated results. Community feedback is informative but not a representative public survey.</w:t>
      </w:r>
    </w:p>
    <w:p w14:paraId="7B2F5EC4" w14:textId="77777777" w:rsidR="00F73264" w:rsidRDefault="0032073D">
      <w:pPr>
        <w:pStyle w:val="Heading1"/>
      </w:pPr>
      <w:r>
        <w:t>Phase 6 | Travel-cost and geographic efficiency — planned</w:t>
      </w:r>
    </w:p>
    <w:p w14:paraId="63537392" w14:textId="77777777" w:rsidR="00F73264" w:rsidRDefault="0032073D">
      <w:r>
        <w:t xml:space="preserve">Compare actual 2018–2026 away schedules with each Phase 5 counterfactual, pricing both under common 2026-dollar assumptions rather than reconstructing historical spending. Estimate ground/air miles, bus versus commercial/charter flights, hotels, meals/per diem, equipment, transfers, traveling-party sizes, and contingencies. Distinguish football levels, remote destinations, Hawaii, neutral sites, postseason, and 2020 disruptions. Report low/base/high estimates per game, school, conference, tier, and system, </w:t>
      </w:r>
      <w:r>
        <w:t>including rivalry and student-time implications.</w:t>
      </w:r>
    </w:p>
    <w:p w14:paraId="13859750" w14:textId="77777777" w:rsidR="00F73264" w:rsidRDefault="0032073D">
      <w:r>
        <w:t>The repository’s rivalry dataset includes estimated campus distances, protected-game priorities, time zones, and travel-cost fields. These are useful preliminary inputs but not an audited trip-level travel budget. Geography carries 40% of the new within-tier conference-fit formula; Phase 6 must test whether that preference actually lowers systemwide costs without compromising the sporting rules.</w:t>
      </w:r>
    </w:p>
    <w:p w14:paraId="070A816D" w14:textId="77777777" w:rsidR="00F73264" w:rsidRDefault="0032073D">
      <w:pPr>
        <w:pStyle w:val="Heading1"/>
      </w:pPr>
      <w:r>
        <w:t>Critical reconciliation and readiness gates</w:t>
      </w:r>
    </w:p>
    <w:tbl>
      <w:tblPr>
        <w:tblStyle w:val="LightShading-Accent1"/>
        <w:tblW w:w="0" w:type="auto"/>
        <w:tblLook w:val="04A0" w:firstRow="1" w:lastRow="0" w:firstColumn="1" w:lastColumn="0" w:noHBand="0" w:noVBand="1"/>
      </w:tblPr>
      <w:tblGrid>
        <w:gridCol w:w="4939"/>
        <w:gridCol w:w="4939"/>
      </w:tblGrid>
      <w:tr w:rsidR="00F73264" w14:paraId="73E579EB" w14:textId="77777777" w:rsidTr="00F732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913F044" w14:textId="77777777" w:rsidR="00F73264" w:rsidRDefault="0032073D">
            <w:r>
              <w:t>Issue</w:t>
            </w:r>
          </w:p>
        </w:tc>
        <w:tc>
          <w:tcPr>
            <w:tcW w:w="4939" w:type="dxa"/>
          </w:tcPr>
          <w:p w14:paraId="4CF526FC" w14:textId="77777777" w:rsidR="00F73264" w:rsidRDefault="0032073D">
            <w:pPr>
              <w:cnfStyle w:val="100000000000" w:firstRow="1" w:lastRow="0" w:firstColumn="0" w:lastColumn="0" w:oddVBand="0" w:evenVBand="0" w:oddHBand="0" w:evenHBand="0" w:firstRowFirstColumn="0" w:firstRowLastColumn="0" w:lastRowFirstColumn="0" w:lastRowLastColumn="0"/>
            </w:pPr>
            <w:r>
              <w:t>Disposition / required action</w:t>
            </w:r>
          </w:p>
        </w:tc>
      </w:tr>
      <w:tr w:rsidR="00F73264" w14:paraId="7BFB73DE"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5832D8C" w14:textId="77777777" w:rsidR="00F73264" w:rsidRDefault="0032073D">
            <w:r>
              <w:t>Rulebook precedence</w:t>
            </w:r>
          </w:p>
        </w:tc>
        <w:tc>
          <w:tcPr>
            <w:tcW w:w="4939" w:type="dxa"/>
          </w:tcPr>
          <w:p w14:paraId="54773364" w14:textId="77777777" w:rsidR="00F73264" w:rsidRDefault="0032073D">
            <w:pPr>
              <w:cnfStyle w:val="000000100000" w:firstRow="0" w:lastRow="0" w:firstColumn="0" w:lastColumn="0" w:oddVBand="0" w:evenVBand="0" w:oddHBand="1" w:evenHBand="0" w:firstRowFirstColumn="0" w:firstRowLastColumn="0" w:lastRowFirstColumn="0" w:lastRowLastColumn="0"/>
            </w:pPr>
            <w:r>
              <w:t>Official Competitive Rulebook v1.0 governs the ten-level FBS proposal; earlier conference configurations and movement cycles are historical or sensitivity scenarios.</w:t>
            </w:r>
          </w:p>
        </w:tc>
      </w:tr>
      <w:tr w:rsidR="00F73264" w14:paraId="58A672D3" w14:textId="77777777" w:rsidTr="00F73264">
        <w:tc>
          <w:tcPr>
            <w:cnfStyle w:val="001000000000" w:firstRow="0" w:lastRow="0" w:firstColumn="1" w:lastColumn="0" w:oddVBand="0" w:evenVBand="0" w:oddHBand="0" w:evenHBand="0" w:firstRowFirstColumn="0" w:firstRowLastColumn="0" w:lastRowFirstColumn="0" w:lastRowLastColumn="0"/>
            <w:tcW w:w="4939" w:type="dxa"/>
          </w:tcPr>
          <w:p w14:paraId="7899051B" w14:textId="77777777" w:rsidR="00F73264" w:rsidRDefault="0032073D">
            <w:r>
              <w:t>Ten vs 38 levels</w:t>
            </w:r>
          </w:p>
        </w:tc>
        <w:tc>
          <w:tcPr>
            <w:tcW w:w="4939" w:type="dxa"/>
          </w:tcPr>
          <w:p w14:paraId="2165C795" w14:textId="77777777" w:rsidR="00F73264" w:rsidRDefault="0032073D">
            <w:pPr>
              <w:cnfStyle w:val="000000000000" w:firstRow="0" w:lastRow="0" w:firstColumn="0" w:lastColumn="0" w:oddVBand="0" w:evenVBand="0" w:oddHBand="0" w:evenHBand="0" w:firstRowFirstColumn="0" w:firstRowLastColumn="0" w:lastRowFirstColumn="0" w:lastRowLastColumn="0"/>
            </w:pPr>
            <w:r>
              <w:t>Ten FBS pilot conferences and 38 provisional national tiers are separate research scopes; do not merge their team counts or operating assumptions.</w:t>
            </w:r>
          </w:p>
        </w:tc>
      </w:tr>
      <w:tr w:rsidR="00F73264" w14:paraId="65E5A7D1"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48FDE60" w14:textId="77777777" w:rsidR="00F73264" w:rsidRDefault="0032073D">
            <w:r>
              <w:t>Academic vs football merit</w:t>
            </w:r>
          </w:p>
        </w:tc>
        <w:tc>
          <w:tcPr>
            <w:tcW w:w="4939" w:type="dxa"/>
          </w:tcPr>
          <w:p w14:paraId="1E52B490" w14:textId="77777777" w:rsidR="00F73264" w:rsidRDefault="0032073D">
            <w:pPr>
              <w:cnfStyle w:val="000000100000" w:firstRow="0" w:lastRow="0" w:firstColumn="0" w:lastColumn="0" w:oddVBand="0" w:evenVBand="0" w:oddHBand="1" w:evenHBand="0" w:firstRowFirstColumn="0" w:firstRowLastColumn="0" w:lastRowFirstColumn="0" w:lastRowLastColumn="0"/>
            </w:pPr>
            <w:r>
              <w:t>Academics may influence within-tier conference fit only; athlete eligibility/compliance evidence is a separate readiness gate.</w:t>
            </w:r>
          </w:p>
        </w:tc>
      </w:tr>
      <w:tr w:rsidR="00F73264" w14:paraId="2290CBCD" w14:textId="77777777" w:rsidTr="00F73264">
        <w:tc>
          <w:tcPr>
            <w:cnfStyle w:val="001000000000" w:firstRow="0" w:lastRow="0" w:firstColumn="1" w:lastColumn="0" w:oddVBand="0" w:evenVBand="0" w:oddHBand="0" w:evenHBand="0" w:firstRowFirstColumn="0" w:firstRowLastColumn="0" w:lastRowFirstColumn="0" w:lastRowLastColumn="0"/>
            <w:tcW w:w="4939" w:type="dxa"/>
          </w:tcPr>
          <w:p w14:paraId="3663DCE9" w14:textId="77777777" w:rsidR="00F73264" w:rsidRDefault="0032073D">
            <w:r>
              <w:t>SOS and rankings</w:t>
            </w:r>
          </w:p>
        </w:tc>
        <w:tc>
          <w:tcPr>
            <w:tcW w:w="4939" w:type="dxa"/>
          </w:tcPr>
          <w:p w14:paraId="301EA446" w14:textId="77777777" w:rsidR="00F73264" w:rsidRDefault="0032073D">
            <w:pPr>
              <w:cnfStyle w:val="000000000000" w:firstRow="0" w:lastRow="0" w:firstColumn="0" w:lastColumn="0" w:oddVBand="0" w:evenVBand="0" w:oddHBand="0" w:evenHBand="0" w:firstRowFirstColumn="0" w:firstRowLastColumn="0" w:lastRowFirstColumn="0" w:lastRowLastColumn="0"/>
            </w:pPr>
            <w:r>
              <w:t>Target 65/25/10 and recency weights are specifications; v0.9 and opponent-win-rate proxies are not validated national opponent-adjusted ratings.</w:t>
            </w:r>
          </w:p>
        </w:tc>
      </w:tr>
      <w:tr w:rsidR="00F73264" w14:paraId="777B26C8"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E73E0F" w14:textId="77777777" w:rsidR="00F73264" w:rsidRDefault="0032073D">
            <w:r>
              <w:lastRenderedPageBreak/>
              <w:t>Eligibility and crosswalk</w:t>
            </w:r>
          </w:p>
        </w:tc>
        <w:tc>
          <w:tcPr>
            <w:tcW w:w="4939" w:type="dxa"/>
          </w:tcPr>
          <w:p w14:paraId="6D447CF8" w14:textId="77777777" w:rsidR="00F73264" w:rsidRDefault="0032073D">
            <w:pPr>
              <w:cnfStyle w:val="000000100000" w:firstRow="0" w:lastRow="0" w:firstColumn="0" w:lastColumn="0" w:oddVBand="0" w:evenVBand="0" w:oddHBand="1" w:evenHBand="0" w:firstRowFirstColumn="0" w:firstRowLastColumn="0" w:lastRowFirstColumn="0" w:lastRowLastColumn="0"/>
            </w:pPr>
            <w:r>
              <w:t>Verify DII membership history, 2014 DIII coverage, two-year eligibility, aliases, first-year classification, and Canadian SOS-only treatment.</w:t>
            </w:r>
          </w:p>
        </w:tc>
      </w:tr>
      <w:tr w:rsidR="00F73264" w14:paraId="13F2B0FC" w14:textId="77777777" w:rsidTr="00F73264">
        <w:tc>
          <w:tcPr>
            <w:cnfStyle w:val="001000000000" w:firstRow="0" w:lastRow="0" w:firstColumn="1" w:lastColumn="0" w:oddVBand="0" w:evenVBand="0" w:oddHBand="0" w:evenHBand="0" w:firstRowFirstColumn="0" w:firstRowLastColumn="0" w:lastRowFirstColumn="0" w:lastRowLastColumn="0"/>
            <w:tcW w:w="4939" w:type="dxa"/>
          </w:tcPr>
          <w:p w14:paraId="4A8BCE0D" w14:textId="77777777" w:rsidR="00F73264" w:rsidRDefault="0032073D">
            <w:r>
              <w:t>2020 and 2026</w:t>
            </w:r>
          </w:p>
        </w:tc>
        <w:tc>
          <w:tcPr>
            <w:tcW w:w="4939" w:type="dxa"/>
          </w:tcPr>
          <w:p w14:paraId="706CAB40" w14:textId="77777777" w:rsidR="00F73264" w:rsidRDefault="0032073D">
            <w:pPr>
              <w:cnfStyle w:val="000000000000" w:firstRow="0" w:lastRow="0" w:firstColumn="0" w:lastColumn="0" w:oddVBand="0" w:evenVBand="0" w:oddHBand="0" w:evenHBand="0" w:firstRowFirstColumn="0" w:firstRowLastColumn="0" w:lastRowFirstColumn="0" w:lastRowLastColumn="0"/>
            </w:pPr>
            <w:r>
              <w:t>Normalize disrupted 2020 competition and keep incomplete 2026 separate from completed-season evidence.</w:t>
            </w:r>
          </w:p>
        </w:tc>
      </w:tr>
      <w:tr w:rsidR="00F73264" w14:paraId="15DB60D9"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07C7B67" w14:textId="77777777" w:rsidR="00F73264" w:rsidRDefault="0032073D">
            <w:r>
              <w:t>Schedules</w:t>
            </w:r>
          </w:p>
        </w:tc>
        <w:tc>
          <w:tcPr>
            <w:tcW w:w="4939" w:type="dxa"/>
          </w:tcPr>
          <w:p w14:paraId="2296FFAD" w14:textId="77777777" w:rsidR="00F73264" w:rsidRDefault="0032073D">
            <w:pPr>
              <w:cnfStyle w:val="000000100000" w:firstRow="0" w:lastRow="0" w:firstColumn="0" w:lastColumn="0" w:oddVBand="0" w:evenVBand="0" w:oddHBand="1" w:evenHBand="0" w:firstRowFirstColumn="0" w:firstRowLastColumn="0" w:lastRowFirstColumn="0" w:lastRowLastColumn="0"/>
            </w:pPr>
            <w:r>
              <w:t>Prove seasonwide feasibility, protected rivalries, conference sizes, 12 games, home/away, and adjacent-level constraints.</w:t>
            </w:r>
          </w:p>
        </w:tc>
      </w:tr>
      <w:tr w:rsidR="00F73264" w14:paraId="04EAD41D" w14:textId="77777777" w:rsidTr="00F73264">
        <w:tc>
          <w:tcPr>
            <w:cnfStyle w:val="001000000000" w:firstRow="0" w:lastRow="0" w:firstColumn="1" w:lastColumn="0" w:oddVBand="0" w:evenVBand="0" w:oddHBand="0" w:evenHBand="0" w:firstRowFirstColumn="0" w:firstRowLastColumn="0" w:lastRowFirstColumn="0" w:lastRowLastColumn="0"/>
            <w:tcW w:w="4939" w:type="dxa"/>
          </w:tcPr>
          <w:p w14:paraId="1C1F25DF" w14:textId="77777777" w:rsidR="00F73264" w:rsidRDefault="0032073D">
            <w:r>
              <w:t>TV and finance</w:t>
            </w:r>
          </w:p>
        </w:tc>
        <w:tc>
          <w:tcPr>
            <w:tcW w:w="4939" w:type="dxa"/>
          </w:tcPr>
          <w:p w14:paraId="71FCA8F6" w14:textId="77777777" w:rsidR="00F73264" w:rsidRDefault="0032073D">
            <w:pPr>
              <w:cnfStyle w:val="000000000000" w:firstRow="0" w:lastRow="0" w:firstColumn="0" w:lastColumn="0" w:oddVBand="0" w:evenVBand="0" w:oddHBand="0" w:evenHBand="0" w:firstRowFirstColumn="0" w:firstRowLastColumn="0" w:lastRowFirstColumn="0" w:lastRowLastColumn="0"/>
            </w:pPr>
            <w:r>
              <w:t>Reconcile source provenance, viewer selection, start-time conflicts, institutional estimates, rights comparables, and reserve assumptions.</w:t>
            </w:r>
          </w:p>
        </w:tc>
      </w:tr>
      <w:tr w:rsidR="00F73264" w14:paraId="5D8B9BFD" w14:textId="77777777" w:rsidTr="00F73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FD821FE" w14:textId="77777777" w:rsidR="00F73264" w:rsidRDefault="0032073D">
            <w:r>
              <w:t>Academic scoring</w:t>
            </w:r>
          </w:p>
        </w:tc>
        <w:tc>
          <w:tcPr>
            <w:tcW w:w="4939" w:type="dxa"/>
          </w:tcPr>
          <w:p w14:paraId="619CF5B9" w14:textId="77777777" w:rsidR="00F73264" w:rsidRDefault="0032073D">
            <w:pPr>
              <w:cnfStyle w:val="000000100000" w:firstRow="0" w:lastRow="0" w:firstColumn="0" w:lastColumn="0" w:oddVBand="0" w:evenVBand="0" w:oddHBand="1" w:evenHBand="0" w:firstRowFirstColumn="0" w:firstRowLastColumn="0" w:lastRowFirstColumn="0" w:lastRowLastColumn="0"/>
            </w:pPr>
            <w:r>
              <w:t>Document field source, confidence, missingness, component scaling, nonsegregation tests, and historical information availability.</w:t>
            </w:r>
          </w:p>
        </w:tc>
      </w:tr>
      <w:tr w:rsidR="00F73264" w14:paraId="290DB554" w14:textId="77777777" w:rsidTr="00F73264">
        <w:tc>
          <w:tcPr>
            <w:cnfStyle w:val="001000000000" w:firstRow="0" w:lastRow="0" w:firstColumn="1" w:lastColumn="0" w:oddVBand="0" w:evenVBand="0" w:oddHBand="0" w:evenHBand="0" w:firstRowFirstColumn="0" w:firstRowLastColumn="0" w:lastRowFirstColumn="0" w:lastRowLastColumn="0"/>
            <w:tcW w:w="4939" w:type="dxa"/>
          </w:tcPr>
          <w:p w14:paraId="4FEC1452" w14:textId="77777777" w:rsidR="00F73264" w:rsidRDefault="0032073D">
            <w:r>
              <w:t>Governance</w:t>
            </w:r>
          </w:p>
        </w:tc>
        <w:tc>
          <w:tcPr>
            <w:tcW w:w="4939" w:type="dxa"/>
          </w:tcPr>
          <w:p w14:paraId="2ED47EB5" w14:textId="77777777" w:rsidR="00F73264" w:rsidRDefault="0032073D">
            <w:pPr>
              <w:cnfStyle w:val="000000000000" w:firstRow="0" w:lastRow="0" w:firstColumn="0" w:lastColumn="0" w:oddVBand="0" w:evenVBand="0" w:oddHBand="0" w:evenHBand="0" w:firstRowFirstColumn="0" w:firstRowLastColumn="0" w:lastRowFirstColumn="0" w:lastRowLastColumn="0"/>
            </w:pPr>
            <w:r>
              <w:t>Define multi-team tiebreakers, appeals, enforcement, contractual consent, and postseason interactions.</w:t>
            </w:r>
          </w:p>
        </w:tc>
      </w:tr>
    </w:tbl>
    <w:p w14:paraId="0DF22D9D" w14:textId="77777777" w:rsidR="00F73264" w:rsidRDefault="0032073D">
      <w:pPr>
        <w:pStyle w:val="Heading1"/>
      </w:pPr>
      <w:r>
        <w:t>Research conclusion and next decision sequence</w:t>
      </w:r>
    </w:p>
    <w:p w14:paraId="1ECC8833" w14:textId="77777777" w:rsidR="00F73264" w:rsidRDefault="0032073D">
      <w:r>
        <w:t>The project has established a coherent proposed sporting framework, broad historical data collection, iterative model versions, a defined FBS pilot, and the beginnings of institutional and audience analysis. It has not established that annual promotion/relegation is legally adoptable, financially sustainable, operationally schedulable, or value-accretive. The project should continue as a falsifiable feasibility study with publicly documented assumptions, not a claim of institutional endorsement.</w:t>
      </w:r>
    </w:p>
    <w:p w14:paraId="2791CDCB" w14:textId="77777777" w:rsidR="00F73264" w:rsidRDefault="0032073D">
      <w:r>
        <w:t xml:space="preserve">Recommended sequence: (1) freeze rulebook v1.0 and scorecard schema; (2) verify historical crosswalks and source permissions; (3) implement and audit the within-tier 40/25/15/10/10 conference optimizer, beginning with Tier 1; (4) complete Phase 4 audience modeling and institutional financial stress tests; (5) run Phase 5 out-of-sample historical simulations; (6) complete Phase 6 common-dollar travel comparisons; (7) publish an interactive explorer, scenario uncertainties, and community critique. Record all </w:t>
      </w:r>
      <w:r>
        <w:t>future rule revisions explicitly rather than silently modifying v1.0.</w:t>
      </w:r>
    </w:p>
    <w:p w14:paraId="1F90A03E" w14:textId="77777777" w:rsidR="00F73264" w:rsidRDefault="0032073D">
      <w:pPr>
        <w:pStyle w:val="Heading1"/>
      </w:pPr>
      <w:r>
        <w:t>Sources, provenance, and interpretive cautions</w:t>
      </w:r>
    </w:p>
    <w:p w14:paraId="0A60268B" w14:textId="77777777" w:rsidR="00F73264" w:rsidRDefault="0032073D">
      <w:r>
        <w:t>Primary project sources: Official Competitive Rulebook v1.0 and 899-program proposal text supplied in the research conversation; Master Scorecard v0.1 academic-profile and formula update supplied in the research conversation; CFBResearch2026 GitHub repository (README.md; SOURCES_AND_CITATIONS.md; NCAA_v06_Tier_Summary.csv; NCAA_v07_Release_Gates.csv; NCAA_v07_Source_Coverage.csv; NCAA_v09_Provisional_Recalibration.csv; institutional finance and rivalry data); working Phase 4 audience master and its coverage</w:t>
      </w:r>
      <w:r>
        <w:t>/time-conflict audits. Repository: https://github.com/CFBResearch2026/college-football-promotion-relegation</w:t>
      </w:r>
    </w:p>
    <w:p w14:paraId="25B368EE" w14:textId="77777777" w:rsidR="00F73264" w:rsidRDefault="0032073D">
      <w:r>
        <w:t>Important: Repository portal-level source listings do not establish file-by-file original provenance or redistribution rights. The two repository DOCX proposal files were not directly extracted in the earlier GitHub connector review; the subsequently supplied full Official Competitive Rulebook v1.0 text resolves the sporting design used here, but a byte-level comparison with those DOCX files has not been performed. The academic dataset’s individual values and the 899-program ranking calculations have not be</w:t>
      </w:r>
      <w:r>
        <w:t xml:space="preserve">en independently audited in this report. No simulation or new financial valuation </w:t>
      </w:r>
      <w:proofErr w:type="gramStart"/>
      <w:r>
        <w:t>is claimed</w:t>
      </w:r>
      <w:proofErr w:type="gramEnd"/>
      <w:r>
        <w:t>.</w:t>
      </w:r>
    </w:p>
    <w:p w14:paraId="2F1E73E2" w14:textId="77777777" w:rsidR="000E720E" w:rsidRDefault="000E720E"/>
    <w:p w14:paraId="6C749C33" w14:textId="77777777" w:rsidR="000E720E" w:rsidRPr="000E720E" w:rsidRDefault="000E720E" w:rsidP="000E720E">
      <w:pPr>
        <w:rPr>
          <w:b/>
          <w:bCs/>
        </w:rPr>
      </w:pPr>
      <w:r w:rsidRPr="000E720E">
        <w:rPr>
          <w:b/>
          <w:bCs/>
        </w:rPr>
        <w:t>Works Cited</w:t>
      </w:r>
    </w:p>
    <w:p w14:paraId="509939A7" w14:textId="77777777" w:rsidR="000E720E" w:rsidRPr="000E720E" w:rsidRDefault="000E720E" w:rsidP="000E720E">
      <w:r w:rsidRPr="000E720E">
        <w:t>College Football Promotion/Relegation Research Project MLA Handbook, 9th edition 17 October 2026</w:t>
      </w:r>
    </w:p>
    <w:p w14:paraId="21458F84" w14:textId="77777777" w:rsidR="000E720E" w:rsidRPr="000E720E" w:rsidRDefault="000E720E" w:rsidP="000E720E">
      <w:r w:rsidRPr="000E720E">
        <w:t xml:space="preserve">The following bibliography covers the sources identified in the research and citation audit. Entries use MLA-style organization and website citations. Where specific article titles, authors, publication dates, or original dataset URLs have not </w:t>
      </w:r>
      <w:proofErr w:type="gramStart"/>
      <w:r w:rsidRPr="000E720E">
        <w:t>been verified</w:t>
      </w:r>
      <w:proofErr w:type="gramEnd"/>
      <w:r w:rsidRPr="000E720E">
        <w:t>, the entries cite the source organization or website rather than inventing publication details.</w:t>
      </w:r>
    </w:p>
    <w:p w14:paraId="049F7840" w14:textId="77777777" w:rsidR="000E720E" w:rsidRPr="000E720E" w:rsidRDefault="000E720E" w:rsidP="000E720E">
      <w:pPr>
        <w:rPr>
          <w:b/>
          <w:bCs/>
        </w:rPr>
      </w:pPr>
      <w:r w:rsidRPr="000E720E">
        <w:rPr>
          <w:b/>
          <w:bCs/>
        </w:rPr>
        <w:t>Primary Data and Institutional Sources</w:t>
      </w:r>
    </w:p>
    <w:p w14:paraId="74D4D2B0" w14:textId="77777777" w:rsidR="000E720E" w:rsidRPr="000E720E" w:rsidRDefault="000E720E" w:rsidP="000E720E">
      <w:r w:rsidRPr="000E720E">
        <w:lastRenderedPageBreak/>
        <w:t>“College Football.” ESPN, ESPN, www.espn.com/college-football/. Accessed 17 Oct. 2026.</w:t>
      </w:r>
    </w:p>
    <w:p w14:paraId="23A3A6EC" w14:textId="77777777" w:rsidR="000E720E" w:rsidRPr="000E720E" w:rsidRDefault="000E720E" w:rsidP="000E720E">
      <w:r w:rsidRPr="000E720E">
        <w:t>“College Football Playoff.” College Football Playoff, collegefootballplayoff.com/. Accessed 17 Oct. 2026.</w:t>
      </w:r>
    </w:p>
    <w:p w14:paraId="58475E4F" w14:textId="77777777" w:rsidR="000E720E" w:rsidRPr="000E720E" w:rsidRDefault="000E720E" w:rsidP="000E720E">
      <w:r w:rsidRPr="000E720E">
        <w:t>“Massey Ratings.” Massey Ratings, masseyratings.com/. Accessed 17 Oct. 2026.</w:t>
      </w:r>
    </w:p>
    <w:p w14:paraId="44F9EDD7" w14:textId="77777777" w:rsidR="000E720E" w:rsidRPr="000E720E" w:rsidRDefault="000E720E" w:rsidP="000E720E">
      <w:r w:rsidRPr="000E720E">
        <w:t>National Collegiate Athletic Association. NCAA, www.ncaa.org/. Accessed 17 Oct. 2026.</w:t>
      </w:r>
    </w:p>
    <w:p w14:paraId="43263596" w14:textId="77777777" w:rsidR="000E720E" w:rsidRPr="000E720E" w:rsidRDefault="000E720E" w:rsidP="000E720E">
      <w:r w:rsidRPr="000E720E">
        <w:t>“Statistics.” NCAA Statistics, National Collegiate Athletic Association, stats.ncaa.org/. Accessed 17 Oct. 2026.</w:t>
      </w:r>
    </w:p>
    <w:p w14:paraId="2BE28539" w14:textId="77777777" w:rsidR="000E720E" w:rsidRPr="000E720E" w:rsidRDefault="000E720E" w:rsidP="000E720E">
      <w:pPr>
        <w:rPr>
          <w:b/>
          <w:bCs/>
        </w:rPr>
      </w:pPr>
      <w:r w:rsidRPr="000E720E">
        <w:rPr>
          <w:b/>
          <w:bCs/>
        </w:rPr>
        <w:t>Television Audience and Media-Rights Sources</w:t>
      </w:r>
    </w:p>
    <w:p w14:paraId="2C1DAB5B" w14:textId="77777777" w:rsidR="000E720E" w:rsidRPr="000E720E" w:rsidRDefault="000E720E" w:rsidP="000E720E">
      <w:r w:rsidRPr="000E720E">
        <w:t>“Awful Announcing.” Awful Announcing, awfulannouncing.com/. Accessed 17 Oct. 2026.</w:t>
      </w:r>
    </w:p>
    <w:p w14:paraId="09439F20" w14:textId="77777777" w:rsidR="000E720E" w:rsidRPr="000E720E" w:rsidRDefault="000E720E" w:rsidP="000E720E">
      <w:r w:rsidRPr="000E720E">
        <w:t>“DIRECTV.” DIRECTV, www.directv.com/. Accessed 17 Oct. 2026.</w:t>
      </w:r>
    </w:p>
    <w:p w14:paraId="023C32AB" w14:textId="77777777" w:rsidR="000E720E" w:rsidRPr="000E720E" w:rsidRDefault="000E720E" w:rsidP="000E720E">
      <w:r w:rsidRPr="000E720E">
        <w:t>“ESPN Press Room.” ESPN Press Room, ESPN, espnpressroom.com/. Accessed 17 Oct. 2026.</w:t>
      </w:r>
    </w:p>
    <w:p w14:paraId="5A708BC2" w14:textId="77777777" w:rsidR="000E720E" w:rsidRPr="000E720E" w:rsidRDefault="000E720E" w:rsidP="000E720E">
      <w:r w:rsidRPr="000E720E">
        <w:t>“</w:t>
      </w:r>
      <w:proofErr w:type="spellStart"/>
      <w:r w:rsidRPr="000E720E">
        <w:t>FootballScoop</w:t>
      </w:r>
      <w:proofErr w:type="spellEnd"/>
      <w:r w:rsidRPr="000E720E">
        <w:t xml:space="preserve">.” </w:t>
      </w:r>
      <w:proofErr w:type="spellStart"/>
      <w:r w:rsidRPr="000E720E">
        <w:t>FootballScoop</w:t>
      </w:r>
      <w:proofErr w:type="spellEnd"/>
      <w:r w:rsidRPr="000E720E">
        <w:t>, footballscoop.com/. Accessed 17 Oct. 2026.</w:t>
      </w:r>
    </w:p>
    <w:p w14:paraId="2AAE6FD1" w14:textId="77777777" w:rsidR="000E720E" w:rsidRPr="000E720E" w:rsidRDefault="000E720E" w:rsidP="000E720E">
      <w:r w:rsidRPr="000E720E">
        <w:t>“</w:t>
      </w:r>
      <w:proofErr w:type="spellStart"/>
      <w:r w:rsidRPr="000E720E">
        <w:t>OutKick</w:t>
      </w:r>
      <w:proofErr w:type="spellEnd"/>
      <w:r w:rsidRPr="000E720E">
        <w:t xml:space="preserve">.” </w:t>
      </w:r>
      <w:proofErr w:type="spellStart"/>
      <w:r w:rsidRPr="000E720E">
        <w:t>OutKick</w:t>
      </w:r>
      <w:proofErr w:type="spellEnd"/>
      <w:r w:rsidRPr="000E720E">
        <w:t>, www.outkick.com/. Accessed 17 Oct. 2026.</w:t>
      </w:r>
    </w:p>
    <w:p w14:paraId="01046358" w14:textId="77777777" w:rsidR="000E720E" w:rsidRPr="000E720E" w:rsidRDefault="000E720E" w:rsidP="000E720E">
      <w:r w:rsidRPr="000E720E">
        <w:t>“Ratings Reference.” Ratings Reference. Original publication URL and individual record citations require verification.</w:t>
      </w:r>
    </w:p>
    <w:p w14:paraId="2063E636" w14:textId="77777777" w:rsidR="000E720E" w:rsidRPr="000E720E" w:rsidRDefault="000E720E" w:rsidP="000E720E">
      <w:r w:rsidRPr="000E720E">
        <w:t>“Sports Business Journal.” Sports Business Journal, www.sportsbusinessjournal.com/. Accessed 17 Oct. 2026.</w:t>
      </w:r>
    </w:p>
    <w:p w14:paraId="338364C9" w14:textId="77777777" w:rsidR="000E720E" w:rsidRPr="000E720E" w:rsidRDefault="000E720E" w:rsidP="000E720E">
      <w:r w:rsidRPr="000E720E">
        <w:t>“Sports Media Watch.” Sports Media Watch, www.sportsmediawatch.com/. Accessed 17 Oct. 2026.</w:t>
      </w:r>
    </w:p>
    <w:p w14:paraId="52BE36B7" w14:textId="77777777" w:rsidR="000E720E" w:rsidRPr="000E720E" w:rsidRDefault="000E720E" w:rsidP="000E720E">
      <w:r w:rsidRPr="000E720E">
        <w:t>“TV Technology.” TV Technology, www.tvtechnology.com/. Accessed 17 Oct. 2026.</w:t>
      </w:r>
    </w:p>
    <w:p w14:paraId="6645FBCF" w14:textId="77777777" w:rsidR="000E720E" w:rsidRPr="000E720E" w:rsidRDefault="000E720E" w:rsidP="000E720E">
      <w:pPr>
        <w:rPr>
          <w:b/>
          <w:bCs/>
        </w:rPr>
      </w:pPr>
      <w:r w:rsidRPr="000E720E">
        <w:rPr>
          <w:b/>
          <w:bCs/>
        </w:rPr>
        <w:t>Original Research and Project Documentation</w:t>
      </w:r>
    </w:p>
    <w:p w14:paraId="25DA16F5" w14:textId="77777777" w:rsidR="000E720E" w:rsidRPr="000E720E" w:rsidRDefault="000E720E" w:rsidP="000E720E">
      <w:r w:rsidRPr="000E720E">
        <w:t>CFBResearch2026. College Football Promotion/Relegation Research. GitHub, 2026, github.com/CFBResearch2026/college-football-promotion-relegation. Accessed 17 Oct. 2026.</w:t>
      </w:r>
    </w:p>
    <w:p w14:paraId="3AAF77EA" w14:textId="77777777" w:rsidR="000E720E" w:rsidRPr="000E720E" w:rsidRDefault="000E720E" w:rsidP="000E720E">
      <w:r w:rsidRPr="000E720E">
        <w:t>CFBResearch2026. “README.md.” College Football Promotion/Relegation Research, GitHub, 2026, github.com/CFBResearch2026/college-football-promotion-relegation/blob/main/README.md. Accessed 17 Oct. 2026.</w:t>
      </w:r>
    </w:p>
    <w:p w14:paraId="78982DB6" w14:textId="77777777" w:rsidR="000E720E" w:rsidRPr="000E720E" w:rsidRDefault="000E720E" w:rsidP="000E720E">
      <w:r w:rsidRPr="000E720E">
        <w:t>CFBResearch2026. “SOURCES_AND_CITATIONS.md.” College Football Promotion/Relegation Research, GitHub, 2026, github.com/CFBResearch2026/college-football-promotion-relegation/blob/main/SOURCES_AND_CITATIONS.md. Accessed 17 Oct. 2026.</w:t>
      </w:r>
    </w:p>
    <w:p w14:paraId="011E99EE" w14:textId="77777777" w:rsidR="000E720E" w:rsidRPr="000E720E" w:rsidRDefault="000E720E" w:rsidP="000E720E">
      <w:r w:rsidRPr="000E720E">
        <w:t>CFBResearch2026. “NCAA_v06_Tier_Summary.csv.” College Football Promotion/Relegation Research, GitHub, 2026.</w:t>
      </w:r>
    </w:p>
    <w:p w14:paraId="0E03E7DA" w14:textId="77777777" w:rsidR="000E720E" w:rsidRPr="000E720E" w:rsidRDefault="000E720E" w:rsidP="000E720E">
      <w:r w:rsidRPr="000E720E">
        <w:t>CFBResearch2026. “NCAA_v07_Release_Gates.csv.” College Football Promotion/Relegation Research, GitHub, 2026.</w:t>
      </w:r>
    </w:p>
    <w:p w14:paraId="46E24600" w14:textId="77777777" w:rsidR="000E720E" w:rsidRPr="000E720E" w:rsidRDefault="000E720E" w:rsidP="000E720E">
      <w:r w:rsidRPr="000E720E">
        <w:t>CFBResearch2026. “NCAA_v07_Source_Coverage.csv.” College Football Promotion/Relegation Research, GitHub, 2026.</w:t>
      </w:r>
    </w:p>
    <w:p w14:paraId="71A44EFE" w14:textId="77777777" w:rsidR="000E720E" w:rsidRPr="000E720E" w:rsidRDefault="000E720E" w:rsidP="000E720E">
      <w:r w:rsidRPr="000E720E">
        <w:t>CFBResearch2026. “NCAA_v09_Provisional_Recalibration.csv.” College Football Promotion/Relegation Research, GitHub, 2026.</w:t>
      </w:r>
    </w:p>
    <w:p w14:paraId="47775877" w14:textId="77777777" w:rsidR="000E720E" w:rsidRPr="000E720E" w:rsidRDefault="000E720E" w:rsidP="000E720E">
      <w:r w:rsidRPr="000E720E">
        <w:t>CFBResearch2026. “NCAA_FBS Finance.csv.” College Football Promotion/Relegation Research, GitHub, 2026.</w:t>
      </w:r>
    </w:p>
    <w:p w14:paraId="4889A02D" w14:textId="77777777" w:rsidR="000E720E" w:rsidRPr="000E720E" w:rsidRDefault="000E720E" w:rsidP="000E720E">
      <w:r w:rsidRPr="000E720E">
        <w:t>CFBResearch2026. “NCAA_FBS Rivalry.csv.” College Football Promotion/Relegation Research, GitHub, 2026.</w:t>
      </w:r>
    </w:p>
    <w:p w14:paraId="62D2BB1B" w14:textId="77777777" w:rsidR="000E720E" w:rsidRPr="000E720E" w:rsidRDefault="000E720E" w:rsidP="000E720E">
      <w:r w:rsidRPr="000E720E">
        <w:t>Official Competitive Rulebook v1.0. College Football Promotion/Relegation Research Project, 2026. Unpublished project document.</w:t>
      </w:r>
    </w:p>
    <w:p w14:paraId="4960F611" w14:textId="77777777" w:rsidR="000E720E" w:rsidRPr="000E720E" w:rsidRDefault="000E720E" w:rsidP="000E720E">
      <w:r w:rsidRPr="000E720E">
        <w:t>Master Scorecard v0.1: Academic Profile and Conference Compatibility Framework. College Football Promotion/Relegation Research Project, 2026. Unpublished project specification.</w:t>
      </w:r>
    </w:p>
    <w:p w14:paraId="27CCBC4D" w14:textId="77777777" w:rsidR="000E720E" w:rsidRPr="000E720E" w:rsidRDefault="000E720E" w:rsidP="000E720E">
      <w:r w:rsidRPr="000E720E">
        <w:t>CFB Phase 4 Television Audience Master Dataset, 2014–2026. College Football Promotion/Relegation Research Project, 2026. Unpublished working dataset.</w:t>
      </w:r>
    </w:p>
    <w:p w14:paraId="74608C71" w14:textId="77777777" w:rsidR="000E720E" w:rsidRPr="000E720E" w:rsidRDefault="000E720E" w:rsidP="000E720E">
      <w:r w:rsidRPr="000E720E">
        <w:t>CFB Record-Level Citation Audit. College Football Promotion/Relegation Research Project, 17 Oct. 2026. Unpublished research audit.</w:t>
      </w:r>
    </w:p>
    <w:p w14:paraId="36F8CD47" w14:textId="77777777" w:rsidR="000E720E" w:rsidRPr="000E720E" w:rsidRDefault="000E720E" w:rsidP="000E720E">
      <w:pPr>
        <w:rPr>
          <w:b/>
          <w:bCs/>
        </w:rPr>
      </w:pPr>
      <w:r w:rsidRPr="000E720E">
        <w:rPr>
          <w:b/>
          <w:bCs/>
        </w:rPr>
        <w:t>Important MLA citation considerations</w:t>
      </w:r>
    </w:p>
    <w:p w14:paraId="01E7EAF3" w14:textId="77777777" w:rsidR="000E720E" w:rsidRPr="000E720E" w:rsidRDefault="000E720E" w:rsidP="000E720E">
      <w:r w:rsidRPr="000E720E">
        <w:t xml:space="preserve">For the final published report, these entries should </w:t>
      </w:r>
      <w:proofErr w:type="gramStart"/>
      <w:r w:rsidRPr="000E720E">
        <w:t>be alphabetized</w:t>
      </w:r>
      <w:proofErr w:type="gramEnd"/>
      <w:r w:rsidRPr="000E720E">
        <w:t xml:space="preserve"> together into one Works Cited section, double-spaced, with a 0.5-inch hanging indent. Section divisions above </w:t>
      </w:r>
      <w:proofErr w:type="gramStart"/>
      <w:r w:rsidRPr="000E720E">
        <w:t>are provided</w:t>
      </w:r>
      <w:proofErr w:type="gramEnd"/>
      <w:r w:rsidRPr="000E720E">
        <w:t xml:space="preserve"> for reviewing the source categories.</w:t>
      </w:r>
    </w:p>
    <w:p w14:paraId="392D0AB3" w14:textId="77777777" w:rsidR="000E720E" w:rsidRPr="000E720E" w:rsidRDefault="000E720E" w:rsidP="000E720E">
      <w:r w:rsidRPr="000E720E">
        <w:lastRenderedPageBreak/>
        <w:t xml:space="preserve">This is a provisional MLA bibliography, not a fully verified article-level Works Cited list. In particular, the 3,564 records attributed to Sports Media Watch and the remaining audience records should ultimately </w:t>
      </w:r>
      <w:proofErr w:type="gramStart"/>
      <w:r w:rsidRPr="000E720E">
        <w:t>be supported</w:t>
      </w:r>
      <w:proofErr w:type="gramEnd"/>
      <w:r w:rsidRPr="000E720E">
        <w:t xml:space="preserve"> by citations to their specific original articles or datasets. Website homepage citations cannot substitute for those when attributing individual statistics.</w:t>
      </w:r>
    </w:p>
    <w:p w14:paraId="10004522" w14:textId="77777777" w:rsidR="000E720E" w:rsidRPr="000E720E" w:rsidRDefault="000E720E" w:rsidP="000E720E">
      <w:r w:rsidRPr="000E720E">
        <w:t xml:space="preserve">The project-authored documents </w:t>
      </w:r>
      <w:proofErr w:type="gramStart"/>
      <w:r w:rsidRPr="000E720E">
        <w:t>are listed</w:t>
      </w:r>
      <w:proofErr w:type="gramEnd"/>
      <w:r w:rsidRPr="000E720E">
        <w:t xml:space="preserve"> separately to distinguish original research from external data providers. Some entries also need confirmation of their formal author, publication date, and public availability before final publication.</w:t>
      </w:r>
    </w:p>
    <w:p w14:paraId="7568D422" w14:textId="77777777" w:rsidR="000E720E" w:rsidRPr="000E720E" w:rsidRDefault="000E720E" w:rsidP="000E720E">
      <w:r w:rsidRPr="000E720E">
        <w:t xml:space="preserve">For Reddit, the shorter institutional citations and a link to the GitHub source register are generally sufficient. For a formal academic research report, use the full record-level bibliography once the original publications have </w:t>
      </w:r>
      <w:proofErr w:type="gramStart"/>
      <w:r w:rsidRPr="000E720E">
        <w:t>been verified</w:t>
      </w:r>
      <w:proofErr w:type="gramEnd"/>
      <w:r w:rsidRPr="000E720E">
        <w:t>.</w:t>
      </w:r>
    </w:p>
    <w:p w14:paraId="318FF04F" w14:textId="77777777" w:rsidR="000E720E" w:rsidRDefault="000E720E"/>
    <w:sectPr w:rsidR="000E720E" w:rsidSect="00034616">
      <w:headerReference w:type="default" r:id="rId8"/>
      <w:footerReference w:type="default" r:id="rId9"/>
      <w:pgSz w:w="12240" w:h="15840"/>
      <w:pgMar w:top="1080"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AC374" w14:textId="77777777" w:rsidR="0032073D" w:rsidRDefault="0032073D">
      <w:pPr>
        <w:spacing w:after="0" w:line="240" w:lineRule="auto"/>
      </w:pPr>
      <w:r>
        <w:separator/>
      </w:r>
    </w:p>
  </w:endnote>
  <w:endnote w:type="continuationSeparator" w:id="0">
    <w:p w14:paraId="4C5253E7" w14:textId="77777777" w:rsidR="0032073D" w:rsidRDefault="00320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DC679" w14:textId="77777777" w:rsidR="00F73264" w:rsidRDefault="0032073D">
    <w:pPr>
      <w:pStyle w:val="Footer"/>
      <w:jc w:val="right"/>
    </w:pPr>
    <w:r>
      <w:t>Independent research proposal • 17 October 2026 • Not NCAA policy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98D23" w14:textId="77777777" w:rsidR="0032073D" w:rsidRDefault="0032073D">
      <w:pPr>
        <w:spacing w:after="0" w:line="240" w:lineRule="auto"/>
      </w:pPr>
      <w:r>
        <w:separator/>
      </w:r>
    </w:p>
  </w:footnote>
  <w:footnote w:type="continuationSeparator" w:id="0">
    <w:p w14:paraId="0C59DD65" w14:textId="77777777" w:rsidR="0032073D" w:rsidRDefault="003207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FBF2D" w14:textId="77777777" w:rsidR="00F73264" w:rsidRDefault="0032073D">
    <w:pPr>
      <w:pStyle w:val="Caption"/>
    </w:pPr>
    <w:r>
      <w:t xml:space="preserve">COLLEGE FOOTBALL PROMOTION / </w:t>
    </w:r>
    <w:proofErr w:type="gramStart"/>
    <w:r>
      <w:t>RELEGATION  |</w:t>
    </w:r>
    <w:proofErr w:type="gramEnd"/>
    <w:r>
      <w:t xml:space="preserve">  RESEARCH SYNTHESIS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2189466">
    <w:abstractNumId w:val="8"/>
  </w:num>
  <w:num w:numId="2" w16cid:durableId="88817466">
    <w:abstractNumId w:val="6"/>
  </w:num>
  <w:num w:numId="3" w16cid:durableId="1009528714">
    <w:abstractNumId w:val="5"/>
  </w:num>
  <w:num w:numId="4" w16cid:durableId="1910572573">
    <w:abstractNumId w:val="4"/>
  </w:num>
  <w:num w:numId="5" w16cid:durableId="789475606">
    <w:abstractNumId w:val="7"/>
  </w:num>
  <w:num w:numId="6" w16cid:durableId="240142119">
    <w:abstractNumId w:val="3"/>
  </w:num>
  <w:num w:numId="7" w16cid:durableId="1130826742">
    <w:abstractNumId w:val="2"/>
  </w:num>
  <w:num w:numId="8" w16cid:durableId="1393502146">
    <w:abstractNumId w:val="1"/>
  </w:num>
  <w:num w:numId="9" w16cid:durableId="655884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20E"/>
    <w:rsid w:val="0015074B"/>
    <w:rsid w:val="0029639D"/>
    <w:rsid w:val="0032073D"/>
    <w:rsid w:val="00326F90"/>
    <w:rsid w:val="00AA1D8D"/>
    <w:rsid w:val="00B23B17"/>
    <w:rsid w:val="00B47730"/>
    <w:rsid w:val="00CB0664"/>
    <w:rsid w:val="00D771C2"/>
    <w:rsid w:val="00F732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EEB6A"/>
  <w14:defaultImageDpi w14:val="300"/>
  <w15:docId w15:val="{E2602505-1E0F-4737-B287-5D090D8B5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35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35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535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3768</Words>
  <Characters>21481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Antolini</cp:lastModifiedBy>
  <cp:revision>2</cp:revision>
  <dcterms:created xsi:type="dcterms:W3CDTF">2026-10-17T16:40:00Z</dcterms:created>
  <dcterms:modified xsi:type="dcterms:W3CDTF">2026-10-17T16:40:00Z</dcterms:modified>
  <cp:category/>
</cp:coreProperties>
</file>