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50B5" w14:textId="1979EEED" w:rsidR="00DF62F5" w:rsidRDefault="00B67935">
      <w:r>
        <w:rPr>
          <w:rFonts w:ascii="Segoe UI" w:hAnsi="Segoe UI" w:cs="Segoe UI"/>
          <w:color w:val="0D0D0D"/>
          <w:shd w:val="clear" w:color="auto" w:fill="FCFCFC"/>
        </w:rPr>
        <w:t xml:space="preserve">CFB 137-SCHOOL FINANCIAL RESEARCH — BASELINE RELEASE (2026-10-16) Scope: 137 institutions in the user's proposed 10-conference alignment. Proposed conference membership is NOT historical membership. Coverage: 137 of 137 have a reported FY2025/2024-25 athletics revenue figure. 117 Knight-Newhouse public-institution observations; 20 EADA observations for schools absent from the Knight-Newhouse crosswalk. 126 of 137 have reported athletics expenses in the merged dataset. CRITICAL LIMITATIONS: 1. Knight-Newhouse and EADA use differing definitions, accounting and coverage; totals must not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be treated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 as a harmonized audited 137-school sum. 2. Institutional support and student fees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are included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 in reported athletics revenue where applicable; revenue minus expenses is not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independent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 commercial profitability. 3. Knight-Newhouse combined conference/NCAA/media/postseason receipts are NOT football-only television rights or contractually at-risk money. 4. FY2025 individual NCAA media, conference, NCAA and postseason categories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are NOT completely independently verified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 for the 20 EADA institutions. 5. Individual school conference payment values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are limited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 reported figures and may include non-media distributions. Do not double count them with combined receipts. 6. Notre Dame ~$50m/year NBC figure is third-party estimate, NOT confirmed annual contract consideration; term reported through 2029 season. 7. No school-specific contractually protected amount or rights-at-risk amount has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been verified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. All transition/replacement payout scenarios remain illustrative. 8. Research request emails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were sent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 xml:space="preserve"> by the user; replies and any attached financial reports have not </w:t>
      </w:r>
      <w:proofErr w:type="gramStart"/>
      <w:r>
        <w:rPr>
          <w:rFonts w:ascii="Segoe UI" w:hAnsi="Segoe UI" w:cs="Segoe UI"/>
          <w:color w:val="0D0D0D"/>
          <w:shd w:val="clear" w:color="auto" w:fill="FCFCFC"/>
        </w:rPr>
        <w:t>been incorporated</w:t>
      </w:r>
      <w:proofErr w:type="gramEnd"/>
      <w:r>
        <w:rPr>
          <w:rFonts w:ascii="Segoe UI" w:hAnsi="Segoe UI" w:cs="Segoe UI"/>
          <w:color w:val="0D0D0D"/>
          <w:shd w:val="clear" w:color="auto" w:fill="FCFCFC"/>
        </w:rPr>
        <w:t>. Files: CFB_137_School_Financial_Research_FINAL_BASELINE.csv (merged school-by-school audit); CFB_20_Schools_Media_Rights_Primary_Source_Audit.csv (last-20 source evidence); CFB_2014_2025_School_Sustainability_Panel.csv (historical data); CFB_137_School_Transition_Illustrative_Scenarios.csv (hypothetical sensitivity). Status: Baseline research finalized; independent rights-at-risk feasibility and contractual protection findings remain pending source disclosures.</w:t>
      </w:r>
    </w:p>
    <w:sectPr w:rsidR="00DF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68D6E" w14:textId="77777777" w:rsidR="004D7E6E" w:rsidRDefault="004D7E6E" w:rsidP="00B67935">
      <w:pPr>
        <w:spacing w:after="0" w:line="240" w:lineRule="auto"/>
      </w:pPr>
      <w:r>
        <w:separator/>
      </w:r>
    </w:p>
  </w:endnote>
  <w:endnote w:type="continuationSeparator" w:id="0">
    <w:p w14:paraId="0335E4F3" w14:textId="77777777" w:rsidR="004D7E6E" w:rsidRDefault="004D7E6E" w:rsidP="00B67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86D45" w14:textId="77777777" w:rsidR="004D7E6E" w:rsidRDefault="004D7E6E" w:rsidP="00B67935">
      <w:pPr>
        <w:spacing w:after="0" w:line="240" w:lineRule="auto"/>
      </w:pPr>
      <w:r>
        <w:separator/>
      </w:r>
    </w:p>
  </w:footnote>
  <w:footnote w:type="continuationSeparator" w:id="0">
    <w:p w14:paraId="6375D7FE" w14:textId="77777777" w:rsidR="004D7E6E" w:rsidRDefault="004D7E6E" w:rsidP="00B679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35"/>
    <w:rsid w:val="0019557A"/>
    <w:rsid w:val="001F627C"/>
    <w:rsid w:val="003F069A"/>
    <w:rsid w:val="004D7E6E"/>
    <w:rsid w:val="00640947"/>
    <w:rsid w:val="00B67935"/>
    <w:rsid w:val="00C940DD"/>
    <w:rsid w:val="00DF62F5"/>
    <w:rsid w:val="00E9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D0DF"/>
  <w15:chartTrackingRefBased/>
  <w15:docId w15:val="{D6386BBC-462C-49BC-83BF-7B05C93F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935"/>
  </w:style>
  <w:style w:type="paragraph" w:styleId="Footer">
    <w:name w:val="footer"/>
    <w:basedOn w:val="Normal"/>
    <w:link w:val="FooterChar"/>
    <w:uiPriority w:val="99"/>
    <w:unhideWhenUsed/>
    <w:rsid w:val="00B67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 Antolini</cp:lastModifiedBy>
  <cp:revision>1</cp:revision>
  <dcterms:created xsi:type="dcterms:W3CDTF">2026-10-17T03:47:00Z</dcterms:created>
  <dcterms:modified xsi:type="dcterms:W3CDTF">2026-10-17T03:48:00Z</dcterms:modified>
</cp:coreProperties>
</file>