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Television Audience Research</w:t>
      </w:r>
    </w:p>
    <w:p>
      <w:pPr>
        <w:pStyle w:val="Subtitle"/>
      </w:pPr>
      <w:r>
        <w:t>Master research summary, initial assessment, and way forward</w:t>
      </w:r>
    </w:p>
    <w:p>
      <w:r>
        <w:t>Status: October 17, 2026  •  Current cumulative release: Batch 111  •  Working dataset, not final audited publication</w:t>
      </w:r>
    </w:p>
    <w:p>
      <w:pPr>
        <w:pStyle w:val="Heading1"/>
      </w:pPr>
      <w:r>
        <w:t>Executive assessment</w:t>
      </w:r>
    </w:p>
    <w:p>
      <w:r>
        <w:t>Phase 4 has assembled a 3,790-game, 217-column television-audience master spanning the 2014–2026 seasons. Its core value is the preservation of game-level audience observations alongside source provenance, matching decisions, reported start times, and audit history. The dataset is usable for exploratory analysis, but the completeness of game-time fields, historical coverage, and source-level validation varies materially by season.</w:t>
      </w:r>
    </w:p>
    <w:p>
      <w:r>
        <w:t>The 2014 season is close to complete for at least one recorded time field (292 of 297 records; 98.3%). Across the full master, 2,158 of 3,790 records (56.9%) have a recognized time field; 1,632 do not. A populated field is not equivalent to a verified actual kickoff.</w:t>
      </w:r>
    </w:p>
    <w:p>
      <w:pPr>
        <w:pStyle w:val="Heading1"/>
      </w:pPr>
      <w:r>
        <w:t>1 | Scope and current inventory</w:t>
      </w:r>
    </w:p>
    <w:p>
      <w:pPr>
        <w:pStyle w:val="ListBullet"/>
      </w:pPr>
      <w:r>
        <w:t>3,790 retained game records across 13 seasons (2014–2026).</w:t>
      </w:r>
    </w:p>
    <w:p>
      <w:pPr>
        <w:pStyle w:val="ListBullet"/>
      </w:pPr>
      <w:r>
        <w:t>217 columns, reflecting original record attributes and successive batch-specific research and audit fields.</w:t>
      </w:r>
    </w:p>
    <w:p>
      <w:pPr>
        <w:pStyle w:val="ListBullet"/>
      </w:pPr>
      <w:r>
        <w:t>3,789 records have a populated average_viewers field; 3,742 have a populated network field (field presence only, not independently validated).</w:t>
      </w:r>
    </w:p>
    <w:p>
      <w:pPr>
        <w:pStyle w:val="ListBullet"/>
      </w:pPr>
      <w:r>
        <w:t>Latest cumulative master: CFB_Phase4_Batch111_2014_Weeks14-16_Bowls_Master_PARTIAL.csv.</w:t>
      </w:r>
    </w:p>
    <w:p>
      <w:pPr>
        <w:pStyle w:val="ListBullet"/>
      </w:pPr>
      <w:r>
        <w:t>2014 source-schedule integration completed through Weeks 14–16 and 39 postseason games, with separate audit and exception files.</w:t>
      </w:r>
    </w:p>
    <w:p>
      <w:pPr>
        <w:pStyle w:val="Heading1"/>
      </w:pPr>
      <w:r>
        <w:t>2 | Coverage by season</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Season</w:t>
            </w:r>
          </w:p>
        </w:tc>
        <w:tc>
          <w:tcPr>
            <w:tcW w:type="dxa" w:w="1728"/>
          </w:tcPr>
          <w:p>
            <w:r>
              <w:t>Records</w:t>
            </w:r>
          </w:p>
        </w:tc>
        <w:tc>
          <w:tcPr>
            <w:tcW w:type="dxa" w:w="1728"/>
          </w:tcPr>
          <w:p>
            <w:r>
              <w:t>With time</w:t>
            </w:r>
          </w:p>
        </w:tc>
        <w:tc>
          <w:tcPr>
            <w:tcW w:type="dxa" w:w="1728"/>
          </w:tcPr>
          <w:p>
            <w:r>
              <w:t>Missing</w:t>
            </w:r>
          </w:p>
        </w:tc>
        <w:tc>
          <w:tcPr>
            <w:tcW w:type="dxa" w:w="1728"/>
          </w:tcPr>
          <w:p>
            <w:r>
              <w:t>Coverage</w:t>
            </w:r>
          </w:p>
        </w:tc>
      </w:tr>
      <w:tr>
        <w:tc>
          <w:tcPr>
            <w:tcW w:type="dxa" w:w="1728"/>
          </w:tcPr>
          <w:p>
            <w:r>
              <w:t>2014</w:t>
            </w:r>
          </w:p>
        </w:tc>
        <w:tc>
          <w:tcPr>
            <w:tcW w:type="dxa" w:w="1728"/>
          </w:tcPr>
          <w:p>
            <w:r>
              <w:t>297</w:t>
            </w:r>
          </w:p>
        </w:tc>
        <w:tc>
          <w:tcPr>
            <w:tcW w:type="dxa" w:w="1728"/>
          </w:tcPr>
          <w:p>
            <w:r>
              <w:t>292</w:t>
            </w:r>
          </w:p>
        </w:tc>
        <w:tc>
          <w:tcPr>
            <w:tcW w:type="dxa" w:w="1728"/>
          </w:tcPr>
          <w:p>
            <w:r>
              <w:t>5</w:t>
            </w:r>
          </w:p>
        </w:tc>
        <w:tc>
          <w:tcPr>
            <w:tcW w:type="dxa" w:w="1728"/>
          </w:tcPr>
          <w:p>
            <w:r>
              <w:t>98.3%</w:t>
            </w:r>
          </w:p>
        </w:tc>
      </w:tr>
      <w:tr>
        <w:tc>
          <w:tcPr>
            <w:tcW w:type="dxa" w:w="1728"/>
          </w:tcPr>
          <w:p>
            <w:r>
              <w:t>2015</w:t>
            </w:r>
          </w:p>
        </w:tc>
        <w:tc>
          <w:tcPr>
            <w:tcW w:type="dxa" w:w="1728"/>
          </w:tcPr>
          <w:p>
            <w:r>
              <w:t>383</w:t>
            </w:r>
          </w:p>
        </w:tc>
        <w:tc>
          <w:tcPr>
            <w:tcW w:type="dxa" w:w="1728"/>
          </w:tcPr>
          <w:p>
            <w:r>
              <w:t>193</w:t>
            </w:r>
          </w:p>
        </w:tc>
        <w:tc>
          <w:tcPr>
            <w:tcW w:type="dxa" w:w="1728"/>
          </w:tcPr>
          <w:p>
            <w:r>
              <w:t>190</w:t>
            </w:r>
          </w:p>
        </w:tc>
        <w:tc>
          <w:tcPr>
            <w:tcW w:type="dxa" w:w="1728"/>
          </w:tcPr>
          <w:p>
            <w:r>
              <w:t>50.4%</w:t>
            </w:r>
          </w:p>
        </w:tc>
      </w:tr>
      <w:tr>
        <w:tc>
          <w:tcPr>
            <w:tcW w:type="dxa" w:w="1728"/>
          </w:tcPr>
          <w:p>
            <w:r>
              <w:t>2016</w:t>
            </w:r>
          </w:p>
        </w:tc>
        <w:tc>
          <w:tcPr>
            <w:tcW w:type="dxa" w:w="1728"/>
          </w:tcPr>
          <w:p>
            <w:r>
              <w:t>301</w:t>
            </w:r>
          </w:p>
        </w:tc>
        <w:tc>
          <w:tcPr>
            <w:tcW w:type="dxa" w:w="1728"/>
          </w:tcPr>
          <w:p>
            <w:r>
              <w:t>135</w:t>
            </w:r>
          </w:p>
        </w:tc>
        <w:tc>
          <w:tcPr>
            <w:tcW w:type="dxa" w:w="1728"/>
          </w:tcPr>
          <w:p>
            <w:r>
              <w:t>166</w:t>
            </w:r>
          </w:p>
        </w:tc>
        <w:tc>
          <w:tcPr>
            <w:tcW w:type="dxa" w:w="1728"/>
          </w:tcPr>
          <w:p>
            <w:r>
              <w:t>44.9%</w:t>
            </w:r>
          </w:p>
        </w:tc>
      </w:tr>
      <w:tr>
        <w:tc>
          <w:tcPr>
            <w:tcW w:type="dxa" w:w="1728"/>
          </w:tcPr>
          <w:p>
            <w:r>
              <w:t>2017</w:t>
            </w:r>
          </w:p>
        </w:tc>
        <w:tc>
          <w:tcPr>
            <w:tcW w:type="dxa" w:w="1728"/>
          </w:tcPr>
          <w:p>
            <w:r>
              <w:t>144</w:t>
            </w:r>
          </w:p>
        </w:tc>
        <w:tc>
          <w:tcPr>
            <w:tcW w:type="dxa" w:w="1728"/>
          </w:tcPr>
          <w:p>
            <w:r>
              <w:t>64</w:t>
            </w:r>
          </w:p>
        </w:tc>
        <w:tc>
          <w:tcPr>
            <w:tcW w:type="dxa" w:w="1728"/>
          </w:tcPr>
          <w:p>
            <w:r>
              <w:t>80</w:t>
            </w:r>
          </w:p>
        </w:tc>
        <w:tc>
          <w:tcPr>
            <w:tcW w:type="dxa" w:w="1728"/>
          </w:tcPr>
          <w:p>
            <w:r>
              <w:t>44.4%</w:t>
            </w:r>
          </w:p>
        </w:tc>
      </w:tr>
      <w:tr>
        <w:tc>
          <w:tcPr>
            <w:tcW w:type="dxa" w:w="1728"/>
          </w:tcPr>
          <w:p>
            <w:r>
              <w:t>2018</w:t>
            </w:r>
          </w:p>
        </w:tc>
        <w:tc>
          <w:tcPr>
            <w:tcW w:type="dxa" w:w="1728"/>
          </w:tcPr>
          <w:p>
            <w:r>
              <w:t>217</w:t>
            </w:r>
          </w:p>
        </w:tc>
        <w:tc>
          <w:tcPr>
            <w:tcW w:type="dxa" w:w="1728"/>
          </w:tcPr>
          <w:p>
            <w:r>
              <w:t>36</w:t>
            </w:r>
          </w:p>
        </w:tc>
        <w:tc>
          <w:tcPr>
            <w:tcW w:type="dxa" w:w="1728"/>
          </w:tcPr>
          <w:p>
            <w:r>
              <w:t>181</w:t>
            </w:r>
          </w:p>
        </w:tc>
        <w:tc>
          <w:tcPr>
            <w:tcW w:type="dxa" w:w="1728"/>
          </w:tcPr>
          <w:p>
            <w:r>
              <w:t>16.6%</w:t>
            </w:r>
          </w:p>
        </w:tc>
      </w:tr>
      <w:tr>
        <w:tc>
          <w:tcPr>
            <w:tcW w:type="dxa" w:w="1728"/>
          </w:tcPr>
          <w:p>
            <w:r>
              <w:t>2019</w:t>
            </w:r>
          </w:p>
        </w:tc>
        <w:tc>
          <w:tcPr>
            <w:tcW w:type="dxa" w:w="1728"/>
          </w:tcPr>
          <w:p>
            <w:r>
              <w:t>202</w:t>
            </w:r>
          </w:p>
        </w:tc>
        <w:tc>
          <w:tcPr>
            <w:tcW w:type="dxa" w:w="1728"/>
          </w:tcPr>
          <w:p>
            <w:r>
              <w:t>59</w:t>
            </w:r>
          </w:p>
        </w:tc>
        <w:tc>
          <w:tcPr>
            <w:tcW w:type="dxa" w:w="1728"/>
          </w:tcPr>
          <w:p>
            <w:r>
              <w:t>143</w:t>
            </w:r>
          </w:p>
        </w:tc>
        <w:tc>
          <w:tcPr>
            <w:tcW w:type="dxa" w:w="1728"/>
          </w:tcPr>
          <w:p>
            <w:r>
              <w:t>29.2%</w:t>
            </w:r>
          </w:p>
        </w:tc>
      </w:tr>
      <w:tr>
        <w:tc>
          <w:tcPr>
            <w:tcW w:type="dxa" w:w="1728"/>
          </w:tcPr>
          <w:p>
            <w:r>
              <w:t>2020</w:t>
            </w:r>
          </w:p>
        </w:tc>
        <w:tc>
          <w:tcPr>
            <w:tcW w:type="dxa" w:w="1728"/>
          </w:tcPr>
          <w:p>
            <w:r>
              <w:t>274</w:t>
            </w:r>
          </w:p>
        </w:tc>
        <w:tc>
          <w:tcPr>
            <w:tcW w:type="dxa" w:w="1728"/>
          </w:tcPr>
          <w:p>
            <w:r>
              <w:t>127</w:t>
            </w:r>
          </w:p>
        </w:tc>
        <w:tc>
          <w:tcPr>
            <w:tcW w:type="dxa" w:w="1728"/>
          </w:tcPr>
          <w:p>
            <w:r>
              <w:t>147</w:t>
            </w:r>
          </w:p>
        </w:tc>
        <w:tc>
          <w:tcPr>
            <w:tcW w:type="dxa" w:w="1728"/>
          </w:tcPr>
          <w:p>
            <w:r>
              <w:t>46.4%</w:t>
            </w:r>
          </w:p>
        </w:tc>
      </w:tr>
      <w:tr>
        <w:tc>
          <w:tcPr>
            <w:tcW w:type="dxa" w:w="1728"/>
          </w:tcPr>
          <w:p>
            <w:r>
              <w:t>2021</w:t>
            </w:r>
          </w:p>
        </w:tc>
        <w:tc>
          <w:tcPr>
            <w:tcW w:type="dxa" w:w="1728"/>
          </w:tcPr>
          <w:p>
            <w:r>
              <w:t>365</w:t>
            </w:r>
          </w:p>
        </w:tc>
        <w:tc>
          <w:tcPr>
            <w:tcW w:type="dxa" w:w="1728"/>
          </w:tcPr>
          <w:p>
            <w:r>
              <w:t>49</w:t>
            </w:r>
          </w:p>
        </w:tc>
        <w:tc>
          <w:tcPr>
            <w:tcW w:type="dxa" w:w="1728"/>
          </w:tcPr>
          <w:p>
            <w:r>
              <w:t>316</w:t>
            </w:r>
          </w:p>
        </w:tc>
        <w:tc>
          <w:tcPr>
            <w:tcW w:type="dxa" w:w="1728"/>
          </w:tcPr>
          <w:p>
            <w:r>
              <w:t>13.4%</w:t>
            </w:r>
          </w:p>
        </w:tc>
      </w:tr>
      <w:tr>
        <w:tc>
          <w:tcPr>
            <w:tcW w:type="dxa" w:w="1728"/>
          </w:tcPr>
          <w:p>
            <w:r>
              <w:t>2022</w:t>
            </w:r>
          </w:p>
        </w:tc>
        <w:tc>
          <w:tcPr>
            <w:tcW w:type="dxa" w:w="1728"/>
          </w:tcPr>
          <w:p>
            <w:r>
              <w:t>212</w:t>
            </w:r>
          </w:p>
        </w:tc>
        <w:tc>
          <w:tcPr>
            <w:tcW w:type="dxa" w:w="1728"/>
          </w:tcPr>
          <w:p>
            <w:r>
              <w:t>0</w:t>
            </w:r>
          </w:p>
        </w:tc>
        <w:tc>
          <w:tcPr>
            <w:tcW w:type="dxa" w:w="1728"/>
          </w:tcPr>
          <w:p>
            <w:r>
              <w:t>212</w:t>
            </w:r>
          </w:p>
        </w:tc>
        <w:tc>
          <w:tcPr>
            <w:tcW w:type="dxa" w:w="1728"/>
          </w:tcPr>
          <w:p>
            <w:r>
              <w:t>0.0%</w:t>
            </w:r>
          </w:p>
        </w:tc>
      </w:tr>
      <w:tr>
        <w:tc>
          <w:tcPr>
            <w:tcW w:type="dxa" w:w="1728"/>
          </w:tcPr>
          <w:p>
            <w:r>
              <w:t>2023</w:t>
            </w:r>
          </w:p>
        </w:tc>
        <w:tc>
          <w:tcPr>
            <w:tcW w:type="dxa" w:w="1728"/>
          </w:tcPr>
          <w:p>
            <w:r>
              <w:t>496</w:t>
            </w:r>
          </w:p>
        </w:tc>
        <w:tc>
          <w:tcPr>
            <w:tcW w:type="dxa" w:w="1728"/>
          </w:tcPr>
          <w:p>
            <w:r>
              <w:t>331</w:t>
            </w:r>
          </w:p>
        </w:tc>
        <w:tc>
          <w:tcPr>
            <w:tcW w:type="dxa" w:w="1728"/>
          </w:tcPr>
          <w:p>
            <w:r>
              <w:t>165</w:t>
            </w:r>
          </w:p>
        </w:tc>
        <w:tc>
          <w:tcPr>
            <w:tcW w:type="dxa" w:w="1728"/>
          </w:tcPr>
          <w:p>
            <w:r>
              <w:t>66.7%</w:t>
            </w:r>
          </w:p>
        </w:tc>
      </w:tr>
      <w:tr>
        <w:tc>
          <w:tcPr>
            <w:tcW w:type="dxa" w:w="1728"/>
          </w:tcPr>
          <w:p>
            <w:r>
              <w:t>2024</w:t>
            </w:r>
          </w:p>
        </w:tc>
        <w:tc>
          <w:tcPr>
            <w:tcW w:type="dxa" w:w="1728"/>
          </w:tcPr>
          <w:p>
            <w:r>
              <w:t>481</w:t>
            </w:r>
          </w:p>
        </w:tc>
        <w:tc>
          <w:tcPr>
            <w:tcW w:type="dxa" w:w="1728"/>
          </w:tcPr>
          <w:p>
            <w:r>
              <w:t>478</w:t>
            </w:r>
          </w:p>
        </w:tc>
        <w:tc>
          <w:tcPr>
            <w:tcW w:type="dxa" w:w="1728"/>
          </w:tcPr>
          <w:p>
            <w:r>
              <w:t>3</w:t>
            </w:r>
          </w:p>
        </w:tc>
        <w:tc>
          <w:tcPr>
            <w:tcW w:type="dxa" w:w="1728"/>
          </w:tcPr>
          <w:p>
            <w:r>
              <w:t>99.4%</w:t>
            </w:r>
          </w:p>
        </w:tc>
      </w:tr>
      <w:tr>
        <w:tc>
          <w:tcPr>
            <w:tcW w:type="dxa" w:w="1728"/>
          </w:tcPr>
          <w:p>
            <w:r>
              <w:t>2025</w:t>
            </w:r>
          </w:p>
        </w:tc>
        <w:tc>
          <w:tcPr>
            <w:tcW w:type="dxa" w:w="1728"/>
          </w:tcPr>
          <w:p>
            <w:r>
              <w:t>408</w:t>
            </w:r>
          </w:p>
        </w:tc>
        <w:tc>
          <w:tcPr>
            <w:tcW w:type="dxa" w:w="1728"/>
          </w:tcPr>
          <w:p>
            <w:r>
              <w:t>394</w:t>
            </w:r>
          </w:p>
        </w:tc>
        <w:tc>
          <w:tcPr>
            <w:tcW w:type="dxa" w:w="1728"/>
          </w:tcPr>
          <w:p>
            <w:r>
              <w:t>14</w:t>
            </w:r>
          </w:p>
        </w:tc>
        <w:tc>
          <w:tcPr>
            <w:tcW w:type="dxa" w:w="1728"/>
          </w:tcPr>
          <w:p>
            <w:r>
              <w:t>96.6%</w:t>
            </w:r>
          </w:p>
        </w:tc>
      </w:tr>
      <w:tr>
        <w:tc>
          <w:tcPr>
            <w:tcW w:type="dxa" w:w="1728"/>
          </w:tcPr>
          <w:p>
            <w:r>
              <w:t>2026</w:t>
            </w:r>
          </w:p>
        </w:tc>
        <w:tc>
          <w:tcPr>
            <w:tcW w:type="dxa" w:w="1728"/>
          </w:tcPr>
          <w:p>
            <w:r>
              <w:t>10</w:t>
            </w:r>
          </w:p>
        </w:tc>
        <w:tc>
          <w:tcPr>
            <w:tcW w:type="dxa" w:w="1728"/>
          </w:tcPr>
          <w:p>
            <w:r>
              <w:t>0</w:t>
            </w:r>
          </w:p>
        </w:tc>
        <w:tc>
          <w:tcPr>
            <w:tcW w:type="dxa" w:w="1728"/>
          </w:tcPr>
          <w:p>
            <w:r>
              <w:t>10</w:t>
            </w:r>
          </w:p>
        </w:tc>
        <w:tc>
          <w:tcPr>
            <w:tcW w:type="dxa" w:w="1728"/>
          </w:tcPr>
          <w:p>
            <w:r>
              <w:t>0.0%</w:t>
            </w:r>
          </w:p>
        </w:tc>
      </w:tr>
      <w:tr>
        <w:tc>
          <w:tcPr>
            <w:tcW w:type="dxa" w:w="1728"/>
          </w:tcPr>
          <w:p>
            <w:r>
              <w:t>TOTAL</w:t>
            </w:r>
          </w:p>
        </w:tc>
        <w:tc>
          <w:tcPr>
            <w:tcW w:type="dxa" w:w="1728"/>
          </w:tcPr>
          <w:p>
            <w:r>
              <w:t>3,790</w:t>
            </w:r>
          </w:p>
        </w:tc>
        <w:tc>
          <w:tcPr>
            <w:tcW w:type="dxa" w:w="1728"/>
          </w:tcPr>
          <w:p>
            <w:r>
              <w:t>2,158</w:t>
            </w:r>
          </w:p>
        </w:tc>
        <w:tc>
          <w:tcPr>
            <w:tcW w:type="dxa" w:w="1728"/>
          </w:tcPr>
          <w:p>
            <w:r>
              <w:t>1,632</w:t>
            </w:r>
          </w:p>
        </w:tc>
        <w:tc>
          <w:tcPr>
            <w:tcW w:type="dxa" w:w="1728"/>
          </w:tcPr>
          <w:p>
            <w:r>
              <w:t>56.9%</w:t>
            </w:r>
          </w:p>
        </w:tc>
      </w:tr>
    </w:tbl>
    <w:p>
      <w:pPr>
        <w:pStyle w:val="Caption"/>
      </w:pPr>
      <w:r>
        <w:t>Interpretation: “With time” means at least one recognized legacy kickoff or scheduled-time field is populated. It does not establish that the time was the actual on-field kickoff. Coverage is within this audience master, not a census of every college football game played.</w:t>
      </w:r>
    </w:p>
    <w:p>
      <w:pPr>
        <w:pStyle w:val="Heading1"/>
      </w:pPr>
      <w:r>
        <w:t>3 | Initial thoughts on the data</w:t>
      </w:r>
    </w:p>
    <w:p>
      <w:pPr>
        <w:pStyle w:val="Heading2"/>
      </w:pPr>
      <w:r>
        <w:t>Strength — a traceable research asset</w:t>
      </w:r>
    </w:p>
    <w:p>
      <w:r>
        <w:t>Game-level rows, source metadata, and batch evidence make the master a useful foundation for reproducible TV-audience research. Retaining original viewership values while adding evidence fields is preferable to overwriting uncertain values.</w:t>
      </w:r>
    </w:p>
    <w:p>
      <w:pPr>
        <w:pStyle w:val="Heading2"/>
      </w:pPr>
      <w:r>
        <w:t>Strength — 2014 is a useful pilot year</w:t>
      </w:r>
    </w:p>
    <w:p>
      <w:r>
        <w:t>Near-complete time-field coverage in 2014 provides a practical case for testing team-name normalization, schedule matching, and quality-control rules before scaling to additional seasons.</w:t>
      </w:r>
    </w:p>
    <w:p>
      <w:pPr>
        <w:pStyle w:val="Heading2"/>
      </w:pPr>
      <w:r>
        <w:t>Concern — uneven temporal completeness</w:t>
      </w:r>
    </w:p>
    <w:p>
      <w:r>
        <w:t>2022 has no recognized time fields, while 2021 has 13.4% and 2018 has 16.6%. Any analysis involving kickoff windows, dayparts, or TV scheduling could be biased toward the better-enriched seasons.</w:t>
      </w:r>
    </w:p>
    <w:p>
      <w:pPr>
        <w:pStyle w:val="Heading2"/>
      </w:pPr>
      <w:r>
        <w:t>Concern — coverage is not representative of all games</w:t>
      </w:r>
    </w:p>
    <w:p>
      <w:r>
        <w:t>The master contains audience-reported games; unmatched schedule entries should not be interpreted as games with zero viewers. Analyses must define their observation universe and missingness mechanism.</w:t>
      </w:r>
    </w:p>
    <w:p>
      <w:pPr>
        <w:pStyle w:val="Heading2"/>
      </w:pPr>
      <w:r>
        <w:t>Concern — wide schema and inherited fields</w:t>
      </w:r>
    </w:p>
    <w:p>
      <w:r>
        <w:t>The 217-column audit-rich design supports provenance but complicates downstream analysis. A normalized analytical view with one preferred time and a separate evidence table would improve usability without sacrificing history.</w:t>
      </w:r>
    </w:p>
    <w:p>
      <w:pPr>
        <w:pStyle w:val="Heading2"/>
      </w:pPr>
      <w:r>
        <w:t>Concern — audience comparability</w:t>
      </w:r>
    </w:p>
    <w:p>
      <w:r>
        <w:t>Network, distribution platform, measurement source, season, and reporting practices may differ. Cross-year viewership comparisons should be stratified and checked for source consistency before causal or ranking claims.</w:t>
      </w:r>
    </w:p>
    <w:p>
      <w:pPr>
        <w:pStyle w:val="Heading1"/>
      </w:pPr>
      <w:r>
        <w:t>4 | 2014 exception register</w:t>
      </w:r>
    </w:p>
    <w:p>
      <w:r>
        <w:t>Five 2014 audience records lack any recognized reported time: Alabama A&amp;M–North Carolina A&amp;T (Aug 31); UL-Monroe–LSU (Sep 13); Arkansas Pine Bluff–Alabama State (Sep 18); Louisiana–Texas State (Oct 14); and Arkansas State–Louisiana (Oct 21). The last two have supplied schedule times but need a Louisiana / UL-Lafayette name-crosswalk repair.</w:t>
      </w:r>
    </w:p>
    <w:p>
      <w:r>
        <w:t>Six reported-time conflicts are documented: NIU–Western Michigan (Nov 28); Rice–Fresno State (Dec 24); Arizona State–Duke (Dec 27); Georgia–Louisville (Dec 30); Ohio State–Alabama (Jan 1); Florida–East Carolina (Jan 3). The conflict file preserves both reported and inherited values; none should be silently overwritten.</w:t>
      </w:r>
    </w:p>
    <w:p>
      <w:pPr>
        <w:pStyle w:val="Heading1"/>
      </w:pPr>
      <w:r>
        <w:t>5 | Recommended way forward</w:t>
      </w:r>
    </w:p>
    <w:p>
      <w:pPr>
        <w:pStyle w:val="Heading2"/>
      </w:pPr>
      <w:r>
        <w:t>1. Immediate: close the 2014 exceptions</w:t>
      </w:r>
    </w:p>
    <w:p>
      <w:r>
        <w:t>Resolve the five missing times using schedule evidence and canonical team IDs; review six conflicts against contemporaneous network listings and official game records. Preserve the original field and record the adjudication rationale.</w:t>
      </w:r>
    </w:p>
    <w:p>
      <w:pPr>
        <w:pStyle w:val="Heading2"/>
      </w:pPr>
      <w:r>
        <w:t>2. Then: publish a 2014 validation snapshot</w:t>
      </w:r>
    </w:p>
    <w:p>
      <w:r>
        <w:t>Run row-count, duplicate-key, team-alias, date, time-zone, bowl-season, source-link, and audience-preservation checks. Issue a frozen 2014 release with a compact exception report.</w:t>
      </w:r>
    </w:p>
    <w:p>
      <w:pPr>
        <w:pStyle w:val="Heading2"/>
      </w:pPr>
      <w:r>
        <w:t>3. Next: enrich 2015–2022 in targeted waves</w:t>
      </w:r>
    </w:p>
    <w:p>
      <w:r>
        <w:t>Prioritize 2022 (212 missing), 2021 (316), 2015 (190), 2018 (181), and 2016 (166), while batching by season/week and retaining unmatched queues. Do not add games lacking documented audience measurements merely to close schedule gaps.</w:t>
      </w:r>
    </w:p>
    <w:p>
      <w:pPr>
        <w:pStyle w:val="Heading2"/>
      </w:pPr>
      <w:r>
        <w:t>4. Parallel: audit recent seasons</w:t>
      </w:r>
    </w:p>
    <w:p>
      <w:r>
        <w:t>Resolve 2023 (165 missing), 2025 (14), and 2024 (3); treat 2026 as in-progress and refresh only when new evidence is available.</w:t>
      </w:r>
    </w:p>
    <w:p>
      <w:pPr>
        <w:pStyle w:val="Heading2"/>
      </w:pPr>
      <w:r>
        <w:t>5. Data engineering: separate raw, evidence, and analytical layers</w:t>
      </w:r>
    </w:p>
    <w:p>
      <w:r>
        <w:t>Maintain immutable raw inputs; a game identity/crosswalk table; an event-time evidence table (scheduled vs actual, timezone, confidence); an audience observation table; and a derived analysis-ready game table.</w:t>
      </w:r>
    </w:p>
    <w:p>
      <w:pPr>
        <w:pStyle w:val="Heading2"/>
      </w:pPr>
      <w:r>
        <w:t>6. Final: statistical and publication QA</w:t>
      </w:r>
    </w:p>
    <w:p>
      <w:r>
        <w:t>Check coverage by year, network, conference, game type and time slot; compare overlapping audience sources; document measurement limitations; version outputs and produce a reproducible methodology appendix.</w:t>
      </w:r>
    </w:p>
    <w:p>
      <w:pPr>
        <w:pStyle w:val="Heading1"/>
      </w:pPr>
      <w:r>
        <w:t>6 | Proposed release criteria</w:t>
      </w:r>
    </w:p>
    <w:p>
      <w:pPr>
        <w:pStyle w:val="ListBullet"/>
      </w:pPr>
      <w:r>
        <w:t>Every audience record has a stable game key and documented season/date/team crosswalk.</w:t>
      </w:r>
    </w:p>
    <w:p>
      <w:pPr>
        <w:pStyle w:val="ListBullet"/>
      </w:pPr>
      <w:r>
        <w:t>Scheduled start and actual kickoff are separate concepts with explicit timezone and evidence type.</w:t>
      </w:r>
    </w:p>
    <w:p>
      <w:pPr>
        <w:pStyle w:val="ListBullet"/>
      </w:pPr>
      <w:r>
        <w:t>All conflicts are either adjudicated or labeled unresolved; no unsupported substitutions.</w:t>
      </w:r>
    </w:p>
    <w:p>
      <w:pPr>
        <w:pStyle w:val="ListBullet"/>
      </w:pPr>
      <w:r>
        <w:t>Original audience measurements and source references are preserved and reproducible.</w:t>
      </w:r>
    </w:p>
    <w:p>
      <w:pPr>
        <w:pStyle w:val="ListBullet"/>
      </w:pPr>
      <w:r>
        <w:t>Season-by-season coverage and exclusions are reported alongside any analysis.</w:t>
      </w:r>
    </w:p>
    <w:p>
      <w:pPr>
        <w:pStyle w:val="Heading1"/>
      </w:pPr>
      <w:r>
        <w:t>Bottom line</w:t>
      </w:r>
    </w:p>
    <w:p>
      <w:r>
        <w:t>Phase 4 is well positioned for a disciplined transition from data assembly to research-grade validation. The most valuable near-term move is to finish the 2014 exception audit, then apply that proven workflow to historically sparse seasons. Avoid treating a populated scheduled start as verified kickoff or treating the audience master as an exhaustive schedule.</w:t>
      </w:r>
    </w:p>
    <w:p>
      <w:pPr>
        <w:pStyle w:val="Caption"/>
      </w:pPr>
      <w:r>
        <w:t>Basis: Batch 111 master CSV and accompanying 2014 coverage/conflict audit files; season-level time-coverage totals from the current project summary. Interpretive recommendations are analytical judgments, not independently sourced factual findings.</w:t>
      </w:r>
    </w:p>
    <w:p>
      <w:r>
        <w:br w:type="page"/>
      </w:r>
    </w:p>
    <w:p>
      <w:pPr>
        <w:pStyle w:val="Title"/>
      </w:pPr>
      <w:r>
        <w:t>6 | Media rights and promotion/relegation: preliminary interpretation</w:t>
      </w:r>
    </w:p>
    <w:p>
      <w:r>
        <w:t>This expanded section integrates the October 17 strategic assessment with the existing Phase 4 research summary. It distinguishes observations in the working audience master from hypotheses and forecasts. It does not establish that promotion/relegation would increase rights fees.</w:t>
      </w:r>
    </w:p>
    <w:p>
      <w:pPr>
        <w:pStyle w:val="Heading1"/>
      </w:pPr>
      <w:r>
        <w:t>6.1 | Central economic question</w:t>
      </w:r>
    </w:p>
    <w:p>
      <w:r>
        <w:t>Can the additional value of competitive stakes, promotion races, relegation battles, and more evenly matched schedules exceed any lost value from disrupted traditional rivalries, scheduling uncertainty, and changes to premium brands? This is the primary empirical question for Phase 4.</w:t>
      </w:r>
    </w:p>
    <w:p>
      <w:pPr>
        <w:pStyle w:val="Heading1"/>
      </w:pPr>
      <w:r>
        <w:t>6.2 | Preliminary audience observations</w:t>
      </w:r>
    </w:p>
    <w:p>
      <w:r>
        <w:t>The earlier exploratory analysis of the working master reported a median audience of approximately 1.50 million viewers and a mean of approximately 2.66 million. The higher mean is consistent with a right-skewed distribution in which a limited number of very popular games raise the average. These figures describe collected audience-reported games, not all games played; they require a reproducible re-run before formal publication.</w:t>
      </w:r>
    </w:p>
    <w:p>
      <w:r>
        <w:t>Selected network medians previously reported (millions of viewers): CBS 4.48; ABC 4.09; FOX 2.88; NBC 2.84; ESPN 1.87; BTN 0.59; ESPN2 0.50; FS1 0.49; ESPNU 0.13. These are unadjusted descriptive comparisons, not causal network effects. Networks select different matchups, windows and brands.</w:t>
      </w:r>
    </w:p>
    <w:p>
      <w:pPr>
        <w:pStyle w:val="Heading1"/>
      </w:pPr>
      <w:r>
        <w:t>6.3 | Opportunity and risk matrix</w:t>
      </w:r>
    </w:p>
    <w:tbl>
      <w:tblPr>
        <w:tblStyle w:val="LightShading-Accent1"/>
        <w:tblW w:type="auto" w:w="0"/>
        <w:tblLook w:firstColumn="1" w:firstRow="1" w:lastColumn="0" w:lastRow="0" w:noHBand="0" w:noVBand="1" w:val="04A0"/>
      </w:tblPr>
      <w:tblGrid>
        <w:gridCol w:w="4320"/>
        <w:gridCol w:w="4320"/>
      </w:tblGrid>
      <w:tr>
        <w:tc>
          <w:tcPr>
            <w:tcW w:type="dxa" w:w="4320"/>
          </w:tcPr>
          <w:p>
            <w:r>
              <w:t>Potential media benefit</w:t>
            </w:r>
          </w:p>
        </w:tc>
        <w:tc>
          <w:tcPr>
            <w:tcW w:type="dxa" w:w="4320"/>
          </w:tcPr>
          <w:p>
            <w:r>
              <w:t>Countervailing risk</w:t>
            </w:r>
          </w:p>
        </w:tc>
      </w:tr>
      <w:tr>
        <w:tc>
          <w:tcPr>
            <w:tcW w:type="dxa" w:w="4320"/>
          </w:tcPr>
          <w:p>
            <w:r>
              <w:t>Meaningful promotion and relegation races</w:t>
            </w:r>
          </w:p>
        </w:tc>
        <w:tc>
          <w:tcPr>
            <w:tcW w:type="dxa" w:w="4320"/>
          </w:tcPr>
          <w:p>
            <w:r>
              <w:t>Uncertain audiences for new stakes and promoted brands</w:t>
            </w:r>
          </w:p>
        </w:tc>
      </w:tr>
      <w:tr>
        <w:tc>
          <w:tcPr>
            <w:tcW w:type="dxa" w:w="4320"/>
          </w:tcPr>
          <w:p>
            <w:r>
              <w:t>More competitive conference matchups</w:t>
            </w:r>
          </w:p>
        </w:tc>
        <w:tc>
          <w:tcPr>
            <w:tcW w:type="dxa" w:w="4320"/>
          </w:tcPr>
          <w:p>
            <w:r>
              <w:t>Loss of high-profile mismatches that still attract audiences</w:t>
            </w:r>
          </w:p>
        </w:tc>
      </w:tr>
      <w:tr>
        <w:tc>
          <w:tcPr>
            <w:tcW w:type="dxa" w:w="4320"/>
          </w:tcPr>
          <w:p>
            <w:r>
              <w:t>Additional late-season consequential inventory</w:t>
            </w:r>
          </w:p>
        </w:tc>
        <w:tc>
          <w:tcPr>
            <w:tcW w:type="dxa" w:w="4320"/>
          </w:tcPr>
          <w:p>
            <w:r>
              <w:t>Reduced predictability for multiyear rights buyers</w:t>
            </w:r>
          </w:p>
        </w:tc>
      </w:tr>
      <w:tr>
        <w:tc>
          <w:tcPr>
            <w:tcW w:type="dxa" w:w="4320"/>
          </w:tcPr>
          <w:p>
            <w:r>
              <w:t>More pathways to national exposure</w:t>
            </w:r>
          </w:p>
        </w:tc>
        <w:tc>
          <w:tcPr>
            <w:tcW w:type="dxa" w:w="4320"/>
          </w:tcPr>
          <w:p>
            <w:r>
              <w:t>Potential loss of familiar premium rivalries</w:t>
            </w:r>
          </w:p>
        </w:tc>
      </w:tr>
      <w:tr>
        <w:tc>
          <w:tcPr>
            <w:tcW w:type="dxa" w:w="4320"/>
          </w:tcPr>
          <w:p>
            <w:r>
              <w:t>Merit-based competitive mobility</w:t>
            </w:r>
          </w:p>
        </w:tc>
        <w:tc>
          <w:tcPr>
            <w:tcW w:type="dxa" w:w="4320"/>
          </w:tcPr>
          <w:p>
            <w:r>
              <w:t>Financial volatility for relegated institutions</w:t>
            </w:r>
          </w:p>
        </w:tc>
      </w:tr>
    </w:tbl>
    <w:p>
      <w:pPr>
        <w:pStyle w:val="Heading1"/>
      </w:pPr>
      <w:r>
        <w:t>6.4 | Implications for the approved sporting framework</w:t>
      </w:r>
    </w:p>
    <w:p>
      <w:pPr>
        <w:pStyle w:val="Heading2"/>
      </w:pPr>
      <w:r>
        <w:t>Sporting merit is distinct from commercial popularity</w:t>
      </w:r>
    </w:p>
    <w:p>
      <w:r>
        <w:t>Promotions and relegations should follow approved performance and tiebreak rules, not television ratings. Broadcasting and revenue distribution can be optimized separately.</w:t>
      </w:r>
    </w:p>
    <w:p>
      <w:pPr>
        <w:pStyle w:val="Heading2"/>
      </w:pPr>
      <w:r>
        <w:t>Schedule constraints remain binding</w:t>
      </w:r>
    </w:p>
    <w:p>
      <w:r>
        <w:t>Model the 12-game regular season, at least 10 conference games, and no more than two eligible nonconference games within the same or immediately adjacent level. Optimize television windows only within these rules.</w:t>
      </w:r>
    </w:p>
    <w:p>
      <w:pPr>
        <w:pStyle w:val="Heading2"/>
      </w:pPr>
      <w:r>
        <w:t>Transitions need adjusted comparisons</w:t>
      </w:r>
    </w:p>
    <w:p>
      <w:r>
        <w:t>Use the approved four-season transition confidence framework and historical classification crosswalk. North Dakota State is a specific FCS-to-FBS transition case in the project; its lower-division audiences cannot be treated as a fixed upper-tier ceiling.</w:t>
      </w:r>
    </w:p>
    <w:p>
      <w:pPr>
        <w:pStyle w:val="Heading2"/>
      </w:pPr>
      <w:r>
        <w:t>Include lower divisions responsibly</w:t>
      </w:r>
    </w:p>
    <w:p>
      <w:r>
        <w:t>Evaluate lower-division programs with available audience evidence, opponent calibration and data-quality limits. Exclude Canadian U Sports institutions from American tiers while treating games against them appropriately in strength-of-schedule calculations.</w:t>
      </w:r>
    </w:p>
    <w:p>
      <w:pPr>
        <w:pStyle w:val="Heading2"/>
      </w:pPr>
      <w:r>
        <w:t>Collective rights and tier stability</w:t>
      </w:r>
    </w:p>
    <w:p>
      <w:r>
        <w:t>Explore guaranteed tier-wide distributions, reserves and transparent performance or exposure components to mitigate relegation risk without overriding competitive outcomes.</w:t>
      </w:r>
    </w:p>
    <w:p>
      <w:pPr>
        <w:pStyle w:val="Title"/>
      </w:pPr>
      <w:r>
        <w:t>7 | Financial model: scenarios, not valuations</w:t>
      </w:r>
    </w:p>
    <w:p>
      <w:r>
        <w:t>The following annual gross distribution-pool scenarios were discussed in the broader project. They are planning assumptions, not media-rights estimates validated by the audience master. The reserve is 15%.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Scenario</w:t>
            </w:r>
          </w:p>
        </w:tc>
        <w:tc>
          <w:tcPr>
            <w:tcW w:type="dxa" w:w="2160"/>
          </w:tcPr>
          <w:p>
            <w:r>
              <w:t>Gross pool</w:t>
            </w:r>
          </w:p>
        </w:tc>
        <w:tc>
          <w:tcPr>
            <w:tcW w:type="dxa" w:w="2160"/>
          </w:tcPr>
          <w:p>
            <w:r>
              <w:t>15% reserve</w:t>
            </w:r>
          </w:p>
        </w:tc>
        <w:tc>
          <w:tcPr>
            <w:tcW w:type="dxa" w:w="2160"/>
          </w:tcPr>
          <w:p>
            <w:r>
              <w:t>After reserve</w:t>
            </w:r>
          </w:p>
        </w:tc>
      </w:tr>
      <w:tr>
        <w:tc>
          <w:tcPr>
            <w:tcW w:type="dxa" w:w="2160"/>
          </w:tcPr>
          <w:p>
            <w:r>
              <w:t>Conservative</w:t>
            </w:r>
          </w:p>
        </w:tc>
        <w:tc>
          <w:tcPr>
            <w:tcW w:type="dxa" w:w="2160"/>
          </w:tcPr>
          <w:p>
            <w:r>
              <w:t>$4.00B</w:t>
            </w:r>
          </w:p>
        </w:tc>
        <w:tc>
          <w:tcPr>
            <w:tcW w:type="dxa" w:w="2160"/>
          </w:tcPr>
          <w:p>
            <w:r>
              <w:t>$0.60B</w:t>
            </w:r>
          </w:p>
        </w:tc>
        <w:tc>
          <w:tcPr>
            <w:tcW w:type="dxa" w:w="2160"/>
          </w:tcPr>
          <w:p>
            <w:r>
              <w:t>$3.40B</w:t>
            </w:r>
          </w:p>
        </w:tc>
      </w:tr>
      <w:tr>
        <w:tc>
          <w:tcPr>
            <w:tcW w:type="dxa" w:w="2160"/>
          </w:tcPr>
          <w:p>
            <w:r>
              <w:t>Base</w:t>
            </w:r>
          </w:p>
        </w:tc>
        <w:tc>
          <w:tcPr>
            <w:tcW w:type="dxa" w:w="2160"/>
          </w:tcPr>
          <w:p>
            <w:r>
              <w:t>$6.00B</w:t>
            </w:r>
          </w:p>
        </w:tc>
        <w:tc>
          <w:tcPr>
            <w:tcW w:type="dxa" w:w="2160"/>
          </w:tcPr>
          <w:p>
            <w:r>
              <w:t>$0.90B</w:t>
            </w:r>
          </w:p>
        </w:tc>
        <w:tc>
          <w:tcPr>
            <w:tcW w:type="dxa" w:w="2160"/>
          </w:tcPr>
          <w:p>
            <w:r>
              <w:t>$5.10B</w:t>
            </w:r>
          </w:p>
        </w:tc>
      </w:tr>
      <w:tr>
        <w:tc>
          <w:tcPr>
            <w:tcW w:type="dxa" w:w="2160"/>
          </w:tcPr>
          <w:p>
            <w:r>
              <w:t>Aggressive</w:t>
            </w:r>
          </w:p>
        </w:tc>
        <w:tc>
          <w:tcPr>
            <w:tcW w:type="dxa" w:w="2160"/>
          </w:tcPr>
          <w:p>
            <w:r>
              <w:t>$8.00B</w:t>
            </w:r>
          </w:p>
        </w:tc>
        <w:tc>
          <w:tcPr>
            <w:tcW w:type="dxa" w:w="2160"/>
          </w:tcPr>
          <w:p>
            <w:r>
              <w:t>$1.20B</w:t>
            </w:r>
          </w:p>
        </w:tc>
        <w:tc>
          <w:tcPr>
            <w:tcW w:type="dxa" w:w="2160"/>
          </w:tcPr>
          <w:p>
            <w:r>
              <w:t>$6.80B</w:t>
            </w:r>
          </w:p>
        </w:tc>
      </w:tr>
    </w:tbl>
    <w:p>
      <w:r>
        <w:t>Prior exploratory rights estimates of roughly $1.08B–$2.83B also remain unvalidated and must not be treated as sufficient to fund these pools. A distribution pool may require television, streaming, sponsorship, postseason and other permissible revenues; avoid double-counting.</w:t>
      </w:r>
    </w:p>
    <w:p>
      <w:r>
        <w:t>Valuation framework: annual media-rights value = sum over broadcast inventory of (expected rights fee per game), calibrated to audience demand, network economics, contractual comparables and scarce broadcast windows. Subtract production and operating costs, obligations and reserves before calculating distributable proceeds.</w:t>
      </w:r>
    </w:p>
    <w:p>
      <w:pPr>
        <w:pStyle w:val="Title"/>
      </w:pPr>
      <w:r>
        <w:t>8 | Empirical tests required before conclusions</w:t>
      </w:r>
    </w:p>
    <w:p>
      <w:pPr>
        <w:pStyle w:val="Heading2"/>
      </w:pPr>
      <w:r>
        <w:t>1. Brand versus opponent strength</w:t>
      </w:r>
    </w:p>
    <w:p>
      <w:r>
        <w:t>Estimate school-specific draw separately from opponent quality, matchup stakes, distribution and time slot.</w:t>
      </w:r>
    </w:p>
    <w:p>
      <w:pPr>
        <w:pStyle w:val="Heading2"/>
      </w:pPr>
      <w:r>
        <w:t>2. Competitive uncertainty</w:t>
      </w:r>
    </w:p>
    <w:p>
      <w:r>
        <w:t>Test whether closer expected matchups outperform after controlling for team popularity and exposure.</w:t>
      </w:r>
    </w:p>
    <w:p>
      <w:pPr>
        <w:pStyle w:val="Heading2"/>
      </w:pPr>
      <w:r>
        <w:t>3. Stakes and late-season inventory</w:t>
      </w:r>
    </w:p>
    <w:p>
      <w:r>
        <w:t>Measure audience differences for championship, postseason-eligibility, promotion and relegation implications; acknowledge promotion/relegation effects are counterfactual in historical U.S. data.</w:t>
      </w:r>
    </w:p>
    <w:p>
      <w:pPr>
        <w:pStyle w:val="Heading2"/>
      </w:pPr>
      <w:r>
        <w:t>4. Network and broadcast window</w:t>
      </w:r>
    </w:p>
    <w:p>
      <w:r>
        <w:t>Estimate adjusted network/platform and kickoff-window associations, including changes in measurement over time.</w:t>
      </w:r>
    </w:p>
    <w:p>
      <w:pPr>
        <w:pStyle w:val="Heading2"/>
      </w:pPr>
      <w:r>
        <w:t>5. Counterfactual seasons</w:t>
      </w:r>
    </w:p>
    <w:p>
      <w:r>
        <w:t>Reconstruct historical tiers and schedules under approved rules, predict audiences under existing versus simulated systems, and test on held-out seasons.</w:t>
      </w:r>
    </w:p>
    <w:p>
      <w:r>
        <w:t>For all tests: distinguish observed games from unreported games, never code missing audience as zero, control for season and reporting changes, quantify uncertainty, and assess whether historical samples overrepresent nationally televised games.</w:t>
      </w:r>
    </w:p>
    <w:p>
      <w:pPr>
        <w:pStyle w:val="Title"/>
      </w:pPr>
      <w:r>
        <w:t>9 | Proposed research sequence and decision gates</w:t>
      </w:r>
    </w:p>
    <w:p>
      <w:pPr>
        <w:pStyle w:val="Heading2"/>
      </w:pPr>
      <w:r>
        <w:t>Gate A — Data integrity</w:t>
      </w:r>
    </w:p>
    <w:p>
      <w:r>
        <w:t>Close 2014’s five missing-time records and six discrepancies; verify source provenance, canonical team identifiers, audience preservation and duplicates. Recompute all headline statistics from the frozen snapshot.</w:t>
      </w:r>
    </w:p>
    <w:p>
      <w:pPr>
        <w:pStyle w:val="Heading2"/>
      </w:pPr>
      <w:r>
        <w:t>Gate B — Analysis-ready tables</w:t>
      </w:r>
    </w:p>
    <w:p>
      <w:r>
        <w:t>Derive one game-level analysis table with consistent teams, year-specific classification, network, platform, time evidence type, audience units, opponent quality and game stakes. Retain the original audit-rich master separately.</w:t>
      </w:r>
    </w:p>
    <w:p>
      <w:pPr>
        <w:pStyle w:val="Heading2"/>
      </w:pPr>
      <w:r>
        <w:t>Gate C — Historical audience model</w:t>
      </w:r>
    </w:p>
    <w:p>
      <w:r>
        <w:t>Estimate brand, competitive quality, game stakes, window and distribution effects with year-level calibration and out-of-sample validation.</w:t>
      </w:r>
    </w:p>
    <w:p>
      <w:pPr>
        <w:pStyle w:val="Heading2"/>
      </w:pPr>
      <w:r>
        <w:t>Gate D — Promotion/relegation simulations</w:t>
      </w:r>
    </w:p>
    <w:p>
      <w:r>
        <w:t>Apply approved sporting and transition rules to reconstruct historical memberships, then build permissible schedules and broadcast inventory. Compare historical and simulated audience distributions.</w:t>
      </w:r>
    </w:p>
    <w:p>
      <w:pPr>
        <w:pStyle w:val="Heading2"/>
      </w:pPr>
      <w:r>
        <w:t>Gate E — Commercial valuation</w:t>
      </w:r>
    </w:p>
    <w:p>
      <w:r>
        <w:t>Translate modeled audiences into bounded rights-fee scenarios using independently sourced broadcaster economics and rights comparables; stress-test relegated-brand downside and promoted-program upside.</w:t>
      </w:r>
    </w:p>
    <w:p>
      <w:pPr>
        <w:pStyle w:val="Heading2"/>
      </w:pPr>
      <w:r>
        <w:t>Gate F — Governance and distribution</w:t>
      </w:r>
    </w:p>
    <w:p>
      <w:r>
        <w:t>Specify tier-wide guarantees, reserve funding, movement-related adjustments, contractual protections and transparency safeguards. Validate institutional viability under poor-performance and adverse-rights scenarios.</w:t>
      </w:r>
    </w:p>
    <w:p>
      <w:pPr>
        <w:pStyle w:val="Title"/>
      </w:pPr>
      <w:r>
        <w:t>10 | Overall interpretation and provisional recommendation</w:t>
      </w:r>
    </w:p>
    <w:p>
      <w:r>
        <w:t>The research supports studying a merit-based competition with collective monetization, but does not yet prove it outperforms the existing conference system. The next decisive milestone is a reproducible audience-demand model followed by historical promotion/relegation counterfactuals. Sporting mobility should be determined on the field; television value should inform rights packaging and revenue stability, not competitive placement.</w:t>
      </w:r>
    </w:p>
    <w:p>
      <w:r>
        <w:t>Evidence status: reported master counts and time-field coverage are operational data-quality measures; raw audience and network medians above were stated in the prior assessment and should be independently rerun; incremental viewership, rights uplift, and revenue sustainability remain hypotheses requiring estimation.</w:t>
      </w:r>
    </w:p>
    <w:p>
      <w:r>
        <w:br w:type="page"/>
      </w:r>
    </w:p>
    <w:p>
      <w:pPr>
        <w:pStyle w:val="Heading1"/>
      </w:pPr>
      <w:r>
        <w:t>Proposed Phase 5 — Historical Promotion/Relegation and Scheduling Simulation</w:t>
      </w:r>
    </w:p>
    <w:p>
      <w:r>
        <w:t>STATUS: PLANNING ONLY — No historical counterfactual schedules or simulated results have been generated.</w:t>
      </w:r>
    </w:p>
    <w:p>
      <w:r>
        <w:t>Purpose: Test how the approved ten-level promotion/relegation structure might have changed conference membership, competitive outcomes, scheduling quality, geographic exposure, and institutional continuity. Publish understandable school-specific comparisons and collect public feedback.</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Design element</w:t>
            </w:r>
          </w:p>
        </w:tc>
        <w:tc>
          <w:tcPr>
            <w:tcW w:type="dxa" w:w="4320"/>
          </w:tcPr>
          <w:p>
            <w:r>
              <w:t>Proposed scope</w:t>
            </w:r>
          </w:p>
        </w:tc>
      </w:tr>
      <w:tr>
        <w:tc>
          <w:tcPr>
            <w:tcW w:type="dxa" w:w="4320"/>
          </w:tcPr>
          <w:p>
            <w:r>
              <w:t>Baseline evidence</w:t>
            </w:r>
          </w:p>
        </w:tc>
        <w:tc>
          <w:tcPr>
            <w:tcW w:type="dxa" w:w="4320"/>
          </w:tcPr>
          <w:p>
            <w:r>
              <w:t>2014–2017 historical records and game-by-game results</w:t>
            </w:r>
          </w:p>
        </w:tc>
      </w:tr>
      <w:tr>
        <w:tc>
          <w:tcPr>
            <w:tcW w:type="dxa" w:w="4320"/>
          </w:tcPr>
          <w:p>
            <w:r>
              <w:t>Initial alignment</w:t>
            </w:r>
          </w:p>
        </w:tc>
        <w:tc>
          <w:tcPr>
            <w:tcW w:type="dxa" w:w="4320"/>
          </w:tcPr>
          <w:p>
            <w:r>
              <w:t>2018, calculated without using 2018 or later outcomes</w:t>
            </w:r>
          </w:p>
        </w:tc>
      </w:tr>
      <w:tr>
        <w:tc>
          <w:tcPr>
            <w:tcW w:type="dxa" w:w="4320"/>
          </w:tcPr>
          <w:p>
            <w:r>
              <w:t>Simulation window</w:t>
            </w:r>
          </w:p>
        </w:tc>
        <w:tc>
          <w:tcPr>
            <w:tcW w:type="dxa" w:w="4320"/>
          </w:tcPr>
          <w:p>
            <w:r>
              <w:t>2018–2026, with 2026 provisional</w:t>
            </w:r>
          </w:p>
        </w:tc>
      </w:tr>
      <w:tr>
        <w:tc>
          <w:tcPr>
            <w:tcW w:type="dxa" w:w="4320"/>
          </w:tcPr>
          <w:p>
            <w:r>
              <w:t>Competitive levels</w:t>
            </w:r>
          </w:p>
        </w:tc>
        <w:tc>
          <w:tcPr>
            <w:tcW w:type="dxa" w:w="4320"/>
          </w:tcPr>
          <w:p>
            <w:r>
              <w:t>10</w:t>
            </w:r>
          </w:p>
        </w:tc>
      </w:tr>
      <w:tr>
        <w:tc>
          <w:tcPr>
            <w:tcW w:type="dxa" w:w="4320"/>
          </w:tcPr>
          <w:p>
            <w:r>
              <w:t>Movement scenarios</w:t>
            </w:r>
          </w:p>
        </w:tc>
        <w:tc>
          <w:tcPr>
            <w:tcW w:type="dxa" w:w="4320"/>
          </w:tcPr>
          <w:p>
            <w:r>
              <w:t>Annual; every 3, 5, or 10 years</w:t>
            </w:r>
          </w:p>
        </w:tc>
      </w:tr>
      <w:tr>
        <w:tc>
          <w:tcPr>
            <w:tcW w:type="dxa" w:w="4320"/>
          </w:tcPr>
          <w:p>
            <w:r>
              <w:t>Outputs</w:t>
            </w:r>
          </w:p>
        </w:tc>
        <w:tc>
          <w:tcPr>
            <w:tcW w:type="dxa" w:w="4320"/>
          </w:tcPr>
          <w:p>
            <w:r>
              <w:t>Year-by-year alignments, proposed schedules, uncertainty, school trajectories, public feedback</w:t>
            </w:r>
          </w:p>
        </w:tc>
      </w:tr>
    </w:tbl>
    <w:p>
      <w:pPr>
        <w:pStyle w:val="Heading2"/>
      </w:pPr>
      <w:r>
        <w:t>5.1 Initial alignment and historical integrity</w:t>
      </w:r>
    </w:p>
    <w:p>
      <w:r>
        <w:t>Build the initial 2018 conference and tier assignments from 2014–2017 performance only, using overall results, opponent-adjusted strength, strength of schedule, historical classification, and the existing project rules for transitional programs. Keep Canadian universities outside American tier and conference membership, while calibrating any games against them for schedule-strength purposes. North Dakota State and other transitioning programs must be treated according to the approved transition adjustments.</w:t>
      </w:r>
    </w:p>
    <w:p>
      <w:r>
        <w:t>Freeze ranking weights, tie-breaks, eligibility, transition confidence, and data-quality rules before looking at simulated outcomes. Retain auditable team-name and historical-classification crosswalks. Do not let later results leak into initial placement.</w:t>
      </w:r>
    </w:p>
    <w:p>
      <w:pPr>
        <w:pStyle w:val="Heading2"/>
      </w:pPr>
      <w:r>
        <w:t>5.2 Year-by-year simulation</w:t>
      </w:r>
    </w:p>
    <w:p>
      <w:r>
        <w:t>For 2018, generate a conference alignment and hypothetical 12-game schedules consistent with the approved framework, including at least 10 conference games and no more than two nonconference games against teams in the same or immediately adjacent competitive level. Continue through 2026, independently updating team strength and tier membership under each scenario. Respect historical program availability and transitions; treat incomplete 2026 results as provisional.</w:t>
      </w:r>
    </w:p>
    <w:p>
      <w:r>
        <w:t>Actual historical games are observations; unplayed hypothetical games are counterfactuals. Estimate hypothetical game outcomes probabilistically, with uncertainty intervals and repeated simulations. Do not present hypothetical scores, records, or conference championships as historical facts. Because schedules alter subsequent records, simulated results—not unchanged real-world records alone—must feed future promotion and relegation decisions.</w:t>
      </w:r>
    </w:p>
    <w:p>
      <w:pPr>
        <w:pStyle w:val="Heading2"/>
      </w:pPr>
      <w:r>
        <w:t>5.3 Movement-cycle scenarios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Scenario</w:t>
            </w:r>
          </w:p>
        </w:tc>
        <w:tc>
          <w:tcPr>
            <w:tcW w:type="dxa" w:w="2880"/>
          </w:tcPr>
          <w:p>
            <w:r>
              <w:t>Movement cycle</w:t>
            </w:r>
          </w:p>
        </w:tc>
        <w:tc>
          <w:tcPr>
            <w:tcW w:type="dxa" w:w="2880"/>
          </w:tcPr>
          <w:p>
            <w:r>
              <w:t>Primary question</w:t>
            </w:r>
          </w:p>
        </w:tc>
      </w:tr>
      <w:tr>
        <w:tc>
          <w:tcPr>
            <w:tcW w:type="dxa" w:w="2880"/>
          </w:tcPr>
          <w:p>
            <w:r>
              <w:t>A</w:t>
            </w:r>
          </w:p>
        </w:tc>
        <w:tc>
          <w:tcPr>
            <w:tcW w:type="dxa" w:w="2880"/>
          </w:tcPr>
          <w:p>
            <w:r>
              <w:t>Every year</w:t>
            </w:r>
          </w:p>
        </w:tc>
        <w:tc>
          <w:tcPr>
            <w:tcW w:type="dxa" w:w="2880"/>
          </w:tcPr>
          <w:p>
            <w:r>
              <w:t>Maximum responsiveness; volatility and mobility</w:t>
            </w:r>
          </w:p>
        </w:tc>
      </w:tr>
      <w:tr>
        <w:tc>
          <w:tcPr>
            <w:tcW w:type="dxa" w:w="2880"/>
          </w:tcPr>
          <w:p>
            <w:r>
              <w:t>B</w:t>
            </w:r>
          </w:p>
        </w:tc>
        <w:tc>
          <w:tcPr>
            <w:tcW w:type="dxa" w:w="2880"/>
          </w:tcPr>
          <w:p>
            <w:r>
              <w:t>Every 3 years</w:t>
            </w:r>
          </w:p>
        </w:tc>
        <w:tc>
          <w:tcPr>
            <w:tcW w:type="dxa" w:w="2880"/>
          </w:tcPr>
          <w:p>
            <w:r>
              <w:t>Balance of responsiveness and continuity</w:t>
            </w:r>
          </w:p>
        </w:tc>
      </w:tr>
      <w:tr>
        <w:tc>
          <w:tcPr>
            <w:tcW w:type="dxa" w:w="2880"/>
          </w:tcPr>
          <w:p>
            <w:r>
              <w:t>C</w:t>
            </w:r>
          </w:p>
        </w:tc>
        <w:tc>
          <w:tcPr>
            <w:tcW w:type="dxa" w:w="2880"/>
          </w:tcPr>
          <w:p>
            <w:r>
              <w:t>Every 5 years</w:t>
            </w:r>
          </w:p>
        </w:tc>
        <w:tc>
          <w:tcPr>
            <w:tcW w:type="dxa" w:w="2880"/>
          </w:tcPr>
          <w:p>
            <w:r>
              <w:t>Longer institutional stability</w:t>
            </w:r>
          </w:p>
        </w:tc>
      </w:tr>
      <w:tr>
        <w:tc>
          <w:tcPr>
            <w:tcW w:type="dxa" w:w="2880"/>
          </w:tcPr>
          <w:p>
            <w:r>
              <w:t>D</w:t>
            </w:r>
          </w:p>
        </w:tc>
        <w:tc>
          <w:tcPr>
            <w:tcW w:type="dxa" w:w="2880"/>
          </w:tcPr>
          <w:p>
            <w:r>
              <w:t>Every 10 years</w:t>
            </w:r>
          </w:p>
        </w:tc>
        <w:tc>
          <w:tcPr>
            <w:tcW w:type="dxa" w:w="2880"/>
          </w:tcPr>
          <w:p>
            <w:r>
              <w:t>Long-run stability; incomplete cycle within 2018–2026</w:t>
            </w:r>
          </w:p>
        </w:tc>
      </w:tr>
    </w:tbl>
    <w:p>
      <w:r>
        <w:t>Each scenario starts from the same 2018 alignment but independently evolves its own schedules, records, strength estimates, and tier placements. Do not merely postpone promotions calculated by the annual model. A ten-year cycle beginning in 2018 cannot complete by 2026; either extend the simulation beyond 2026 or explicitly label its comparison as an incomplete cycle.</w:t>
      </w:r>
    </w:p>
    <w:p>
      <w:pPr>
        <w:pStyle w:val="Heading2"/>
      </w:pPr>
      <w:r>
        <w:t>5.4 School-level case studies</w:t>
      </w:r>
    </w:p>
    <w:p>
      <w:r>
        <w:t>Select at least one program with meaningful variation in historical performance and compare its starting tier, annual strength, modeled opponents, promotion/relegation events, time spent in each tier, and schedule continuity across the four movement scenarios. Show both a compact one-season illustration and multi-season trajectories, without conflating a one-year performance example with a one-year promotion cycle.</w:t>
      </w:r>
    </w:p>
    <w:p>
      <w:pPr>
        <w:pStyle w:val="Heading2"/>
      </w:pPr>
      <w:r>
        <w:t>5.5 Evaluation criteria</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Metric</w:t>
            </w:r>
          </w:p>
        </w:tc>
        <w:tc>
          <w:tcPr>
            <w:tcW w:type="dxa" w:w="4320"/>
          </w:tcPr>
          <w:p>
            <w:r>
              <w:t>Evaluation question</w:t>
            </w:r>
          </w:p>
        </w:tc>
      </w:tr>
      <w:tr>
        <w:tc>
          <w:tcPr>
            <w:tcW w:type="dxa" w:w="4320"/>
          </w:tcPr>
          <w:p>
            <w:r>
              <w:t>Predicted win probability</w:t>
            </w:r>
          </w:p>
        </w:tc>
        <w:tc>
          <w:tcPr>
            <w:tcW w:type="dxa" w:w="4320"/>
          </w:tcPr>
          <w:p>
            <w:r>
              <w:t>What share of games are competitively balanced (e.g., 35–65%, with sensitivity checks)?</w:t>
            </w:r>
          </w:p>
        </w:tc>
      </w:tr>
      <w:tr>
        <w:tc>
          <w:tcPr>
            <w:tcW w:type="dxa" w:w="4320"/>
          </w:tcPr>
          <w:p>
            <w:r>
              <w:t>Expected scoring margin</w:t>
            </w:r>
          </w:p>
        </w:tc>
        <w:tc>
          <w:tcPr>
            <w:tcW w:type="dxa" w:w="4320"/>
          </w:tcPr>
          <w:p>
            <w:r>
              <w:t>Do projected blowouts decline?</w:t>
            </w:r>
          </w:p>
        </w:tc>
      </w:tr>
      <w:tr>
        <w:tc>
          <w:tcPr>
            <w:tcW w:type="dxa" w:w="4320"/>
          </w:tcPr>
          <w:p>
            <w:r>
              <w:t>Strength of schedule</w:t>
            </w:r>
          </w:p>
        </w:tc>
        <w:tc>
          <w:tcPr>
            <w:tcW w:type="dxa" w:w="4320"/>
          </w:tcPr>
          <w:p>
            <w:r>
              <w:t>Are opponents appropriately challenging across tiers?</w:t>
            </w:r>
          </w:p>
        </w:tc>
      </w:tr>
      <w:tr>
        <w:tc>
          <w:tcPr>
            <w:tcW w:type="dxa" w:w="4320"/>
          </w:tcPr>
          <w:p>
            <w:r>
              <w:t>Movement volatility and mobility</w:t>
            </w:r>
          </w:p>
        </w:tc>
        <w:tc>
          <w:tcPr>
            <w:tcW w:type="dxa" w:w="4320"/>
          </w:tcPr>
          <w:p>
            <w:r>
              <w:t>How often do teams move, and how quickly can improving teams advance?</w:t>
            </w:r>
          </w:p>
        </w:tc>
      </w:tr>
      <w:tr>
        <w:tc>
          <w:tcPr>
            <w:tcW w:type="dxa" w:w="4320"/>
          </w:tcPr>
          <w:p>
            <w:r>
              <w:t>Schedule continuity</w:t>
            </w:r>
          </w:p>
        </w:tc>
        <w:tc>
          <w:tcPr>
            <w:tcW w:type="dxa" w:w="4320"/>
          </w:tcPr>
          <w:p>
            <w:r>
              <w:t>How many opponents and conference peers change each year?</w:t>
            </w:r>
          </w:p>
        </w:tc>
      </w:tr>
      <w:tr>
        <w:tc>
          <w:tcPr>
            <w:tcW w:type="dxa" w:w="4320"/>
          </w:tcPr>
          <w:p>
            <w:r>
              <w:t>Travel geography</w:t>
            </w:r>
          </w:p>
        </w:tc>
        <w:tc>
          <w:tcPr>
            <w:tcW w:type="dxa" w:w="4320"/>
          </w:tcPr>
          <w:p>
            <w:r>
              <w:t>Are distances and logistical burdens reasonable?</w:t>
            </w:r>
          </w:p>
        </w:tc>
      </w:tr>
      <w:tr>
        <w:tc>
          <w:tcPr>
            <w:tcW w:type="dxa" w:w="4320"/>
          </w:tcPr>
          <w:p>
            <w:r>
              <w:t>Rivalry preservation</w:t>
            </w:r>
          </w:p>
        </w:tc>
        <w:tc>
          <w:tcPr>
            <w:tcW w:type="dxa" w:w="4320"/>
          </w:tcPr>
          <w:p>
            <w:r>
              <w:t>Which historical rivalries survive or disappear?</w:t>
            </w:r>
          </w:p>
        </w:tc>
      </w:tr>
      <w:tr>
        <w:tc>
          <w:tcPr>
            <w:tcW w:type="dxa" w:w="4320"/>
          </w:tcPr>
          <w:p>
            <w:r>
              <w:t>Media implications</w:t>
            </w:r>
          </w:p>
        </w:tc>
        <w:tc>
          <w:tcPr>
            <w:tcW w:type="dxa" w:w="4320"/>
          </w:tcPr>
          <w:p>
            <w:r>
              <w:t>How do projected audiences and valuable broadcast windows change?</w:t>
            </w:r>
          </w:p>
        </w:tc>
      </w:tr>
    </w:tbl>
    <w:p>
      <w:r>
        <w:t>Compare each hypothetical schedule against the actual historical schedule. Use out-of-sample validation where possible, uncertainty intervals, scenario sensitivity tests, and a clearly documented counterfactual method. Retain adjacent-tier scheduling as the baseline, with separately labeled alternative-rule sensitivity tests.</w:t>
      </w:r>
    </w:p>
    <w:p>
      <w:pPr>
        <w:pStyle w:val="Heading2"/>
      </w:pPr>
      <w:r>
        <w:t>5.6 Public-facing schedule explorer and feedback</w:t>
      </w:r>
    </w:p>
    <w:p>
      <w:r>
        <w:t>Proposed UI: Select school, season (2018–2026), movement cycle (annual/3/5/10 years), and compare actual historical schedule with hypothetical opponents, modeled competitiveness, tier history, and eventually travel costs. Show assumptions and confidence intervals. Collect structured fan feedback on fairness, rivalry preservation, travel practicality, and schedule appeal, while recognizing that voluntary public comments are not representative survey data.</w:t>
      </w:r>
    </w:p>
    <w:p>
      <w:r>
        <w:t>Pre-publication safeguard: publish simulation rules and uncertainty assumptions before interpreting results or collecting feedback, and label the explorer as illustrative until the underlying simulations are completed and audited.</w:t>
      </w:r>
    </w:p>
    <w:p>
      <w:r>
        <w:br w:type="page"/>
      </w:r>
    </w:p>
    <w:p>
      <w:pPr>
        <w:pStyle w:val="Heading1"/>
      </w:pPr>
      <w:r>
        <w:t>Proposed Phase 6 — Travel Cost and Geographic Efficiency Analysis</w:t>
      </w:r>
    </w:p>
    <w:p>
      <w:r>
        <w:t>STATUS: PLANNING ONLY — No travel-cost estimates or route-level modeling have been completed.</w:t>
      </w:r>
    </w:p>
    <w:p>
      <w:r>
        <w:t>Purpose: Compare the travel requirements of actual 2018–2026 football schedules with the hypothetical schedules produced by Phase 5, using one consistent set of 2026-dollar unit prices. This is a standardized scenario comparison, not a reconstruction of each school’s actual historical spending.</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Component</w:t>
            </w:r>
          </w:p>
        </w:tc>
        <w:tc>
          <w:tcPr>
            <w:tcW w:type="dxa" w:w="4320"/>
          </w:tcPr>
          <w:p>
            <w:r>
              <w:t>Planned treatment</w:t>
            </w:r>
          </w:p>
        </w:tc>
      </w:tr>
      <w:tr>
        <w:tc>
          <w:tcPr>
            <w:tcW w:type="dxa" w:w="4320"/>
          </w:tcPr>
          <w:p>
            <w:r>
              <w:t>Historical comparator</w:t>
            </w:r>
          </w:p>
        </w:tc>
        <w:tc>
          <w:tcPr>
            <w:tcW w:type="dxa" w:w="4320"/>
          </w:tcPr>
          <w:p>
            <w:r>
              <w:t>Actual football schedules, 2018–2026</w:t>
            </w:r>
          </w:p>
        </w:tc>
      </w:tr>
      <w:tr>
        <w:tc>
          <w:tcPr>
            <w:tcW w:type="dxa" w:w="4320"/>
          </w:tcPr>
          <w:p>
            <w:r>
              <w:t>Counterfactual comparator</w:t>
            </w:r>
          </w:p>
        </w:tc>
        <w:tc>
          <w:tcPr>
            <w:tcW w:type="dxa" w:w="4320"/>
          </w:tcPr>
          <w:p>
            <w:r>
              <w:t>Phase 5 schedules, all four movement cycles</w:t>
            </w:r>
          </w:p>
        </w:tc>
      </w:tr>
      <w:tr>
        <w:tc>
          <w:tcPr>
            <w:tcW w:type="dxa" w:w="4320"/>
          </w:tcPr>
          <w:p>
            <w:r>
              <w:t>Price basis</w:t>
            </w:r>
          </w:p>
        </w:tc>
        <w:tc>
          <w:tcPr>
            <w:tcW w:type="dxa" w:w="4320"/>
          </w:tcPr>
          <w:p>
            <w:r>
              <w:t>Common 2026-dollar assumptions</w:t>
            </w:r>
          </w:p>
        </w:tc>
      </w:tr>
      <w:tr>
        <w:tc>
          <w:tcPr>
            <w:tcW w:type="dxa" w:w="4320"/>
          </w:tcPr>
          <w:p>
            <w:r>
              <w:t>Transport</w:t>
            </w:r>
          </w:p>
        </w:tc>
        <w:tc>
          <w:tcPr>
            <w:tcW w:type="dxa" w:w="4320"/>
          </w:tcPr>
          <w:p>
            <w:r>
              <w:t>Charter/commercial flights, bus travel, local transfers</w:t>
            </w:r>
          </w:p>
        </w:tc>
      </w:tr>
      <w:tr>
        <w:tc>
          <w:tcPr>
            <w:tcW w:type="dxa" w:w="4320"/>
          </w:tcPr>
          <w:p>
            <w:r>
              <w:t>Lodging and support</w:t>
            </w:r>
          </w:p>
        </w:tc>
        <w:tc>
          <w:tcPr>
            <w:tcW w:type="dxa" w:w="4320"/>
          </w:tcPr>
          <w:p>
            <w:r>
              <w:t>Hotels, meals/per diem, equipment, contingencies</w:t>
            </w:r>
          </w:p>
        </w:tc>
      </w:tr>
      <w:tr>
        <w:tc>
          <w:tcPr>
            <w:tcW w:type="dxa" w:w="4320"/>
          </w:tcPr>
          <w:p>
            <w:r>
              <w:t>Aggregation</w:t>
            </w:r>
          </w:p>
        </w:tc>
        <w:tc>
          <w:tcPr>
            <w:tcW w:type="dxa" w:w="4320"/>
          </w:tcPr>
          <w:p>
            <w:r>
              <w:t>Game, school, conference, tier, season, system</w:t>
            </w:r>
          </w:p>
        </w:tc>
      </w:tr>
      <w:tr>
        <w:tc>
          <w:tcPr>
            <w:tcW w:type="dxa" w:w="4320"/>
          </w:tcPr>
          <w:p>
            <w:r>
              <w:t>Uncertainty</w:t>
            </w:r>
          </w:p>
        </w:tc>
        <w:tc>
          <w:tcPr>
            <w:tcW w:type="dxa" w:w="4320"/>
          </w:tcPr>
          <w:p>
            <w:r>
              <w:t>Low, base, high cost cases</w:t>
            </w:r>
          </w:p>
        </w:tc>
      </w:tr>
    </w:tbl>
    <w:p>
      <w:pPr>
        <w:pStyle w:val="Heading2"/>
      </w:pPr>
      <w:r>
        <w:t>6.1 Trip-level costing</w:t>
      </w:r>
    </w:p>
    <w:p>
      <w:r>
        <w:t>For each away contest, estimate round-trip campus-to-venue transport, hotel room-nights, meals/per diem, equipment movement, local transfers, and contingencies. Adjust traveling-party size and plausible transport mode for FBS, FCS, Division II, Division III, NAIA, and junior-college programs. Validate assumptions against disclosed institutional expenditures where definitions permit; do not treat a single institution’s annual travel figure as a universal per-game rate.</w:t>
      </w:r>
    </w:p>
    <w:p>
      <w:r>
        <w:t>Trip cost = transportation + hotels + meals/per diem + equipment logistics + other travel expenses.</w:t>
      </w:r>
    </w:p>
    <w:p>
      <w:pPr>
        <w:pStyle w:val="Heading2"/>
      </w:pPr>
      <w:r>
        <w:t>6.2 Paired historical versus hypothetical comparisons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Measure</w:t>
            </w:r>
          </w:p>
        </w:tc>
        <w:tc>
          <w:tcPr>
            <w:tcW w:type="dxa" w:w="2880"/>
          </w:tcPr>
          <w:p>
            <w:r>
              <w:t>Actual schedule</w:t>
            </w:r>
          </w:p>
        </w:tc>
        <w:tc>
          <w:tcPr>
            <w:tcW w:type="dxa" w:w="2880"/>
          </w:tcPr>
          <w:p>
            <w:r>
              <w:t>Proposed schedule</w:t>
            </w:r>
          </w:p>
        </w:tc>
      </w:tr>
      <w:tr>
        <w:tc>
          <w:tcPr>
            <w:tcW w:type="dxa" w:w="2880"/>
          </w:tcPr>
          <w:p>
            <w:r>
              <w:t>Away games</w:t>
            </w:r>
          </w:p>
        </w:tc>
        <w:tc>
          <w:tcPr>
            <w:tcW w:type="dxa" w:w="2880"/>
          </w:tcPr>
          <w:p>
            <w:r>
              <w:t>Observed</w:t>
            </w:r>
          </w:p>
        </w:tc>
        <w:tc>
          <w:tcPr>
            <w:tcW w:type="dxa" w:w="2880"/>
          </w:tcPr>
          <w:p>
            <w:r>
              <w:t>Simulated</w:t>
            </w:r>
          </w:p>
        </w:tc>
      </w:tr>
      <w:tr>
        <w:tc>
          <w:tcPr>
            <w:tcW w:type="dxa" w:w="2880"/>
          </w:tcPr>
          <w:p>
            <w:r>
              <w:t>Road/bus miles</w:t>
            </w:r>
          </w:p>
        </w:tc>
        <w:tc>
          <w:tcPr>
            <w:tcW w:type="dxa" w:w="2880"/>
          </w:tcPr>
          <w:p>
            <w:r>
              <w:t>Calculated/estimated</w:t>
            </w:r>
          </w:p>
        </w:tc>
        <w:tc>
          <w:tcPr>
            <w:tcW w:type="dxa" w:w="2880"/>
          </w:tcPr>
          <w:p>
            <w:r>
              <w:t>Calculated/estimated</w:t>
            </w:r>
          </w:p>
        </w:tc>
      </w:tr>
      <w:tr>
        <w:tc>
          <w:tcPr>
            <w:tcW w:type="dxa" w:w="2880"/>
          </w:tcPr>
          <w:p>
            <w:r>
              <w:t>Air miles</w:t>
            </w:r>
          </w:p>
        </w:tc>
        <w:tc>
          <w:tcPr>
            <w:tcW w:type="dxa" w:w="2880"/>
          </w:tcPr>
          <w:p>
            <w:r>
              <w:t>Estimated</w:t>
            </w:r>
          </w:p>
        </w:tc>
        <w:tc>
          <w:tcPr>
            <w:tcW w:type="dxa" w:w="2880"/>
          </w:tcPr>
          <w:p>
            <w:r>
              <w:t>Estimated</w:t>
            </w:r>
          </w:p>
        </w:tc>
      </w:tr>
      <w:tr>
        <w:tc>
          <w:tcPr>
            <w:tcW w:type="dxa" w:w="2880"/>
          </w:tcPr>
          <w:p>
            <w:r>
              <w:t>Hotel room-nights</w:t>
            </w:r>
          </w:p>
        </w:tc>
        <w:tc>
          <w:tcPr>
            <w:tcW w:type="dxa" w:w="2880"/>
          </w:tcPr>
          <w:p>
            <w:r>
              <w:t>Estimated</w:t>
            </w:r>
          </w:p>
        </w:tc>
        <w:tc>
          <w:tcPr>
            <w:tcW w:type="dxa" w:w="2880"/>
          </w:tcPr>
          <w:p>
            <w:r>
              <w:t>Estimated</w:t>
            </w:r>
          </w:p>
        </w:tc>
      </w:tr>
      <w:tr>
        <w:tc>
          <w:tcPr>
            <w:tcW w:type="dxa" w:w="2880"/>
          </w:tcPr>
          <w:p>
            <w:r>
              <w:t>Annual travel expense</w:t>
            </w:r>
          </w:p>
        </w:tc>
        <w:tc>
          <w:tcPr>
            <w:tcW w:type="dxa" w:w="2880"/>
          </w:tcPr>
          <w:p>
            <w:r>
              <w:t>2026-dollar estimate</w:t>
            </w:r>
          </w:p>
        </w:tc>
        <w:tc>
          <w:tcPr>
            <w:tcW w:type="dxa" w:w="2880"/>
          </w:tcPr>
          <w:p>
            <w:r>
              <w:t>2026-dollar estimate</w:t>
            </w:r>
          </w:p>
        </w:tc>
      </w:tr>
      <w:tr>
        <w:tc>
          <w:tcPr>
            <w:tcW w:type="dxa" w:w="2880"/>
          </w:tcPr>
          <w:p>
            <w:r>
              <w:t>Cost difference</w:t>
            </w:r>
          </w:p>
        </w:tc>
        <w:tc>
          <w:tcPr>
            <w:tcW w:type="dxa" w:w="2880"/>
          </w:tcPr>
          <w:p>
            <w:r>
              <w:t>Reference</w:t>
            </w:r>
          </w:p>
        </w:tc>
        <w:tc>
          <w:tcPr>
            <w:tcW w:type="dxa" w:w="2880"/>
          </w:tcPr>
          <w:p>
            <w:r>
              <w:t>Dollar and percentage change</w:t>
            </w:r>
          </w:p>
        </w:tc>
      </w:tr>
    </w:tbl>
    <w:p>
      <w:r>
        <w:t>Use the same pricing assumptions and mode-choice rules on both sides. Separate regular season, neutral-site, postseason, and unusual travel circumstances. Explicitly handle 2020 pandemic disruption, Hawaii and remote destinations, charter availability, and uncertainty in traveling-party sizes.</w:t>
      </w:r>
    </w:p>
    <w:p>
      <w:pPr>
        <w:pStyle w:val="Heading2"/>
      </w:pPr>
      <w:r>
        <w:t>6.3 Movement-frequency and geographic sensitivity</w:t>
      </w:r>
    </w:p>
    <w:p>
      <w:r>
        <w:t>Run the full travel comparison separately for annual, three-year, five-year, and ten-year movement models. Test a geography-aware scheduling preference where multiple competitively permissible opponents are available, and compare travel savings with any loss in modeled competitive balance. Geographic preferences must not silently override the approved competitive eligibility rules.</w:t>
      </w:r>
    </w:p>
    <w:p>
      <w:pPr>
        <w:pStyle w:val="Heading2"/>
      </w:pPr>
      <w:r>
        <w:t>6.4 Validation and public presentation</w:t>
      </w:r>
    </w:p>
    <w:p>
      <w:r>
        <w:t>Publish low/base/high estimates and document the distinction between standardized travel requirements and historical expenditures. Integrate school-level annual mileage, estimated costs, and changes into the Phase 5 explorer. Include definitions and assumptions so fans can critique both schedules and cost estimates. Initial Phase 6 scope is football travel only; other sports require a separate impact assessment.</w:t>
      </w:r>
    </w:p>
    <w:p>
      <w:pPr>
        <w:pStyle w:val="Heading1"/>
      </w:pPr>
      <w:r>
        <w:t>Integrated research sequence and decision gates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Stage</w:t>
            </w:r>
          </w:p>
        </w:tc>
        <w:tc>
          <w:tcPr>
            <w:tcW w:type="dxa" w:w="4320"/>
          </w:tcPr>
          <w:p>
            <w:r>
              <w:t>Decision gate / deliverable</w:t>
            </w:r>
          </w:p>
        </w:tc>
      </w:tr>
      <w:tr>
        <w:tc>
          <w:tcPr>
            <w:tcW w:type="dxa" w:w="4320"/>
          </w:tcPr>
          <w:p>
            <w:r>
              <w:t>Phase 4</w:t>
            </w:r>
          </w:p>
        </w:tc>
        <w:tc>
          <w:tcPr>
            <w:tcW w:type="dxa" w:w="4320"/>
          </w:tcPr>
          <w:p>
            <w:r>
              <w:t>Complete audience-source, kickoff, and media-rights model audits; quantify uncertainty</w:t>
            </w:r>
          </w:p>
        </w:tc>
      </w:tr>
      <w:tr>
        <w:tc>
          <w:tcPr>
            <w:tcW w:type="dxa" w:w="4320"/>
          </w:tcPr>
          <w:p>
            <w:r>
              <w:t>Financial feasibility review</w:t>
            </w:r>
          </w:p>
        </w:tc>
        <w:tc>
          <w:tcPr>
            <w:tcW w:type="dxa" w:w="4320"/>
          </w:tcPr>
          <w:p>
            <w:r>
              <w:t>Reconcile revenue pools, distribution rules, institutional obligations and downside risk</w:t>
            </w:r>
          </w:p>
        </w:tc>
      </w:tr>
      <w:tr>
        <w:tc>
          <w:tcPr>
            <w:tcW w:type="dxa" w:w="4320"/>
          </w:tcPr>
          <w:p>
            <w:r>
              <w:t>Phase 5</w:t>
            </w:r>
          </w:p>
        </w:tc>
        <w:tc>
          <w:tcPr>
            <w:tcW w:type="dxa" w:w="4320"/>
          </w:tcPr>
          <w:p>
            <w:r>
              <w:t>Freeze 2014–2017 baseline; run and validate four independent 2018–2026 counterfactuals</w:t>
            </w:r>
          </w:p>
        </w:tc>
      </w:tr>
      <w:tr>
        <w:tc>
          <w:tcPr>
            <w:tcW w:type="dxa" w:w="4320"/>
          </w:tcPr>
          <w:p>
            <w:r>
              <w:t>Phase 6</w:t>
            </w:r>
          </w:p>
        </w:tc>
        <w:tc>
          <w:tcPr>
            <w:tcW w:type="dxa" w:w="4320"/>
          </w:tcPr>
          <w:p>
            <w:r>
              <w:t>Estimate paired travel costs under uniform 2026-dollar assumptions</w:t>
            </w:r>
          </w:p>
        </w:tc>
      </w:tr>
      <w:tr>
        <w:tc>
          <w:tcPr>
            <w:tcW w:type="dxa" w:w="4320"/>
          </w:tcPr>
          <w:p>
            <w:r>
              <w:t>Public explorer</w:t>
            </w:r>
          </w:p>
        </w:tc>
        <w:tc>
          <w:tcPr>
            <w:tcW w:type="dxa" w:w="4320"/>
          </w:tcPr>
          <w:p>
            <w:r>
              <w:t>Release documented schedule, tier, audience, and travel comparisons with structured feedback</w:t>
            </w:r>
          </w:p>
        </w:tc>
      </w:tr>
    </w:tbl>
    <w:p>
      <w:r>
        <w:t>Research governance: Preserve historical-versus-simulated labels; retain original data and provenance; document all changes; release reproducible methods; distinguish descriptive findings, predictive estimates, financial scenarios, and policy recommendations. A strong result would demonstrate competitive gains and a credible media/financial case without unacceptable institutional or travel burdens.</w:t>
      </w:r>
    </w:p>
    <w:sectPr w:rsidR="00FC693F" w:rsidRPr="0006063C" w:rsidSect="00034616">
      <w:headerReference w:type="default" r:id="rId9"/>
      <w:pgSz w:w="12240" w:h="15840"/>
      <w:pgMar w:top="1080" w:right="1800" w:bottom="1008" w:left="180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PHASE 4  |  COLLEGE FOOTBALL TELEVISION AUDIENCE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75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375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375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