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B38A9" w14:textId="440FF928" w:rsidR="005650D6" w:rsidRDefault="00350F31" w:rsidP="005650D6">
      <w:pPr>
        <w:pStyle w:val="Title"/>
      </w:pPr>
      <w:r>
        <w:t>Negotiating funding agreements</w:t>
      </w:r>
    </w:p>
    <w:p w14:paraId="60C96A2F" w14:textId="77777777" w:rsidR="005650D6" w:rsidRPr="005650D6" w:rsidRDefault="005650D6" w:rsidP="005650D6"/>
    <w:p w14:paraId="1E74CC53" w14:textId="01CF42C7" w:rsidR="00E6156F" w:rsidRPr="005A4C30" w:rsidRDefault="00E6156F" w:rsidP="00E6156F">
      <w:pPr>
        <w:pStyle w:val="Heading2"/>
        <w:rPr>
          <w:rFonts w:ascii="Arial" w:hAnsi="Arial" w:cs="Arial"/>
        </w:rPr>
      </w:pPr>
      <w:r w:rsidRPr="005A4C30">
        <w:rPr>
          <w:rFonts w:ascii="Arial" w:hAnsi="Arial" w:cs="Arial"/>
        </w:rPr>
        <w:t>Typical points to negotiate with funders</w:t>
      </w:r>
    </w:p>
    <w:p w14:paraId="2169B452" w14:textId="3BA75BAD" w:rsidR="00350F31" w:rsidRPr="005A4C30" w:rsidRDefault="00350F31" w:rsidP="00E6156F">
      <w:pPr>
        <w:jc w:val="both"/>
        <w:rPr>
          <w:rFonts w:ascii="Arial" w:hAnsi="Arial"/>
        </w:rPr>
      </w:pPr>
      <w:r w:rsidRPr="005A4C30">
        <w:rPr>
          <w:rFonts w:ascii="Arial" w:hAnsi="Arial"/>
        </w:rPr>
        <w:t>The conditions imposed by funders vary enormously but typically include:</w:t>
      </w:r>
    </w:p>
    <w:p w14:paraId="6F377FC2" w14:textId="77777777" w:rsidR="00350F31" w:rsidRPr="005A4C30" w:rsidRDefault="00350F31" w:rsidP="00350F31">
      <w:pPr>
        <w:pStyle w:val="ListParagraph"/>
        <w:ind w:left="360"/>
        <w:jc w:val="both"/>
        <w:rPr>
          <w:rFonts w:ascii="Arial" w:hAnsi="Arial"/>
        </w:rPr>
      </w:pPr>
    </w:p>
    <w:p w14:paraId="3F2D2ABD" w14:textId="77777777" w:rsidR="00350F31" w:rsidRPr="005A4C30" w:rsidRDefault="00350F31" w:rsidP="00350F31">
      <w:pPr>
        <w:pStyle w:val="ListParagraph"/>
        <w:numPr>
          <w:ilvl w:val="0"/>
          <w:numId w:val="6"/>
        </w:numPr>
        <w:spacing w:after="240"/>
        <w:ind w:left="714" w:hanging="357"/>
        <w:contextualSpacing w:val="0"/>
        <w:jc w:val="both"/>
        <w:rPr>
          <w:rFonts w:ascii="Arial" w:hAnsi="Arial"/>
        </w:rPr>
      </w:pPr>
      <w:r w:rsidRPr="005A4C30">
        <w:rPr>
          <w:rFonts w:ascii="Arial" w:hAnsi="Arial"/>
          <w:b/>
        </w:rPr>
        <w:t xml:space="preserve">Co-financing/match-funding requirements: </w:t>
      </w:r>
      <w:r w:rsidRPr="005A4C30">
        <w:rPr>
          <w:rFonts w:ascii="Arial" w:hAnsi="Arial"/>
        </w:rPr>
        <w:t>How much you need to provide, when by and in what format. For example, is it necessary that all co-funding has a shared logical framework?</w:t>
      </w:r>
    </w:p>
    <w:p w14:paraId="42CD78D7" w14:textId="29E8E38C" w:rsidR="00350F31" w:rsidRPr="005A4C30" w:rsidRDefault="00350F31" w:rsidP="00350F31">
      <w:pPr>
        <w:pStyle w:val="ListParagraph"/>
        <w:numPr>
          <w:ilvl w:val="0"/>
          <w:numId w:val="6"/>
        </w:numPr>
        <w:spacing w:after="240"/>
        <w:ind w:left="714" w:hanging="357"/>
        <w:contextualSpacing w:val="0"/>
        <w:jc w:val="both"/>
        <w:rPr>
          <w:rFonts w:ascii="Arial" w:hAnsi="Arial"/>
        </w:rPr>
      </w:pPr>
      <w:r w:rsidRPr="005A4C30">
        <w:rPr>
          <w:rFonts w:ascii="Arial" w:hAnsi="Arial"/>
          <w:b/>
        </w:rPr>
        <w:t>Progress reports</w:t>
      </w:r>
      <w:r w:rsidRPr="005A4C30">
        <w:rPr>
          <w:rFonts w:ascii="Arial" w:hAnsi="Arial"/>
        </w:rPr>
        <w:t xml:space="preserve">: The </w:t>
      </w:r>
      <w:r w:rsidRPr="005A4C30">
        <w:rPr>
          <w:rFonts w:ascii="Arial" w:hAnsi="Arial"/>
        </w:rPr>
        <w:t>funding</w:t>
      </w:r>
      <w:r w:rsidRPr="005A4C30">
        <w:rPr>
          <w:rFonts w:ascii="Arial" w:hAnsi="Arial"/>
        </w:rPr>
        <w:t xml:space="preserve"> agreement/contract will almost always state reporting frequency, format and style.</w:t>
      </w:r>
    </w:p>
    <w:p w14:paraId="5FA1A453" w14:textId="69ED51B3" w:rsidR="00350F31" w:rsidRPr="005A4C30" w:rsidRDefault="00350F31" w:rsidP="00350F31">
      <w:pPr>
        <w:pStyle w:val="ListParagraph"/>
        <w:numPr>
          <w:ilvl w:val="0"/>
          <w:numId w:val="6"/>
        </w:numPr>
        <w:spacing w:after="240"/>
        <w:ind w:left="714" w:hanging="357"/>
        <w:contextualSpacing w:val="0"/>
        <w:jc w:val="both"/>
        <w:rPr>
          <w:rFonts w:ascii="Arial" w:hAnsi="Arial"/>
        </w:rPr>
      </w:pPr>
      <w:r w:rsidRPr="005A4C30">
        <w:rPr>
          <w:rFonts w:ascii="Arial" w:hAnsi="Arial"/>
          <w:b/>
        </w:rPr>
        <w:t xml:space="preserve">Procurement guidelines: </w:t>
      </w:r>
      <w:r w:rsidRPr="005A4C30">
        <w:rPr>
          <w:rFonts w:ascii="Arial" w:hAnsi="Arial"/>
        </w:rPr>
        <w:t xml:space="preserve">The </w:t>
      </w:r>
      <w:r w:rsidRPr="005A4C30">
        <w:rPr>
          <w:rFonts w:ascii="Arial" w:hAnsi="Arial"/>
        </w:rPr>
        <w:t>funding</w:t>
      </w:r>
      <w:r w:rsidRPr="005A4C30">
        <w:rPr>
          <w:rFonts w:ascii="Arial" w:hAnsi="Arial"/>
        </w:rPr>
        <w:t xml:space="preserve"> agreement/contract and/or its appendices may detail what procedures must be followed for purchases, such as the need to obtain a certain number of quotations for items over a set amount, and/or restrictions on where to buy items.</w:t>
      </w:r>
    </w:p>
    <w:p w14:paraId="5729E449" w14:textId="77777777" w:rsidR="00350F31" w:rsidRPr="005A4C30" w:rsidRDefault="00350F31" w:rsidP="00350F31">
      <w:pPr>
        <w:pStyle w:val="ListParagraph"/>
        <w:numPr>
          <w:ilvl w:val="0"/>
          <w:numId w:val="6"/>
        </w:numPr>
        <w:spacing w:after="240"/>
        <w:ind w:left="714" w:hanging="357"/>
        <w:contextualSpacing w:val="0"/>
        <w:jc w:val="both"/>
        <w:rPr>
          <w:rFonts w:ascii="Arial" w:hAnsi="Arial"/>
        </w:rPr>
      </w:pPr>
      <w:r w:rsidRPr="005A4C30">
        <w:rPr>
          <w:rFonts w:ascii="Arial" w:hAnsi="Arial"/>
          <w:b/>
        </w:rPr>
        <w:t>Scope and designation of funds</w:t>
      </w:r>
      <w:r w:rsidRPr="005A4C30">
        <w:rPr>
          <w:rFonts w:ascii="Arial" w:hAnsi="Arial"/>
        </w:rPr>
        <w:t>: What funds may, or may not, be used for; whether funds can be carried forward from one financial year to the next.</w:t>
      </w:r>
    </w:p>
    <w:p w14:paraId="7D27A014" w14:textId="61F82970" w:rsidR="00350F31" w:rsidRPr="005A4C30" w:rsidRDefault="00350F31" w:rsidP="00350F31">
      <w:pPr>
        <w:pStyle w:val="ListParagraph"/>
        <w:numPr>
          <w:ilvl w:val="0"/>
          <w:numId w:val="6"/>
        </w:numPr>
        <w:spacing w:after="240"/>
        <w:ind w:left="714" w:hanging="357"/>
        <w:contextualSpacing w:val="0"/>
        <w:jc w:val="both"/>
        <w:rPr>
          <w:rFonts w:ascii="Arial" w:hAnsi="Arial"/>
        </w:rPr>
      </w:pPr>
      <w:r w:rsidRPr="005A4C30">
        <w:rPr>
          <w:rFonts w:ascii="Arial" w:hAnsi="Arial"/>
          <w:b/>
        </w:rPr>
        <w:t>Administrative overheads</w:t>
      </w:r>
      <w:r w:rsidRPr="005A4C30">
        <w:rPr>
          <w:rFonts w:ascii="Arial" w:hAnsi="Arial"/>
        </w:rPr>
        <w:t xml:space="preserve">: The specific items that are allowable or excluded. It may also detail whether overheads can be charged as a percentage of the total </w:t>
      </w:r>
      <w:r w:rsidRPr="005A4C30">
        <w:rPr>
          <w:rFonts w:ascii="Arial" w:hAnsi="Arial"/>
        </w:rPr>
        <w:t>amount funded</w:t>
      </w:r>
      <w:r w:rsidRPr="005A4C30">
        <w:rPr>
          <w:rFonts w:ascii="Arial" w:hAnsi="Arial"/>
        </w:rPr>
        <w:t>, or as a percentage of actual expenditure. This is information that your finance team will need to know.</w:t>
      </w:r>
    </w:p>
    <w:p w14:paraId="74351E1E" w14:textId="155B88B7" w:rsidR="00350F31" w:rsidRPr="005A4C30" w:rsidRDefault="00350F31" w:rsidP="00350F31">
      <w:pPr>
        <w:pStyle w:val="ListParagraph"/>
        <w:numPr>
          <w:ilvl w:val="0"/>
          <w:numId w:val="6"/>
        </w:numPr>
        <w:spacing w:after="240"/>
        <w:ind w:left="714" w:hanging="357"/>
        <w:contextualSpacing w:val="0"/>
        <w:jc w:val="both"/>
        <w:rPr>
          <w:rFonts w:ascii="Arial" w:hAnsi="Arial"/>
        </w:rPr>
      </w:pPr>
      <w:r w:rsidRPr="005A4C30">
        <w:rPr>
          <w:rFonts w:ascii="Arial" w:hAnsi="Arial"/>
          <w:b/>
        </w:rPr>
        <w:t>Budget line items</w:t>
      </w:r>
      <w:r w:rsidRPr="005A4C30">
        <w:rPr>
          <w:rFonts w:ascii="Arial" w:hAnsi="Arial"/>
        </w:rPr>
        <w:t xml:space="preserve">: Specific budget headings/account classifications which correspond with the original </w:t>
      </w:r>
      <w:r w:rsidRPr="005A4C30">
        <w:rPr>
          <w:rFonts w:ascii="Arial" w:hAnsi="Arial"/>
        </w:rPr>
        <w:t>funding</w:t>
      </w:r>
      <w:r w:rsidRPr="005A4C30">
        <w:rPr>
          <w:rFonts w:ascii="Arial" w:hAnsi="Arial"/>
        </w:rPr>
        <w:t xml:space="preserve"> application.</w:t>
      </w:r>
    </w:p>
    <w:p w14:paraId="34D152AB" w14:textId="77777777" w:rsidR="00350F31" w:rsidRPr="005A4C30" w:rsidRDefault="00350F31" w:rsidP="00350F31">
      <w:pPr>
        <w:pStyle w:val="ListParagraph"/>
        <w:numPr>
          <w:ilvl w:val="0"/>
          <w:numId w:val="6"/>
        </w:numPr>
        <w:spacing w:after="240"/>
        <w:ind w:left="714" w:hanging="357"/>
        <w:contextualSpacing w:val="0"/>
        <w:jc w:val="both"/>
        <w:rPr>
          <w:rFonts w:ascii="Arial" w:hAnsi="Arial"/>
        </w:rPr>
      </w:pPr>
      <w:r w:rsidRPr="005A4C30">
        <w:rPr>
          <w:rFonts w:ascii="Arial" w:hAnsi="Arial"/>
          <w:b/>
        </w:rPr>
        <w:t>Virement policy</w:t>
      </w:r>
      <w:r w:rsidRPr="005A4C30">
        <w:rPr>
          <w:rFonts w:ascii="Arial" w:hAnsi="Arial"/>
        </w:rPr>
        <w:t>: i.e. permission (or otherwise) to transfer surpluses in the budget from one budget heading to another, and within what limits.</w:t>
      </w:r>
    </w:p>
    <w:p w14:paraId="5D5D4801" w14:textId="40ACB0C2" w:rsidR="00350F31" w:rsidRPr="005A4C30" w:rsidRDefault="00350F31" w:rsidP="00350F31">
      <w:pPr>
        <w:pStyle w:val="ListParagraph"/>
        <w:numPr>
          <w:ilvl w:val="0"/>
          <w:numId w:val="6"/>
        </w:numPr>
        <w:spacing w:after="240"/>
        <w:ind w:left="714" w:hanging="357"/>
        <w:contextualSpacing w:val="0"/>
        <w:jc w:val="both"/>
        <w:rPr>
          <w:rFonts w:ascii="Arial" w:hAnsi="Arial"/>
        </w:rPr>
      </w:pPr>
      <w:r w:rsidRPr="005A4C30">
        <w:rPr>
          <w:rFonts w:ascii="Arial" w:hAnsi="Arial"/>
          <w:b/>
        </w:rPr>
        <w:t>Accounting methods</w:t>
      </w:r>
      <w:r w:rsidRPr="005A4C30">
        <w:rPr>
          <w:rFonts w:ascii="Arial" w:hAnsi="Arial"/>
        </w:rPr>
        <w:t xml:space="preserve">: For example, the </w:t>
      </w:r>
      <w:r w:rsidRPr="005A4C30">
        <w:rPr>
          <w:rFonts w:ascii="Arial" w:hAnsi="Arial"/>
        </w:rPr>
        <w:t>funding</w:t>
      </w:r>
      <w:r w:rsidRPr="005A4C30">
        <w:rPr>
          <w:rFonts w:ascii="Arial" w:hAnsi="Arial"/>
        </w:rPr>
        <w:t xml:space="preserve"> agreement/contract may specify how to keep accounting records and the basis for reporting on them e.g. accruals or cash accounting.</w:t>
      </w:r>
    </w:p>
    <w:p w14:paraId="5EA03F0E" w14:textId="77777777" w:rsidR="00350F31" w:rsidRPr="005A4C30" w:rsidRDefault="00350F31" w:rsidP="00350F31">
      <w:pPr>
        <w:pStyle w:val="ListParagraph"/>
        <w:numPr>
          <w:ilvl w:val="0"/>
          <w:numId w:val="6"/>
        </w:numPr>
        <w:spacing w:after="240"/>
        <w:ind w:left="714" w:hanging="357"/>
        <w:contextualSpacing w:val="0"/>
        <w:jc w:val="both"/>
        <w:rPr>
          <w:rFonts w:ascii="Arial" w:hAnsi="Arial"/>
        </w:rPr>
      </w:pPr>
      <w:r w:rsidRPr="005A4C30">
        <w:rPr>
          <w:rFonts w:ascii="Arial" w:hAnsi="Arial"/>
          <w:b/>
        </w:rPr>
        <w:t>Reporting format</w:t>
      </w:r>
      <w:r w:rsidRPr="005A4C30">
        <w:rPr>
          <w:rFonts w:ascii="Arial" w:hAnsi="Arial"/>
        </w:rPr>
        <w:t>: For example, do they ask for line by line expenditure reporting, or are summary totals sufficient?</w:t>
      </w:r>
    </w:p>
    <w:p w14:paraId="449FDD1E" w14:textId="77777777" w:rsidR="00350F31" w:rsidRPr="005A4C30" w:rsidRDefault="00350F31" w:rsidP="00350F31">
      <w:pPr>
        <w:pStyle w:val="ListParagraph"/>
        <w:numPr>
          <w:ilvl w:val="0"/>
          <w:numId w:val="6"/>
        </w:numPr>
        <w:spacing w:after="240"/>
        <w:ind w:left="714" w:hanging="357"/>
        <w:contextualSpacing w:val="0"/>
        <w:jc w:val="both"/>
        <w:rPr>
          <w:rFonts w:ascii="Arial" w:hAnsi="Arial"/>
        </w:rPr>
      </w:pPr>
      <w:r w:rsidRPr="005A4C30">
        <w:rPr>
          <w:rFonts w:ascii="Arial" w:hAnsi="Arial"/>
          <w:b/>
        </w:rPr>
        <w:t>Supporting documentation</w:t>
      </w:r>
      <w:r w:rsidRPr="005A4C30">
        <w:rPr>
          <w:rFonts w:ascii="Arial" w:hAnsi="Arial"/>
        </w:rPr>
        <w:t>: For example, do you need to provide original or copies of receipts?</w:t>
      </w:r>
    </w:p>
    <w:p w14:paraId="43F2AA5B" w14:textId="77777777" w:rsidR="00350F31" w:rsidRPr="005A4C30" w:rsidRDefault="00350F31" w:rsidP="00350F31">
      <w:pPr>
        <w:pStyle w:val="ListParagraph"/>
        <w:numPr>
          <w:ilvl w:val="0"/>
          <w:numId w:val="6"/>
        </w:numPr>
        <w:spacing w:after="240"/>
        <w:ind w:left="714" w:hanging="357"/>
        <w:contextualSpacing w:val="0"/>
        <w:jc w:val="both"/>
        <w:rPr>
          <w:rFonts w:ascii="Arial" w:hAnsi="Arial"/>
        </w:rPr>
      </w:pPr>
      <w:r w:rsidRPr="005A4C30">
        <w:rPr>
          <w:rFonts w:ascii="Arial" w:hAnsi="Arial"/>
          <w:b/>
        </w:rPr>
        <w:t>Bank accounts and interest:</w:t>
      </w:r>
      <w:r w:rsidRPr="005A4C30">
        <w:rPr>
          <w:rFonts w:ascii="Arial" w:hAnsi="Arial"/>
        </w:rPr>
        <w:t xml:space="preserve"> For example, separate bank accounts may be required by some funders. There may also be rules on what you are able to do with any interest earned on sums invested.</w:t>
      </w:r>
    </w:p>
    <w:p w14:paraId="4F7E3275" w14:textId="5E6AD7AA" w:rsidR="00350F31" w:rsidRPr="005A4C30" w:rsidRDefault="00350F31" w:rsidP="00350F31">
      <w:pPr>
        <w:pStyle w:val="ListParagraph"/>
        <w:numPr>
          <w:ilvl w:val="0"/>
          <w:numId w:val="6"/>
        </w:numPr>
        <w:spacing w:after="240"/>
        <w:ind w:left="714" w:hanging="357"/>
        <w:contextualSpacing w:val="0"/>
        <w:jc w:val="both"/>
        <w:rPr>
          <w:rFonts w:ascii="Arial" w:hAnsi="Arial"/>
        </w:rPr>
      </w:pPr>
      <w:r w:rsidRPr="005A4C30">
        <w:rPr>
          <w:rFonts w:ascii="Arial" w:hAnsi="Arial"/>
          <w:b/>
        </w:rPr>
        <w:t>Equipment:</w:t>
      </w:r>
      <w:r w:rsidRPr="005A4C30">
        <w:rPr>
          <w:rFonts w:ascii="Arial" w:hAnsi="Arial"/>
        </w:rPr>
        <w:t xml:space="preserve"> The </w:t>
      </w:r>
      <w:r w:rsidRPr="005A4C30">
        <w:rPr>
          <w:rFonts w:ascii="Arial" w:hAnsi="Arial"/>
        </w:rPr>
        <w:t>funding</w:t>
      </w:r>
      <w:r w:rsidRPr="005A4C30">
        <w:rPr>
          <w:rFonts w:ascii="Arial" w:hAnsi="Arial"/>
        </w:rPr>
        <w:t xml:space="preserve"> agreement/contract and/or appendices may tell you how to treat fixed assets purchased, and how to dispose of equipment at the end of a project.</w:t>
      </w:r>
    </w:p>
    <w:p w14:paraId="3762A4B2" w14:textId="77777777" w:rsidR="00350F31" w:rsidRPr="005A4C30" w:rsidRDefault="00350F31" w:rsidP="00350F31">
      <w:pPr>
        <w:pStyle w:val="ListParagraph"/>
        <w:numPr>
          <w:ilvl w:val="0"/>
          <w:numId w:val="6"/>
        </w:numPr>
        <w:spacing w:after="240"/>
        <w:ind w:left="714" w:hanging="357"/>
        <w:contextualSpacing w:val="0"/>
        <w:jc w:val="both"/>
        <w:rPr>
          <w:rFonts w:ascii="Arial" w:hAnsi="Arial"/>
        </w:rPr>
      </w:pPr>
      <w:r w:rsidRPr="005A4C30">
        <w:rPr>
          <w:rFonts w:ascii="Arial" w:hAnsi="Arial"/>
          <w:b/>
        </w:rPr>
        <w:t>External audit</w:t>
      </w:r>
      <w:r w:rsidRPr="005A4C30">
        <w:rPr>
          <w:rFonts w:ascii="Arial" w:hAnsi="Arial"/>
        </w:rPr>
        <w:t>. Some funders require a separate external audit, which should be budgeted for in terms of actual costs plus staff time to support.</w:t>
      </w:r>
    </w:p>
    <w:p w14:paraId="5E55139C" w14:textId="77777777" w:rsidR="00350F31" w:rsidRPr="005A4C30" w:rsidRDefault="00350F31" w:rsidP="00350F31">
      <w:pPr>
        <w:pStyle w:val="ListParagraph"/>
        <w:numPr>
          <w:ilvl w:val="0"/>
          <w:numId w:val="6"/>
        </w:numPr>
        <w:spacing w:after="240"/>
        <w:ind w:left="714" w:hanging="357"/>
        <w:contextualSpacing w:val="0"/>
        <w:jc w:val="both"/>
        <w:rPr>
          <w:rFonts w:ascii="Arial" w:hAnsi="Arial"/>
        </w:rPr>
      </w:pPr>
      <w:r w:rsidRPr="005A4C30">
        <w:rPr>
          <w:rFonts w:ascii="Arial" w:hAnsi="Arial"/>
          <w:b/>
        </w:rPr>
        <w:t>Staff appointments:</w:t>
      </w:r>
      <w:r w:rsidRPr="005A4C30">
        <w:rPr>
          <w:rFonts w:ascii="Arial" w:hAnsi="Arial"/>
        </w:rPr>
        <w:t xml:space="preserve"> Salary scales may be fixed; funders may ask to approve appointments.</w:t>
      </w:r>
    </w:p>
    <w:p w14:paraId="00DE2470" w14:textId="2EE9ECFF" w:rsidR="00350F31" w:rsidRPr="005A4C30" w:rsidRDefault="00350F31" w:rsidP="00350F31">
      <w:pPr>
        <w:pStyle w:val="ListParagraph"/>
        <w:numPr>
          <w:ilvl w:val="0"/>
          <w:numId w:val="6"/>
        </w:numPr>
        <w:spacing w:after="240"/>
        <w:ind w:left="714" w:hanging="357"/>
        <w:contextualSpacing w:val="0"/>
        <w:jc w:val="both"/>
        <w:rPr>
          <w:rFonts w:ascii="Arial" w:hAnsi="Arial"/>
        </w:rPr>
      </w:pPr>
      <w:r w:rsidRPr="005A4C30">
        <w:rPr>
          <w:rFonts w:ascii="Arial" w:hAnsi="Arial"/>
          <w:b/>
        </w:rPr>
        <w:t xml:space="preserve">The currency in which the </w:t>
      </w:r>
      <w:r w:rsidRPr="005A4C30">
        <w:rPr>
          <w:rFonts w:ascii="Arial" w:hAnsi="Arial"/>
          <w:b/>
        </w:rPr>
        <w:t>funds are</w:t>
      </w:r>
      <w:r w:rsidRPr="005A4C30">
        <w:rPr>
          <w:rFonts w:ascii="Arial" w:hAnsi="Arial"/>
          <w:b/>
        </w:rPr>
        <w:t xml:space="preserve"> transferred and reported: </w:t>
      </w:r>
      <w:r w:rsidRPr="005A4C30">
        <w:rPr>
          <w:rFonts w:ascii="Arial" w:hAnsi="Arial"/>
        </w:rPr>
        <w:t xml:space="preserve">See the later section </w:t>
      </w:r>
      <w:r w:rsidRPr="005A4C30">
        <w:rPr>
          <w:rFonts w:ascii="Arial" w:hAnsi="Arial"/>
        </w:rPr>
        <w:t xml:space="preserve">in the course </w:t>
      </w:r>
      <w:r w:rsidRPr="005A4C30">
        <w:rPr>
          <w:rFonts w:ascii="Arial" w:hAnsi="Arial"/>
        </w:rPr>
        <w:t>on currency exchange.</w:t>
      </w:r>
    </w:p>
    <w:p w14:paraId="65288B37" w14:textId="77777777" w:rsidR="00350F31" w:rsidRPr="005A4C30" w:rsidRDefault="00350F31" w:rsidP="00350F31">
      <w:pPr>
        <w:pStyle w:val="ListParagraph"/>
        <w:numPr>
          <w:ilvl w:val="0"/>
          <w:numId w:val="6"/>
        </w:numPr>
        <w:spacing w:after="240"/>
        <w:ind w:left="714" w:hanging="357"/>
        <w:contextualSpacing w:val="0"/>
        <w:jc w:val="both"/>
        <w:rPr>
          <w:rFonts w:ascii="Arial" w:hAnsi="Arial"/>
        </w:rPr>
      </w:pPr>
      <w:r w:rsidRPr="005A4C30">
        <w:rPr>
          <w:rFonts w:ascii="Arial" w:hAnsi="Arial"/>
          <w:b/>
        </w:rPr>
        <w:t xml:space="preserve">What happens with any surplus: </w:t>
      </w:r>
      <w:r w:rsidRPr="005A4C30">
        <w:rPr>
          <w:rFonts w:ascii="Arial" w:hAnsi="Arial"/>
        </w:rPr>
        <w:t>Does it have to be returned to the funder on an annual basis, or can you negotiate reallocation?</w:t>
      </w:r>
    </w:p>
    <w:p w14:paraId="5F71B577" w14:textId="77777777" w:rsidR="00350F31" w:rsidRPr="005A4C30" w:rsidRDefault="00350F31" w:rsidP="00350F31">
      <w:pPr>
        <w:pStyle w:val="ListParagraph"/>
        <w:ind w:left="360"/>
        <w:rPr>
          <w:rFonts w:ascii="Arial" w:hAnsi="Arial"/>
        </w:rPr>
      </w:pPr>
    </w:p>
    <w:p w14:paraId="5D8A496E" w14:textId="14DB0E68" w:rsidR="00350F31" w:rsidRPr="005A4C30" w:rsidRDefault="00350F31" w:rsidP="00350F31">
      <w:pPr>
        <w:pStyle w:val="Heading2"/>
        <w:rPr>
          <w:rFonts w:ascii="Arial" w:hAnsi="Arial" w:cs="Arial"/>
        </w:rPr>
      </w:pPr>
      <w:bookmarkStart w:id="0" w:name="__RefHeading__7343_674999171"/>
      <w:bookmarkStart w:id="1" w:name="__RefHeading__7345_674999171"/>
      <w:bookmarkStart w:id="2" w:name="_Toc419369519"/>
      <w:bookmarkStart w:id="3" w:name="_Toc419366848"/>
      <w:bookmarkStart w:id="4" w:name="_Toc421256000"/>
      <w:bookmarkStart w:id="5" w:name="_Toc424130930"/>
      <w:bookmarkStart w:id="6" w:name="_Toc424131379"/>
      <w:bookmarkStart w:id="7" w:name="_Toc431472114"/>
      <w:bookmarkStart w:id="8" w:name="_Toc431551928"/>
      <w:bookmarkStart w:id="9" w:name="_Toc431552004"/>
      <w:bookmarkStart w:id="10" w:name="_Toc481149290"/>
      <w:bookmarkStart w:id="11" w:name="_Toc482082819"/>
      <w:bookmarkStart w:id="12" w:name="_Toc10460334"/>
      <w:bookmarkStart w:id="13" w:name="_Toc14182321"/>
      <w:bookmarkEnd w:id="0"/>
      <w:bookmarkEnd w:id="1"/>
      <w:r w:rsidRPr="005A4C30">
        <w:rPr>
          <w:rFonts w:ascii="Arial" w:hAnsi="Arial" w:cs="Arial"/>
        </w:rPr>
        <w:t xml:space="preserve">How to review a </w:t>
      </w:r>
      <w:r w:rsidRPr="005A4C30">
        <w:rPr>
          <w:rFonts w:ascii="Arial" w:hAnsi="Arial" w:cs="Arial"/>
        </w:rPr>
        <w:t>funding</w:t>
      </w:r>
      <w:r w:rsidRPr="005A4C30">
        <w:rPr>
          <w:rFonts w:ascii="Arial" w:hAnsi="Arial" w:cs="Arial"/>
        </w:rPr>
        <w:t xml:space="preserve"> agreement/contract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1D2FF853" w14:textId="77777777" w:rsidR="00350F31" w:rsidRPr="005A4C30" w:rsidRDefault="00350F31" w:rsidP="00350F31">
      <w:pPr>
        <w:shd w:val="clear" w:color="auto" w:fill="FFFFFF"/>
        <w:spacing w:after="200" w:line="276" w:lineRule="auto"/>
        <w:rPr>
          <w:rFonts w:ascii="Arial" w:hAnsi="Arial"/>
          <w:b/>
        </w:rPr>
      </w:pPr>
    </w:p>
    <w:p w14:paraId="54564930" w14:textId="77777777" w:rsidR="00350F31" w:rsidRPr="005A4C30" w:rsidRDefault="00350F31" w:rsidP="00350F31">
      <w:pPr>
        <w:shd w:val="clear" w:color="auto" w:fill="FFFFFF"/>
        <w:spacing w:after="200" w:line="276" w:lineRule="auto"/>
        <w:rPr>
          <w:rFonts w:ascii="Arial" w:hAnsi="Arial"/>
        </w:rPr>
      </w:pPr>
      <w:r w:rsidRPr="005A4C30">
        <w:rPr>
          <w:rFonts w:ascii="Arial" w:hAnsi="Arial"/>
        </w:rPr>
        <w:t>Read through the following table:</w:t>
      </w:r>
    </w:p>
    <w:tbl>
      <w:tblPr>
        <w:tblW w:w="8319" w:type="dxa"/>
        <w:tblInd w:w="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66"/>
        <w:gridCol w:w="4253"/>
      </w:tblGrid>
      <w:tr w:rsidR="00350F31" w:rsidRPr="005A4C30" w14:paraId="6119E272" w14:textId="77777777" w:rsidTr="0049624D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42A9C1" w14:textId="77777777" w:rsidR="00350F31" w:rsidRPr="005A4C30" w:rsidRDefault="00350F31" w:rsidP="0049624D">
            <w:pPr>
              <w:pStyle w:val="ListParagraph"/>
              <w:ind w:left="0"/>
              <w:jc w:val="center"/>
              <w:rPr>
                <w:rFonts w:ascii="Arial" w:hAnsi="Arial"/>
                <w:b/>
              </w:rPr>
            </w:pPr>
            <w:r w:rsidRPr="005A4C30">
              <w:rPr>
                <w:rFonts w:ascii="Arial" w:hAnsi="Arial"/>
                <w:b/>
              </w:rPr>
              <w:t>Condition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77197E" w14:textId="77777777" w:rsidR="00350F31" w:rsidRPr="005A4C30" w:rsidRDefault="00350F31" w:rsidP="0049624D">
            <w:pPr>
              <w:pStyle w:val="ListParagraph"/>
              <w:ind w:left="0"/>
              <w:jc w:val="center"/>
              <w:rPr>
                <w:rFonts w:ascii="Arial" w:hAnsi="Arial"/>
                <w:b/>
              </w:rPr>
            </w:pPr>
            <w:r w:rsidRPr="005A4C30">
              <w:rPr>
                <w:rFonts w:ascii="Arial" w:hAnsi="Arial"/>
                <w:b/>
              </w:rPr>
              <w:t>Action</w:t>
            </w:r>
          </w:p>
        </w:tc>
      </w:tr>
      <w:tr w:rsidR="00350F31" w:rsidRPr="005A4C30" w14:paraId="450286ED" w14:textId="77777777" w:rsidTr="0049624D">
        <w:tblPrEx>
          <w:tblCellMar>
            <w:top w:w="0" w:type="dxa"/>
            <w:bottom w:w="0" w:type="dxa"/>
          </w:tblCellMar>
        </w:tblPrEx>
        <w:trPr>
          <w:trHeight w:val="697"/>
        </w:trPr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109EE" w14:textId="77777777" w:rsidR="00350F31" w:rsidRPr="005A4C30" w:rsidRDefault="00350F31" w:rsidP="0049624D">
            <w:pPr>
              <w:pStyle w:val="ListParagraph"/>
              <w:ind w:left="0"/>
              <w:rPr>
                <w:rFonts w:ascii="Arial" w:hAnsi="Arial"/>
              </w:rPr>
            </w:pPr>
            <w:r w:rsidRPr="005A4C30">
              <w:rPr>
                <w:rFonts w:ascii="Arial" w:hAnsi="Arial"/>
              </w:rPr>
              <w:t>Can be easily met and fits with existing practice and procedures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B6B31F" w14:textId="77777777" w:rsidR="00350F31" w:rsidRPr="005A4C30" w:rsidRDefault="00350F31" w:rsidP="0049624D">
            <w:pPr>
              <w:pStyle w:val="ListParagraph"/>
              <w:ind w:left="0"/>
              <w:rPr>
                <w:rFonts w:ascii="Arial" w:hAnsi="Arial"/>
              </w:rPr>
            </w:pPr>
            <w:r w:rsidRPr="005A4C30">
              <w:rPr>
                <w:rFonts w:ascii="Arial" w:hAnsi="Arial"/>
              </w:rPr>
              <w:t>Identify who is responsible and when the tasks have to be fulfilled</w:t>
            </w:r>
          </w:p>
        </w:tc>
      </w:tr>
      <w:tr w:rsidR="00350F31" w:rsidRPr="005A4C30" w14:paraId="0BB39C58" w14:textId="77777777" w:rsidTr="0049624D">
        <w:tblPrEx>
          <w:tblCellMar>
            <w:top w:w="0" w:type="dxa"/>
            <w:bottom w:w="0" w:type="dxa"/>
          </w:tblCellMar>
        </w:tblPrEx>
        <w:trPr>
          <w:trHeight w:val="1006"/>
        </w:trPr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FF03B3" w14:textId="77777777" w:rsidR="00350F31" w:rsidRPr="005A4C30" w:rsidRDefault="00350F31" w:rsidP="0049624D">
            <w:pPr>
              <w:pStyle w:val="ListParagraph"/>
              <w:ind w:left="0"/>
              <w:rPr>
                <w:rFonts w:ascii="Arial" w:hAnsi="Arial"/>
              </w:rPr>
            </w:pPr>
            <w:r w:rsidRPr="005A4C30">
              <w:rPr>
                <w:rFonts w:ascii="Arial" w:hAnsi="Arial"/>
              </w:rPr>
              <w:t>Cannot currently be met but is acceptable and will require a change in systems or procedures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3D9616" w14:textId="77777777" w:rsidR="00350F31" w:rsidRPr="005A4C30" w:rsidRDefault="00350F31" w:rsidP="0049624D">
            <w:pPr>
              <w:pStyle w:val="ListParagraph"/>
              <w:ind w:left="0"/>
              <w:rPr>
                <w:rFonts w:ascii="Arial" w:hAnsi="Arial"/>
              </w:rPr>
            </w:pPr>
            <w:r w:rsidRPr="005A4C30">
              <w:rPr>
                <w:rFonts w:ascii="Arial" w:hAnsi="Arial"/>
              </w:rPr>
              <w:t>Identify what changes have to be made to fulfil the condition and any resource implications</w:t>
            </w:r>
          </w:p>
        </w:tc>
      </w:tr>
      <w:tr w:rsidR="00350F31" w:rsidRPr="005A4C30" w14:paraId="236D827C" w14:textId="77777777" w:rsidTr="0049624D">
        <w:tblPrEx>
          <w:tblCellMar>
            <w:top w:w="0" w:type="dxa"/>
            <w:bottom w:w="0" w:type="dxa"/>
          </w:tblCellMar>
        </w:tblPrEx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8180FD" w14:textId="77777777" w:rsidR="00350F31" w:rsidRPr="005A4C30" w:rsidRDefault="00350F31" w:rsidP="0049624D">
            <w:pPr>
              <w:pStyle w:val="ListParagraph"/>
              <w:ind w:left="0"/>
              <w:rPr>
                <w:rFonts w:ascii="Arial" w:hAnsi="Arial"/>
              </w:rPr>
            </w:pPr>
            <w:r w:rsidRPr="005A4C30">
              <w:rPr>
                <w:rFonts w:ascii="Arial" w:hAnsi="Arial"/>
              </w:rPr>
              <w:t>Contradicts values, is not acceptable or cannot be easily met within existing practice and procedures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3E130B" w14:textId="77777777" w:rsidR="00350F31" w:rsidRPr="005A4C30" w:rsidRDefault="00350F31" w:rsidP="0049624D">
            <w:pPr>
              <w:pStyle w:val="ListParagraph"/>
              <w:ind w:left="0"/>
              <w:rPr>
                <w:rFonts w:ascii="Arial" w:hAnsi="Arial"/>
              </w:rPr>
            </w:pPr>
            <w:r w:rsidRPr="005A4C30">
              <w:rPr>
                <w:rFonts w:ascii="Arial" w:hAnsi="Arial"/>
              </w:rPr>
              <w:t>Negotiate with funder- or decline to enter into the agreement</w:t>
            </w:r>
          </w:p>
        </w:tc>
      </w:tr>
    </w:tbl>
    <w:p w14:paraId="3B33A1B2" w14:textId="77777777" w:rsidR="00350F31" w:rsidRPr="005A4C30" w:rsidRDefault="00350F31" w:rsidP="00350F31">
      <w:pPr>
        <w:rPr>
          <w:rFonts w:ascii="Arial" w:hAnsi="Arial"/>
        </w:rPr>
      </w:pPr>
    </w:p>
    <w:p w14:paraId="46CEEA8D" w14:textId="77777777" w:rsidR="00350F31" w:rsidRPr="005A4C30" w:rsidRDefault="00350F31" w:rsidP="00350F31">
      <w:pPr>
        <w:rPr>
          <w:rFonts w:ascii="Arial" w:hAnsi="Arial"/>
        </w:rPr>
      </w:pPr>
    </w:p>
    <w:p w14:paraId="0B09089B" w14:textId="7D91D802" w:rsidR="00350F31" w:rsidRPr="005A4C30" w:rsidRDefault="00350F31" w:rsidP="00350F31">
      <w:pPr>
        <w:rPr>
          <w:rFonts w:ascii="Arial" w:hAnsi="Arial"/>
        </w:rPr>
      </w:pPr>
      <w:r w:rsidRPr="005A4C30">
        <w:rPr>
          <w:rFonts w:ascii="Arial" w:hAnsi="Arial"/>
        </w:rPr>
        <w:t xml:space="preserve">Now read through a </w:t>
      </w:r>
      <w:r w:rsidRPr="005A4C30">
        <w:rPr>
          <w:rFonts w:ascii="Arial" w:hAnsi="Arial"/>
        </w:rPr>
        <w:t>funding</w:t>
      </w:r>
      <w:r w:rsidRPr="005A4C30">
        <w:rPr>
          <w:rFonts w:ascii="Arial" w:hAnsi="Arial"/>
        </w:rPr>
        <w:t xml:space="preserve"> agreement that you are currently negotiating or are in the early stages of implementation, thinking about the </w:t>
      </w:r>
      <w:r w:rsidR="00AE415C">
        <w:rPr>
          <w:rFonts w:ascii="Arial" w:hAnsi="Arial"/>
        </w:rPr>
        <w:t>three</w:t>
      </w:r>
      <w:r w:rsidRPr="005A4C30">
        <w:rPr>
          <w:rFonts w:ascii="Arial" w:hAnsi="Arial"/>
        </w:rPr>
        <w:t xml:space="preserve"> categories above.</w:t>
      </w:r>
    </w:p>
    <w:p w14:paraId="749BCC91" w14:textId="77777777" w:rsidR="00350F31" w:rsidRPr="005A4C30" w:rsidRDefault="00350F31" w:rsidP="00350F31">
      <w:pPr>
        <w:rPr>
          <w:rFonts w:ascii="Arial" w:hAnsi="Arial"/>
        </w:rPr>
      </w:pPr>
    </w:p>
    <w:p w14:paraId="1803C19A" w14:textId="77777777" w:rsidR="00350F31" w:rsidRPr="005A4C30" w:rsidRDefault="00350F31" w:rsidP="00350F31">
      <w:pPr>
        <w:rPr>
          <w:rFonts w:ascii="Arial" w:hAnsi="Arial"/>
        </w:rPr>
        <w:sectPr w:rsidR="00350F31" w:rsidRPr="005A4C30" w:rsidSect="004D6DA5">
          <w:headerReference w:type="default" r:id="rId10"/>
          <w:footerReference w:type="default" r:id="rId11"/>
          <w:pgSz w:w="11906" w:h="16838"/>
          <w:pgMar w:top="2127" w:right="1440" w:bottom="1440" w:left="1440" w:header="720" w:footer="708" w:gutter="0"/>
          <w:cols w:space="720"/>
        </w:sectPr>
      </w:pPr>
      <w:r w:rsidRPr="005A4C30">
        <w:rPr>
          <w:rFonts w:ascii="Arial" w:hAnsi="Arial"/>
        </w:rPr>
        <w:t>Using the following worksheet, list the conditions set by the funder, assess them and identify any corresponding actions required.</w:t>
      </w:r>
    </w:p>
    <w:p w14:paraId="6326EC36" w14:textId="77777777" w:rsidR="00350F31" w:rsidRPr="005A4C30" w:rsidRDefault="00350F31" w:rsidP="00350F31">
      <w:pPr>
        <w:rPr>
          <w:rFonts w:ascii="Arial" w:hAnsi="Arial"/>
        </w:rPr>
      </w:pPr>
    </w:p>
    <w:tbl>
      <w:tblPr>
        <w:tblW w:w="14142" w:type="dxa"/>
        <w:tblBorders>
          <w:top w:val="single" w:sz="4" w:space="0" w:color="00A851"/>
          <w:left w:val="single" w:sz="4" w:space="0" w:color="00A851"/>
          <w:bottom w:val="single" w:sz="4" w:space="0" w:color="00A851"/>
          <w:right w:val="single" w:sz="4" w:space="0" w:color="00A851"/>
          <w:insideH w:val="single" w:sz="4" w:space="0" w:color="00A851"/>
          <w:insideV w:val="single" w:sz="4" w:space="0" w:color="00A85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78"/>
        <w:gridCol w:w="1418"/>
        <w:gridCol w:w="1276"/>
        <w:gridCol w:w="1134"/>
        <w:gridCol w:w="4536"/>
      </w:tblGrid>
      <w:tr w:rsidR="00350F31" w:rsidRPr="005A4C30" w14:paraId="4DD3BD3F" w14:textId="77777777" w:rsidTr="005A4C30">
        <w:tblPrEx>
          <w:tblCellMar>
            <w:top w:w="0" w:type="dxa"/>
            <w:bottom w:w="0" w:type="dxa"/>
          </w:tblCellMar>
        </w:tblPrEx>
        <w:tc>
          <w:tcPr>
            <w:tcW w:w="5778" w:type="dxa"/>
            <w:vMerge w:val="restart"/>
            <w:shd w:val="clear" w:color="auto" w:fill="00A85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40C774" w14:textId="77777777" w:rsidR="00350F31" w:rsidRPr="005A4C30" w:rsidRDefault="00350F31" w:rsidP="0049624D">
            <w:pPr>
              <w:jc w:val="center"/>
              <w:rPr>
                <w:rFonts w:ascii="Arial" w:hAnsi="Arial"/>
                <w:b/>
                <w:color w:val="FFFFFF" w:themeColor="background1"/>
              </w:rPr>
            </w:pPr>
            <w:r w:rsidRPr="005A4C30">
              <w:rPr>
                <w:rFonts w:ascii="Arial" w:hAnsi="Arial"/>
                <w:b/>
                <w:color w:val="FFFFFF" w:themeColor="background1"/>
              </w:rPr>
              <w:t>Condition</w:t>
            </w:r>
          </w:p>
        </w:tc>
        <w:tc>
          <w:tcPr>
            <w:tcW w:w="3828" w:type="dxa"/>
            <w:gridSpan w:val="3"/>
            <w:shd w:val="clear" w:color="auto" w:fill="00A85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30A64D" w14:textId="77777777" w:rsidR="00350F31" w:rsidRPr="005A4C30" w:rsidRDefault="00350F31" w:rsidP="0049624D">
            <w:pPr>
              <w:jc w:val="center"/>
              <w:rPr>
                <w:rFonts w:ascii="Arial" w:hAnsi="Arial"/>
                <w:b/>
                <w:color w:val="FFFFFF" w:themeColor="background1"/>
              </w:rPr>
            </w:pPr>
            <w:r w:rsidRPr="005A4C30">
              <w:rPr>
                <w:rFonts w:ascii="Arial" w:hAnsi="Arial"/>
                <w:b/>
                <w:color w:val="FFFFFF" w:themeColor="background1"/>
              </w:rPr>
              <w:t>Compliance with current systems</w:t>
            </w:r>
          </w:p>
        </w:tc>
        <w:tc>
          <w:tcPr>
            <w:tcW w:w="4536" w:type="dxa"/>
            <w:vMerge w:val="restart"/>
            <w:shd w:val="clear" w:color="auto" w:fill="00A85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68A6CC" w14:textId="77777777" w:rsidR="00350F31" w:rsidRPr="005A4C30" w:rsidRDefault="00350F31" w:rsidP="0049624D">
            <w:pPr>
              <w:jc w:val="center"/>
              <w:rPr>
                <w:rFonts w:ascii="Arial" w:hAnsi="Arial"/>
                <w:b/>
                <w:color w:val="FFFFFF" w:themeColor="background1"/>
              </w:rPr>
            </w:pPr>
            <w:r w:rsidRPr="005A4C30">
              <w:rPr>
                <w:rFonts w:ascii="Arial" w:hAnsi="Arial"/>
                <w:b/>
                <w:color w:val="FFFFFF" w:themeColor="background1"/>
              </w:rPr>
              <w:t>Action(s) to be taken</w:t>
            </w:r>
          </w:p>
        </w:tc>
      </w:tr>
      <w:tr w:rsidR="00350F31" w:rsidRPr="005A4C30" w14:paraId="336887B8" w14:textId="77777777" w:rsidTr="005A4C30">
        <w:tblPrEx>
          <w:tblCellMar>
            <w:top w:w="0" w:type="dxa"/>
            <w:bottom w:w="0" w:type="dxa"/>
          </w:tblCellMar>
        </w:tblPrEx>
        <w:tc>
          <w:tcPr>
            <w:tcW w:w="5778" w:type="dxa"/>
            <w:vMerge/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FEB42" w14:textId="77777777" w:rsidR="00350F31" w:rsidRPr="005A4C30" w:rsidRDefault="00350F31" w:rsidP="0049624D">
            <w:pPr>
              <w:suppressAutoHyphens w:val="0"/>
              <w:spacing w:after="200" w:line="276" w:lineRule="auto"/>
              <w:rPr>
                <w:rFonts w:ascii="Arial" w:hAnsi="Arial"/>
              </w:rPr>
            </w:pPr>
          </w:p>
        </w:tc>
        <w:tc>
          <w:tcPr>
            <w:tcW w:w="1418" w:type="dxa"/>
            <w:shd w:val="clear" w:color="auto" w:fill="00A85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C126DB" w14:textId="77777777" w:rsidR="00350F31" w:rsidRPr="005A4C30" w:rsidRDefault="00350F31" w:rsidP="0049624D">
            <w:pPr>
              <w:jc w:val="center"/>
              <w:rPr>
                <w:rFonts w:ascii="Arial" w:hAnsi="Arial"/>
                <w:b/>
                <w:color w:val="FFFFFF" w:themeColor="background1"/>
                <w:sz w:val="16"/>
                <w:szCs w:val="16"/>
              </w:rPr>
            </w:pPr>
            <w:r w:rsidRPr="005A4C30">
              <w:rPr>
                <w:rFonts w:ascii="Arial" w:hAnsi="Arial"/>
                <w:b/>
                <w:color w:val="FFFFFF" w:themeColor="background1"/>
                <w:sz w:val="16"/>
                <w:szCs w:val="16"/>
              </w:rPr>
              <w:t>No change required</w:t>
            </w:r>
          </w:p>
        </w:tc>
        <w:tc>
          <w:tcPr>
            <w:tcW w:w="1276" w:type="dxa"/>
            <w:shd w:val="clear" w:color="auto" w:fill="00A85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FC7E44" w14:textId="77777777" w:rsidR="00350F31" w:rsidRPr="005A4C30" w:rsidRDefault="00350F31" w:rsidP="0049624D">
            <w:pPr>
              <w:jc w:val="center"/>
              <w:rPr>
                <w:rFonts w:ascii="Arial" w:hAnsi="Arial"/>
                <w:b/>
                <w:color w:val="FFFFFF" w:themeColor="background1"/>
                <w:sz w:val="16"/>
                <w:szCs w:val="16"/>
              </w:rPr>
            </w:pPr>
            <w:r w:rsidRPr="005A4C30">
              <w:rPr>
                <w:rFonts w:ascii="Arial" w:hAnsi="Arial"/>
                <w:b/>
                <w:color w:val="FFFFFF" w:themeColor="background1"/>
                <w:sz w:val="16"/>
                <w:szCs w:val="16"/>
              </w:rPr>
              <w:t>Acceptable. Change req.</w:t>
            </w:r>
          </w:p>
        </w:tc>
        <w:tc>
          <w:tcPr>
            <w:tcW w:w="1134" w:type="dxa"/>
            <w:shd w:val="clear" w:color="auto" w:fill="00A85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84E751" w14:textId="77777777" w:rsidR="00350F31" w:rsidRPr="005A4C30" w:rsidRDefault="00350F31" w:rsidP="0049624D">
            <w:pPr>
              <w:jc w:val="center"/>
              <w:rPr>
                <w:rFonts w:ascii="Arial" w:hAnsi="Arial"/>
                <w:b/>
                <w:color w:val="FFFFFF" w:themeColor="background1"/>
                <w:sz w:val="16"/>
                <w:szCs w:val="16"/>
              </w:rPr>
            </w:pPr>
            <w:r w:rsidRPr="005A4C30">
              <w:rPr>
                <w:rFonts w:ascii="Arial" w:hAnsi="Arial"/>
                <w:b/>
                <w:color w:val="FFFFFF" w:themeColor="background1"/>
                <w:sz w:val="16"/>
                <w:szCs w:val="16"/>
              </w:rPr>
              <w:t>Not acceptable</w:t>
            </w:r>
          </w:p>
        </w:tc>
        <w:tc>
          <w:tcPr>
            <w:tcW w:w="4536" w:type="dxa"/>
            <w:vMerge/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B0EED" w14:textId="77777777" w:rsidR="00350F31" w:rsidRPr="005A4C30" w:rsidRDefault="00350F31" w:rsidP="0049624D">
            <w:pPr>
              <w:suppressAutoHyphens w:val="0"/>
              <w:spacing w:after="200" w:line="276" w:lineRule="auto"/>
              <w:rPr>
                <w:rFonts w:ascii="Arial" w:hAnsi="Arial"/>
              </w:rPr>
            </w:pPr>
          </w:p>
        </w:tc>
      </w:tr>
      <w:tr w:rsidR="00350F31" w:rsidRPr="005A4C30" w14:paraId="1C213FCE" w14:textId="77777777" w:rsidTr="005A4C30">
        <w:tblPrEx>
          <w:tblCellMar>
            <w:top w:w="0" w:type="dxa"/>
            <w:bottom w:w="0" w:type="dxa"/>
          </w:tblCellMar>
        </w:tblPrEx>
        <w:trPr>
          <w:trHeight w:val="792"/>
        </w:trPr>
        <w:tc>
          <w:tcPr>
            <w:tcW w:w="57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B6DCB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</w:tc>
        <w:tc>
          <w:tcPr>
            <w:tcW w:w="14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FD751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41EB6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AEF40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</w:tc>
        <w:tc>
          <w:tcPr>
            <w:tcW w:w="45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960DD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  <w:p w14:paraId="40B5C671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  <w:p w14:paraId="188AB3D2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</w:tc>
      </w:tr>
      <w:tr w:rsidR="00350F31" w:rsidRPr="005A4C30" w14:paraId="13094284" w14:textId="77777777" w:rsidTr="005A4C30">
        <w:tblPrEx>
          <w:tblCellMar>
            <w:top w:w="0" w:type="dxa"/>
            <w:bottom w:w="0" w:type="dxa"/>
          </w:tblCellMar>
        </w:tblPrEx>
        <w:trPr>
          <w:trHeight w:val="704"/>
        </w:trPr>
        <w:tc>
          <w:tcPr>
            <w:tcW w:w="57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9845F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</w:tc>
        <w:tc>
          <w:tcPr>
            <w:tcW w:w="14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815BE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6DCB6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DFEEC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</w:tc>
        <w:tc>
          <w:tcPr>
            <w:tcW w:w="45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95E2E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  <w:p w14:paraId="1C3ED844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  <w:p w14:paraId="31FB5C1B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</w:tc>
      </w:tr>
      <w:tr w:rsidR="00350F31" w:rsidRPr="005A4C30" w14:paraId="0A802ADE" w14:textId="77777777" w:rsidTr="005A4C30">
        <w:tblPrEx>
          <w:tblCellMar>
            <w:top w:w="0" w:type="dxa"/>
            <w:bottom w:w="0" w:type="dxa"/>
          </w:tblCellMar>
        </w:tblPrEx>
        <w:tc>
          <w:tcPr>
            <w:tcW w:w="57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97919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</w:tc>
        <w:tc>
          <w:tcPr>
            <w:tcW w:w="14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7A84C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03AE1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FD0AF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</w:tc>
        <w:tc>
          <w:tcPr>
            <w:tcW w:w="45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5A8A8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  <w:p w14:paraId="2EF42221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  <w:p w14:paraId="66CE1172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</w:tc>
      </w:tr>
      <w:tr w:rsidR="00350F31" w:rsidRPr="005A4C30" w14:paraId="589FEA55" w14:textId="77777777" w:rsidTr="005A4C30">
        <w:tblPrEx>
          <w:tblCellMar>
            <w:top w:w="0" w:type="dxa"/>
            <w:bottom w:w="0" w:type="dxa"/>
          </w:tblCellMar>
        </w:tblPrEx>
        <w:tc>
          <w:tcPr>
            <w:tcW w:w="57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94210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</w:tc>
        <w:tc>
          <w:tcPr>
            <w:tcW w:w="14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86198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4A868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D93B9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</w:tc>
        <w:tc>
          <w:tcPr>
            <w:tcW w:w="45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8E705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  <w:p w14:paraId="075350E2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  <w:p w14:paraId="2252AC12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</w:tc>
      </w:tr>
      <w:tr w:rsidR="00350F31" w:rsidRPr="005A4C30" w14:paraId="3797C3DE" w14:textId="77777777" w:rsidTr="005A4C30">
        <w:tblPrEx>
          <w:tblCellMar>
            <w:top w:w="0" w:type="dxa"/>
            <w:bottom w:w="0" w:type="dxa"/>
          </w:tblCellMar>
        </w:tblPrEx>
        <w:tc>
          <w:tcPr>
            <w:tcW w:w="57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D96C6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</w:tc>
        <w:tc>
          <w:tcPr>
            <w:tcW w:w="14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DDFE0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28C2F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8D1FF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</w:tc>
        <w:tc>
          <w:tcPr>
            <w:tcW w:w="45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D0531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  <w:p w14:paraId="236D15AC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  <w:p w14:paraId="2AE53E67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</w:tc>
      </w:tr>
      <w:tr w:rsidR="00350F31" w:rsidRPr="005A4C30" w14:paraId="04B189EA" w14:textId="77777777" w:rsidTr="005A4C30">
        <w:tblPrEx>
          <w:tblCellMar>
            <w:top w:w="0" w:type="dxa"/>
            <w:bottom w:w="0" w:type="dxa"/>
          </w:tblCellMar>
        </w:tblPrEx>
        <w:tc>
          <w:tcPr>
            <w:tcW w:w="57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1FC4E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</w:tc>
        <w:tc>
          <w:tcPr>
            <w:tcW w:w="14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92251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63911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8317E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</w:tc>
        <w:tc>
          <w:tcPr>
            <w:tcW w:w="45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FAA54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  <w:p w14:paraId="26764683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  <w:p w14:paraId="227BDBF2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</w:tc>
      </w:tr>
      <w:tr w:rsidR="00350F31" w:rsidRPr="005A4C30" w14:paraId="672D43B4" w14:textId="77777777" w:rsidTr="005A4C30">
        <w:tblPrEx>
          <w:tblCellMar>
            <w:top w:w="0" w:type="dxa"/>
            <w:bottom w:w="0" w:type="dxa"/>
          </w:tblCellMar>
        </w:tblPrEx>
        <w:tc>
          <w:tcPr>
            <w:tcW w:w="57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495EC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</w:tc>
        <w:tc>
          <w:tcPr>
            <w:tcW w:w="14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85641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1B516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CCCAE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</w:tc>
        <w:tc>
          <w:tcPr>
            <w:tcW w:w="45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51830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  <w:p w14:paraId="791DAF58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  <w:p w14:paraId="02DCAEDF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</w:tc>
      </w:tr>
      <w:tr w:rsidR="00350F31" w:rsidRPr="005A4C30" w14:paraId="5BE4BBBE" w14:textId="77777777" w:rsidTr="005A4C30">
        <w:tblPrEx>
          <w:tblCellMar>
            <w:top w:w="0" w:type="dxa"/>
            <w:bottom w:w="0" w:type="dxa"/>
          </w:tblCellMar>
        </w:tblPrEx>
        <w:tc>
          <w:tcPr>
            <w:tcW w:w="57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B2E0E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</w:tc>
        <w:tc>
          <w:tcPr>
            <w:tcW w:w="14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29B83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4D4EB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1D88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</w:tc>
        <w:tc>
          <w:tcPr>
            <w:tcW w:w="45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E9BEE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  <w:p w14:paraId="5590FC23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  <w:p w14:paraId="36259C2A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</w:tc>
      </w:tr>
      <w:tr w:rsidR="00350F31" w:rsidRPr="005A4C30" w14:paraId="62A488C4" w14:textId="77777777" w:rsidTr="005A4C30">
        <w:tblPrEx>
          <w:tblCellMar>
            <w:top w:w="0" w:type="dxa"/>
            <w:bottom w:w="0" w:type="dxa"/>
          </w:tblCellMar>
        </w:tblPrEx>
        <w:tc>
          <w:tcPr>
            <w:tcW w:w="57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3429C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</w:tc>
        <w:tc>
          <w:tcPr>
            <w:tcW w:w="14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F4BAA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68F4D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44EF1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</w:tc>
        <w:tc>
          <w:tcPr>
            <w:tcW w:w="45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68D0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  <w:p w14:paraId="16F2D7AB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  <w:p w14:paraId="7D48885E" w14:textId="77777777" w:rsidR="00350F31" w:rsidRPr="005A4C30" w:rsidRDefault="00350F31" w:rsidP="0049624D">
            <w:pPr>
              <w:rPr>
                <w:rFonts w:ascii="Arial" w:hAnsi="Arial"/>
              </w:rPr>
            </w:pPr>
          </w:p>
        </w:tc>
      </w:tr>
    </w:tbl>
    <w:p w14:paraId="66A3B9AD" w14:textId="77777777" w:rsidR="00350F31" w:rsidRPr="005A4C30" w:rsidRDefault="00350F31" w:rsidP="00350F31">
      <w:pPr>
        <w:rPr>
          <w:rFonts w:ascii="Arial" w:hAnsi="Arial"/>
        </w:rPr>
        <w:sectPr w:rsidR="00350F31" w:rsidRPr="005A4C30">
          <w:footerReference w:type="default" r:id="rId12"/>
          <w:pgSz w:w="16838" w:h="11906" w:orient="landscape"/>
          <w:pgMar w:top="1440" w:right="1440" w:bottom="1723" w:left="1440" w:header="720" w:footer="1440" w:gutter="0"/>
          <w:cols w:space="720"/>
        </w:sectPr>
      </w:pPr>
    </w:p>
    <w:p w14:paraId="321715EA" w14:textId="77777777" w:rsidR="00350F31" w:rsidRPr="005A4C30" w:rsidRDefault="00350F31" w:rsidP="00350F31">
      <w:pPr>
        <w:pStyle w:val="Heading2"/>
        <w:rPr>
          <w:rFonts w:ascii="Arial" w:hAnsi="Arial" w:cs="Arial"/>
        </w:rPr>
      </w:pPr>
      <w:bookmarkStart w:id="14" w:name="__RefHeading__7347_674999171"/>
      <w:bookmarkStart w:id="15" w:name="_Toc419369520"/>
      <w:bookmarkStart w:id="16" w:name="_Toc419366849"/>
      <w:bookmarkStart w:id="17" w:name="_Toc421256001"/>
      <w:bookmarkStart w:id="18" w:name="_Toc424130931"/>
      <w:bookmarkStart w:id="19" w:name="_Toc424131380"/>
      <w:bookmarkStart w:id="20" w:name="_Toc431472115"/>
      <w:bookmarkStart w:id="21" w:name="_Toc431551929"/>
      <w:bookmarkStart w:id="22" w:name="_Toc431552005"/>
      <w:bookmarkStart w:id="23" w:name="_Toc481149291"/>
      <w:bookmarkStart w:id="24" w:name="_Toc482082820"/>
      <w:bookmarkStart w:id="25" w:name="_Toc10460335"/>
      <w:bookmarkStart w:id="26" w:name="_Toc14182322"/>
      <w:bookmarkEnd w:id="14"/>
      <w:r w:rsidRPr="005A4C30">
        <w:rPr>
          <w:rFonts w:ascii="Arial" w:hAnsi="Arial" w:cs="Arial"/>
        </w:rPr>
        <w:t>Negotiating with funders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3AB07359" w14:textId="77777777" w:rsidR="00350F31" w:rsidRPr="005A4C30" w:rsidRDefault="00350F31" w:rsidP="00350F31">
      <w:pPr>
        <w:rPr>
          <w:rFonts w:ascii="Arial" w:hAnsi="Arial"/>
        </w:rPr>
      </w:pPr>
    </w:p>
    <w:p w14:paraId="1E45DFCC" w14:textId="5CCE86E1" w:rsidR="00350F31" w:rsidRPr="005A4C30" w:rsidRDefault="00350F31" w:rsidP="00350F31">
      <w:pPr>
        <w:pStyle w:val="ListParagraph"/>
        <w:numPr>
          <w:ilvl w:val="0"/>
          <w:numId w:val="8"/>
        </w:numPr>
        <w:ind w:left="1418" w:hanging="698"/>
        <w:contextualSpacing w:val="0"/>
        <w:jc w:val="both"/>
        <w:rPr>
          <w:rFonts w:ascii="Arial" w:hAnsi="Arial"/>
        </w:rPr>
      </w:pPr>
      <w:r w:rsidRPr="005A4C30">
        <w:rPr>
          <w:rFonts w:ascii="Arial" w:hAnsi="Arial"/>
        </w:rPr>
        <w:t xml:space="preserve">Some funder conditions may simply be unacceptable to </w:t>
      </w:r>
      <w:r w:rsidRPr="005A4C30">
        <w:rPr>
          <w:rFonts w:ascii="Arial" w:hAnsi="Arial"/>
        </w:rPr>
        <w:t>your organisation</w:t>
      </w:r>
      <w:r w:rsidRPr="005A4C30">
        <w:rPr>
          <w:rFonts w:ascii="Arial" w:hAnsi="Arial"/>
        </w:rPr>
        <w:t xml:space="preserve"> as they may contradict </w:t>
      </w:r>
      <w:r w:rsidRPr="005A4C30">
        <w:rPr>
          <w:rFonts w:ascii="Arial" w:hAnsi="Arial"/>
        </w:rPr>
        <w:t>y</w:t>
      </w:r>
      <w:r w:rsidRPr="005A4C30">
        <w:rPr>
          <w:rFonts w:ascii="Arial" w:hAnsi="Arial"/>
        </w:rPr>
        <w:t>our policies or procedures, or make implementation difficult or impossible e.g. funds disbursed in arrears.</w:t>
      </w:r>
    </w:p>
    <w:p w14:paraId="79A74D01" w14:textId="24A8A554" w:rsidR="00350F31" w:rsidRPr="005A4C30" w:rsidRDefault="00350F31" w:rsidP="00350F31">
      <w:pPr>
        <w:pStyle w:val="ListParagraph"/>
        <w:numPr>
          <w:ilvl w:val="0"/>
          <w:numId w:val="8"/>
        </w:numPr>
        <w:ind w:left="1418" w:hanging="698"/>
        <w:contextualSpacing w:val="0"/>
        <w:jc w:val="both"/>
        <w:rPr>
          <w:rFonts w:ascii="Arial" w:hAnsi="Arial"/>
        </w:rPr>
      </w:pPr>
      <w:r w:rsidRPr="005A4C30">
        <w:rPr>
          <w:rFonts w:ascii="Arial" w:hAnsi="Arial"/>
        </w:rPr>
        <w:t xml:space="preserve">If the conditions of a </w:t>
      </w:r>
      <w:r w:rsidRPr="005A4C30">
        <w:rPr>
          <w:rFonts w:ascii="Arial" w:hAnsi="Arial"/>
        </w:rPr>
        <w:t>grant or contract</w:t>
      </w:r>
      <w:r w:rsidRPr="005A4C30">
        <w:rPr>
          <w:rFonts w:ascii="Arial" w:hAnsi="Arial"/>
        </w:rPr>
        <w:t xml:space="preserve"> are too restrictive or cannot be met, then you can negotiate - remember funders need NGOs to fulfil their objectives - and may not appreciate what is unreasonable/too onerous.</w:t>
      </w:r>
    </w:p>
    <w:p w14:paraId="22420C89" w14:textId="77777777" w:rsidR="00350F31" w:rsidRPr="005A4C30" w:rsidRDefault="00350F31" w:rsidP="00350F31">
      <w:pPr>
        <w:pStyle w:val="ListParagraph"/>
        <w:numPr>
          <w:ilvl w:val="0"/>
          <w:numId w:val="8"/>
        </w:numPr>
        <w:ind w:left="1418" w:hanging="698"/>
        <w:contextualSpacing w:val="0"/>
        <w:jc w:val="both"/>
        <w:rPr>
          <w:rFonts w:ascii="Arial" w:hAnsi="Arial"/>
        </w:rPr>
      </w:pPr>
      <w:r w:rsidRPr="005A4C30">
        <w:rPr>
          <w:rFonts w:ascii="Arial" w:hAnsi="Arial"/>
        </w:rPr>
        <w:t>Once you are ready to negotiate with the funder, please remember to remove any internal comments made during the review process from the document that you share with them.</w:t>
      </w:r>
    </w:p>
    <w:p w14:paraId="5AE7B045" w14:textId="4063AAE8" w:rsidR="00350F31" w:rsidRPr="005A4C30" w:rsidRDefault="00350F31" w:rsidP="00350F31">
      <w:pPr>
        <w:pStyle w:val="ListParagraph"/>
        <w:numPr>
          <w:ilvl w:val="0"/>
          <w:numId w:val="8"/>
        </w:numPr>
        <w:ind w:left="1418" w:hanging="698"/>
        <w:contextualSpacing w:val="0"/>
        <w:jc w:val="both"/>
        <w:rPr>
          <w:rFonts w:ascii="Arial" w:hAnsi="Arial"/>
        </w:rPr>
      </w:pPr>
      <w:r w:rsidRPr="005A4C30">
        <w:rPr>
          <w:rFonts w:ascii="Arial" w:hAnsi="Arial"/>
        </w:rPr>
        <w:t xml:space="preserve">Always </w:t>
      </w:r>
      <w:r w:rsidRPr="005A4C30">
        <w:rPr>
          <w:rFonts w:ascii="Arial" w:hAnsi="Arial"/>
        </w:rPr>
        <w:t>record</w:t>
      </w:r>
      <w:r w:rsidRPr="005A4C30">
        <w:rPr>
          <w:rFonts w:ascii="Arial" w:hAnsi="Arial"/>
        </w:rPr>
        <w:t xml:space="preserve"> your notes on agreements regarding the grant agreement/contract</w:t>
      </w:r>
    </w:p>
    <w:p w14:paraId="0562325E" w14:textId="3F358FAB" w:rsidR="00350F31" w:rsidRPr="005A4C30" w:rsidRDefault="00350F31" w:rsidP="00350F31">
      <w:pPr>
        <w:pStyle w:val="ListParagraph"/>
        <w:numPr>
          <w:ilvl w:val="0"/>
          <w:numId w:val="8"/>
        </w:numPr>
        <w:ind w:left="1418" w:hanging="698"/>
        <w:contextualSpacing w:val="0"/>
        <w:jc w:val="both"/>
        <w:rPr>
          <w:rFonts w:ascii="Arial" w:hAnsi="Arial"/>
        </w:rPr>
      </w:pPr>
      <w:r w:rsidRPr="005A4C30">
        <w:rPr>
          <w:rFonts w:ascii="Arial" w:hAnsi="Arial"/>
        </w:rPr>
        <w:t xml:space="preserve">Remember that the ultimate decision on whether or not to pursue </w:t>
      </w:r>
      <w:r w:rsidRPr="005A4C30">
        <w:rPr>
          <w:rFonts w:ascii="Arial" w:hAnsi="Arial"/>
        </w:rPr>
        <w:t>funding</w:t>
      </w:r>
      <w:r w:rsidRPr="005A4C30">
        <w:rPr>
          <w:rFonts w:ascii="Arial" w:hAnsi="Arial"/>
        </w:rPr>
        <w:t xml:space="preserve"> will sit with </w:t>
      </w:r>
      <w:r w:rsidRPr="005A4C30">
        <w:rPr>
          <w:rFonts w:ascii="Arial" w:hAnsi="Arial"/>
        </w:rPr>
        <w:t>your organisation’s leadership</w:t>
      </w:r>
    </w:p>
    <w:p w14:paraId="2332F7D2" w14:textId="77777777" w:rsidR="00350F31" w:rsidRPr="005A4C30" w:rsidRDefault="00350F31" w:rsidP="00350F31">
      <w:pPr>
        <w:jc w:val="both"/>
        <w:rPr>
          <w:rFonts w:ascii="Arial" w:hAnsi="Arial"/>
        </w:rPr>
      </w:pPr>
    </w:p>
    <w:p w14:paraId="755A0B8D" w14:textId="77777777" w:rsidR="00350F31" w:rsidRPr="005A4C30" w:rsidRDefault="00350F31" w:rsidP="00350F31">
      <w:pPr>
        <w:jc w:val="both"/>
        <w:rPr>
          <w:rFonts w:ascii="Arial" w:hAnsi="Arial"/>
        </w:rPr>
      </w:pPr>
    </w:p>
    <w:p w14:paraId="1A7A1F61" w14:textId="77777777" w:rsidR="00350F31" w:rsidRPr="005A4C30" w:rsidRDefault="00350F31" w:rsidP="00350F31">
      <w:pPr>
        <w:pStyle w:val="Heading2"/>
        <w:rPr>
          <w:rFonts w:ascii="Arial" w:hAnsi="Arial" w:cs="Arial"/>
        </w:rPr>
      </w:pPr>
      <w:bookmarkStart w:id="27" w:name="__RefHeading__7349_674999171"/>
      <w:bookmarkStart w:id="28" w:name="_Toc419369521"/>
      <w:bookmarkStart w:id="29" w:name="_Toc419366850"/>
      <w:bookmarkStart w:id="30" w:name="_Toc421256002"/>
      <w:bookmarkStart w:id="31" w:name="_Toc424130932"/>
      <w:bookmarkStart w:id="32" w:name="_Toc424131381"/>
      <w:bookmarkStart w:id="33" w:name="_Toc431472116"/>
      <w:bookmarkStart w:id="34" w:name="_Toc431551930"/>
      <w:bookmarkStart w:id="35" w:name="_Toc431552006"/>
      <w:bookmarkStart w:id="36" w:name="_Toc481149292"/>
      <w:bookmarkStart w:id="37" w:name="_Toc482082821"/>
      <w:bookmarkStart w:id="38" w:name="_Toc10460336"/>
      <w:bookmarkStart w:id="39" w:name="_Toc14182323"/>
      <w:bookmarkEnd w:id="27"/>
      <w:r w:rsidRPr="005A4C30">
        <w:rPr>
          <w:rFonts w:ascii="Arial" w:hAnsi="Arial" w:cs="Arial"/>
        </w:rPr>
        <w:t>Common points to negotiate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5A128927" w14:textId="77777777" w:rsidR="00350F31" w:rsidRPr="005A4C30" w:rsidRDefault="00350F31" w:rsidP="00350F31">
      <w:pPr>
        <w:jc w:val="both"/>
        <w:rPr>
          <w:rFonts w:ascii="Arial" w:hAnsi="Arial"/>
          <w:b/>
        </w:rPr>
      </w:pPr>
    </w:p>
    <w:p w14:paraId="142490DC" w14:textId="02C725B2" w:rsidR="00350F31" w:rsidRPr="005A4C30" w:rsidRDefault="00350F31" w:rsidP="00350F31">
      <w:pPr>
        <w:pStyle w:val="ListParagraph"/>
        <w:numPr>
          <w:ilvl w:val="0"/>
          <w:numId w:val="9"/>
        </w:numPr>
        <w:ind w:left="1418" w:hanging="698"/>
        <w:contextualSpacing w:val="0"/>
        <w:jc w:val="both"/>
        <w:rPr>
          <w:rFonts w:ascii="Arial" w:hAnsi="Arial"/>
        </w:rPr>
      </w:pPr>
      <w:r w:rsidRPr="005A4C30">
        <w:rPr>
          <w:rFonts w:ascii="Arial" w:hAnsi="Arial"/>
        </w:rPr>
        <w:t>New bank accounts to be avoided wherever possible.</w:t>
      </w:r>
    </w:p>
    <w:p w14:paraId="59D60CC8" w14:textId="77777777" w:rsidR="00350F31" w:rsidRPr="005A4C30" w:rsidRDefault="00350F31" w:rsidP="00350F31">
      <w:pPr>
        <w:pStyle w:val="ListParagraph"/>
        <w:numPr>
          <w:ilvl w:val="0"/>
          <w:numId w:val="9"/>
        </w:numPr>
        <w:ind w:left="1418" w:hanging="698"/>
        <w:contextualSpacing w:val="0"/>
        <w:jc w:val="both"/>
        <w:rPr>
          <w:rFonts w:ascii="Arial" w:hAnsi="Arial"/>
        </w:rPr>
      </w:pPr>
      <w:r w:rsidRPr="005A4C30">
        <w:rPr>
          <w:rFonts w:ascii="Arial" w:hAnsi="Arial"/>
        </w:rPr>
        <w:t>Payment schedules - we need pre-payment wherever possible (rather than payment after expenditure).</w:t>
      </w:r>
    </w:p>
    <w:p w14:paraId="03B52BBA" w14:textId="4D37E5FC" w:rsidR="00350F31" w:rsidRPr="005A4C30" w:rsidRDefault="00350F31" w:rsidP="00350F31">
      <w:pPr>
        <w:pStyle w:val="ListParagraph"/>
        <w:numPr>
          <w:ilvl w:val="0"/>
          <w:numId w:val="9"/>
        </w:numPr>
        <w:ind w:left="1418" w:hanging="709"/>
        <w:contextualSpacing w:val="0"/>
        <w:jc w:val="both"/>
        <w:rPr>
          <w:rFonts w:ascii="Arial" w:hAnsi="Arial"/>
        </w:rPr>
      </w:pPr>
      <w:r w:rsidRPr="005A4C30">
        <w:rPr>
          <w:rFonts w:ascii="Arial" w:hAnsi="Arial"/>
        </w:rPr>
        <w:t xml:space="preserve">Payment to be made to the </w:t>
      </w:r>
      <w:r w:rsidRPr="005A4C30">
        <w:rPr>
          <w:rFonts w:ascii="Arial" w:hAnsi="Arial"/>
        </w:rPr>
        <w:t xml:space="preserve">head </w:t>
      </w:r>
      <w:r w:rsidRPr="005A4C30">
        <w:rPr>
          <w:rFonts w:ascii="Arial" w:hAnsi="Arial"/>
        </w:rPr>
        <w:t>office, rather than direct to the country, in order to optimise central treasury management.</w:t>
      </w:r>
    </w:p>
    <w:p w14:paraId="585B3498" w14:textId="216040CC" w:rsidR="00350F31" w:rsidRPr="005A4C30" w:rsidRDefault="00350F31" w:rsidP="00350F31">
      <w:pPr>
        <w:pStyle w:val="ListParagraph"/>
        <w:numPr>
          <w:ilvl w:val="0"/>
          <w:numId w:val="9"/>
        </w:numPr>
        <w:ind w:left="1418" w:hanging="698"/>
        <w:contextualSpacing w:val="0"/>
        <w:jc w:val="both"/>
        <w:rPr>
          <w:rFonts w:ascii="Arial" w:hAnsi="Arial"/>
        </w:rPr>
      </w:pPr>
      <w:r w:rsidRPr="005A4C30">
        <w:rPr>
          <w:rFonts w:ascii="Arial" w:hAnsi="Arial"/>
        </w:rPr>
        <w:t xml:space="preserve">Termination clauses </w:t>
      </w:r>
      <w:r w:rsidR="00AE415C">
        <w:rPr>
          <w:rFonts w:ascii="Arial" w:hAnsi="Arial"/>
        </w:rPr>
        <w:t>–</w:t>
      </w:r>
      <w:r w:rsidRPr="005A4C30">
        <w:rPr>
          <w:rFonts w:ascii="Arial" w:hAnsi="Arial"/>
        </w:rPr>
        <w:t xml:space="preserve"> make sure that in the event of early termination, all outstanding expenditure and committed costs will be covered. You should also ensure that it is a mutually accessible option</w:t>
      </w:r>
      <w:r w:rsidR="00AE415C">
        <w:rPr>
          <w:rFonts w:ascii="Arial" w:hAnsi="Arial"/>
        </w:rPr>
        <w:t xml:space="preserve"> –</w:t>
      </w:r>
      <w:r w:rsidRPr="005A4C30">
        <w:rPr>
          <w:rFonts w:ascii="Arial" w:hAnsi="Arial"/>
        </w:rPr>
        <w:t xml:space="preserve"> i.e. can be triggered by </w:t>
      </w:r>
      <w:r w:rsidRPr="005A4C30">
        <w:rPr>
          <w:rFonts w:ascii="Arial" w:hAnsi="Arial"/>
        </w:rPr>
        <w:t>you</w:t>
      </w:r>
      <w:r w:rsidRPr="005A4C30">
        <w:rPr>
          <w:rFonts w:ascii="Arial" w:hAnsi="Arial"/>
        </w:rPr>
        <w:t xml:space="preserve"> as well as by the funder.</w:t>
      </w:r>
    </w:p>
    <w:p w14:paraId="3DFD83A2" w14:textId="7F075E7E" w:rsidR="00350F31" w:rsidRPr="005A4C30" w:rsidRDefault="00350F31" w:rsidP="00350F31">
      <w:pPr>
        <w:pStyle w:val="ListParagraph"/>
        <w:numPr>
          <w:ilvl w:val="0"/>
          <w:numId w:val="9"/>
        </w:numPr>
        <w:ind w:left="1418" w:hanging="698"/>
        <w:contextualSpacing w:val="0"/>
        <w:jc w:val="both"/>
        <w:rPr>
          <w:rFonts w:ascii="Arial" w:hAnsi="Arial"/>
        </w:rPr>
      </w:pPr>
      <w:r w:rsidRPr="005A4C30">
        <w:rPr>
          <w:rFonts w:ascii="Arial" w:hAnsi="Arial"/>
        </w:rPr>
        <w:t>That evidencing can be done with copied rather than original receipts</w:t>
      </w:r>
      <w:r w:rsidR="00AE415C">
        <w:rPr>
          <w:rFonts w:ascii="Arial" w:hAnsi="Arial"/>
        </w:rPr>
        <w:t xml:space="preserve"> –</w:t>
      </w:r>
      <w:r w:rsidRPr="005A4C30">
        <w:rPr>
          <w:rFonts w:ascii="Arial" w:hAnsi="Arial"/>
        </w:rPr>
        <w:t xml:space="preserve"> and that 100% evidencing is avoided wherever possible. </w:t>
      </w:r>
    </w:p>
    <w:p w14:paraId="41AFC494" w14:textId="77777777" w:rsidR="00350F31" w:rsidRPr="005A4C30" w:rsidRDefault="00350F31" w:rsidP="00350F31">
      <w:pPr>
        <w:pStyle w:val="ListParagraph"/>
        <w:rPr>
          <w:rFonts w:ascii="Arial" w:hAnsi="Arial"/>
        </w:rPr>
      </w:pPr>
    </w:p>
    <w:p w14:paraId="0F153CBB" w14:textId="77777777" w:rsidR="00350F31" w:rsidRPr="005A4C30" w:rsidRDefault="00350F31" w:rsidP="00350F31">
      <w:pPr>
        <w:rPr>
          <w:rFonts w:ascii="Arial" w:hAnsi="Arial"/>
        </w:rPr>
      </w:pPr>
    </w:p>
    <w:p w14:paraId="3CC7990B" w14:textId="77777777" w:rsidR="00350F31" w:rsidRPr="005A4C30" w:rsidRDefault="00350F31" w:rsidP="00350F31">
      <w:pPr>
        <w:rPr>
          <w:rFonts w:ascii="Arial" w:hAnsi="Arial"/>
        </w:rPr>
      </w:pPr>
    </w:p>
    <w:p w14:paraId="5046FCEF" w14:textId="77777777" w:rsidR="00350F31" w:rsidRPr="005A4C30" w:rsidRDefault="00350F31" w:rsidP="00350F31">
      <w:pPr>
        <w:pStyle w:val="Heading2"/>
        <w:rPr>
          <w:rFonts w:ascii="Arial" w:hAnsi="Arial" w:cs="Arial"/>
        </w:rPr>
      </w:pPr>
      <w:bookmarkStart w:id="40" w:name="__RefHeading__7351_674999171"/>
      <w:bookmarkStart w:id="41" w:name="_Toc419369522"/>
      <w:bookmarkStart w:id="42" w:name="_Toc419366851"/>
      <w:bookmarkStart w:id="43" w:name="_Toc421256003"/>
      <w:bookmarkStart w:id="44" w:name="_Toc424130933"/>
      <w:bookmarkStart w:id="45" w:name="_Toc424131382"/>
      <w:bookmarkStart w:id="46" w:name="_Toc431472117"/>
      <w:bookmarkStart w:id="47" w:name="_Toc431551931"/>
      <w:bookmarkStart w:id="48" w:name="_Toc431552007"/>
      <w:bookmarkStart w:id="49" w:name="_Toc481149293"/>
      <w:bookmarkStart w:id="50" w:name="_Toc482082822"/>
      <w:bookmarkStart w:id="51" w:name="_Toc10460337"/>
      <w:bookmarkStart w:id="52" w:name="_Toc14182324"/>
      <w:bookmarkEnd w:id="40"/>
      <w:r w:rsidRPr="005A4C30">
        <w:rPr>
          <w:rFonts w:ascii="Arial" w:hAnsi="Arial" w:cs="Arial"/>
        </w:rPr>
        <w:t>Negotiating top tips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4E6230AB" w14:textId="77777777" w:rsidR="00350F31" w:rsidRPr="005A4C30" w:rsidRDefault="00350F31" w:rsidP="00350F31">
      <w:pPr>
        <w:rPr>
          <w:rFonts w:ascii="Arial" w:hAnsi="Arial"/>
          <w:b/>
        </w:rPr>
      </w:pPr>
    </w:p>
    <w:p w14:paraId="27F1F3C7" w14:textId="5439D18C" w:rsidR="00350F31" w:rsidRPr="005A4C30" w:rsidRDefault="00350F31" w:rsidP="00350F31">
      <w:pPr>
        <w:pStyle w:val="ListParagraph"/>
        <w:numPr>
          <w:ilvl w:val="0"/>
          <w:numId w:val="10"/>
        </w:numPr>
        <w:ind w:left="1418" w:hanging="698"/>
        <w:contextualSpacing w:val="0"/>
        <w:jc w:val="both"/>
        <w:rPr>
          <w:rFonts w:ascii="Arial" w:hAnsi="Arial"/>
        </w:rPr>
      </w:pPr>
      <w:r w:rsidRPr="005A4C30">
        <w:rPr>
          <w:rFonts w:ascii="Arial" w:hAnsi="Arial"/>
        </w:rPr>
        <w:t xml:space="preserve">Know, and stick to your bottom line. Remember that we have the right to walk away and say no! Do not sell yourself or </w:t>
      </w:r>
      <w:r w:rsidRPr="005A4C30">
        <w:rPr>
          <w:rFonts w:ascii="Arial" w:hAnsi="Arial"/>
        </w:rPr>
        <w:t>your organisation</w:t>
      </w:r>
      <w:r w:rsidRPr="005A4C30">
        <w:rPr>
          <w:rFonts w:ascii="Arial" w:hAnsi="Arial"/>
        </w:rPr>
        <w:t xml:space="preserve"> short.</w:t>
      </w:r>
    </w:p>
    <w:p w14:paraId="0821E31A" w14:textId="77777777" w:rsidR="00350F31" w:rsidRPr="005A4C30" w:rsidRDefault="00350F31" w:rsidP="00350F31">
      <w:pPr>
        <w:pStyle w:val="ListParagraph"/>
        <w:numPr>
          <w:ilvl w:val="0"/>
          <w:numId w:val="10"/>
        </w:numPr>
        <w:ind w:left="1418" w:hanging="698"/>
        <w:contextualSpacing w:val="0"/>
        <w:jc w:val="both"/>
        <w:rPr>
          <w:rFonts w:ascii="Arial" w:hAnsi="Arial"/>
        </w:rPr>
      </w:pPr>
      <w:r w:rsidRPr="005A4C30">
        <w:rPr>
          <w:rFonts w:ascii="Arial" w:hAnsi="Arial"/>
        </w:rPr>
        <w:t>Have all the facts at your fingertips, including suggesting alternative options.</w:t>
      </w:r>
    </w:p>
    <w:p w14:paraId="17120CB4" w14:textId="6C8BC144" w:rsidR="00350F31" w:rsidRPr="005A4C30" w:rsidRDefault="00350F31" w:rsidP="00350F31">
      <w:pPr>
        <w:pStyle w:val="ListParagraph"/>
        <w:numPr>
          <w:ilvl w:val="0"/>
          <w:numId w:val="10"/>
        </w:numPr>
        <w:ind w:left="1418" w:hanging="698"/>
        <w:contextualSpacing w:val="0"/>
        <w:jc w:val="both"/>
        <w:rPr>
          <w:rFonts w:ascii="Arial" w:hAnsi="Arial"/>
        </w:rPr>
      </w:pPr>
      <w:r w:rsidRPr="005A4C30">
        <w:rPr>
          <w:rFonts w:ascii="Arial" w:hAnsi="Arial"/>
        </w:rPr>
        <w:t xml:space="preserve">If you find yourself getting pushed into a corner, withdraw gracefully by saying you will discuss the proposal with </w:t>
      </w:r>
      <w:r w:rsidRPr="005A4C30">
        <w:rPr>
          <w:rFonts w:ascii="Arial" w:hAnsi="Arial"/>
        </w:rPr>
        <w:t>your finance, legal or senior management teams</w:t>
      </w:r>
      <w:r w:rsidRPr="005A4C30">
        <w:rPr>
          <w:rFonts w:ascii="Arial" w:hAnsi="Arial"/>
        </w:rPr>
        <w:t>, and then seek guidance.</w:t>
      </w:r>
    </w:p>
    <w:p w14:paraId="48824656" w14:textId="7AFDDA1C" w:rsidR="00032A81" w:rsidRPr="005A4C30" w:rsidRDefault="00032A81" w:rsidP="00032A81">
      <w:pPr>
        <w:jc w:val="both"/>
        <w:rPr>
          <w:rFonts w:ascii="Arial" w:hAnsi="Arial"/>
        </w:rPr>
      </w:pPr>
    </w:p>
    <w:p w14:paraId="77A57082" w14:textId="77777777" w:rsidR="00032A81" w:rsidRPr="005A4C30" w:rsidRDefault="00032A81" w:rsidP="00032A81">
      <w:pPr>
        <w:jc w:val="both"/>
        <w:rPr>
          <w:rFonts w:ascii="Arial" w:hAnsi="Arial"/>
        </w:rPr>
      </w:pPr>
    </w:p>
    <w:p w14:paraId="4F09077D" w14:textId="77777777" w:rsidR="00032A81" w:rsidRPr="005A4C30" w:rsidRDefault="00032A81" w:rsidP="00032A81">
      <w:pPr>
        <w:pStyle w:val="Heading2"/>
        <w:rPr>
          <w:rFonts w:ascii="Arial" w:hAnsi="Arial" w:cs="Arial"/>
        </w:rPr>
      </w:pPr>
      <w:bookmarkStart w:id="53" w:name="_Toc431551956"/>
      <w:bookmarkStart w:id="54" w:name="_Toc431552032"/>
      <w:bookmarkStart w:id="55" w:name="_Toc481149317"/>
      <w:bookmarkStart w:id="56" w:name="_Toc482082846"/>
      <w:bookmarkStart w:id="57" w:name="_Toc10460361"/>
      <w:bookmarkStart w:id="58" w:name="_Toc14182349"/>
      <w:r w:rsidRPr="005A4C30">
        <w:rPr>
          <w:rFonts w:ascii="Arial" w:hAnsi="Arial" w:cs="Arial"/>
        </w:rPr>
        <w:t>Sample Grant Agreement Cheat Sheet</w:t>
      </w:r>
      <w:bookmarkEnd w:id="53"/>
      <w:bookmarkEnd w:id="54"/>
      <w:bookmarkEnd w:id="55"/>
      <w:bookmarkEnd w:id="56"/>
      <w:bookmarkEnd w:id="57"/>
      <w:bookmarkEnd w:id="58"/>
    </w:p>
    <w:p w14:paraId="2871353B" w14:textId="77777777" w:rsidR="00032A81" w:rsidRPr="005A4C30" w:rsidRDefault="00032A81" w:rsidP="00032A81">
      <w:pPr>
        <w:suppressAutoHyphens w:val="0"/>
        <w:spacing w:after="200" w:line="276" w:lineRule="auto"/>
        <w:jc w:val="center"/>
        <w:textAlignment w:val="auto"/>
        <w:rPr>
          <w:rFonts w:ascii="Arial" w:hAnsi="Arial"/>
        </w:rPr>
      </w:pPr>
      <w:r w:rsidRPr="005A4C30">
        <w:rPr>
          <w:rFonts w:ascii="Arial" w:hAnsi="Arial"/>
          <w:b/>
        </w:rPr>
        <w:t xml:space="preserve"> ‘Systematic Evaluation of CEPF and Capacity Development of CEPF Grantees’ </w:t>
      </w:r>
    </w:p>
    <w:p w14:paraId="1A13E4B7" w14:textId="77777777" w:rsidR="00032A81" w:rsidRPr="005A4C30" w:rsidRDefault="00032A81" w:rsidP="00032A81">
      <w:pPr>
        <w:suppressAutoHyphens w:val="0"/>
        <w:spacing w:after="200" w:line="276" w:lineRule="auto"/>
        <w:jc w:val="center"/>
        <w:textAlignment w:val="auto"/>
        <w:rPr>
          <w:rFonts w:ascii="Arial" w:hAnsi="Arial"/>
        </w:rPr>
      </w:pPr>
      <w:r w:rsidRPr="005A4C30">
        <w:rPr>
          <w:rFonts w:ascii="Arial" w:hAnsi="Arial"/>
          <w:b/>
        </w:rPr>
        <w:t>Key points document</w:t>
      </w:r>
    </w:p>
    <w:p w14:paraId="0839F083" w14:textId="77777777" w:rsidR="00032A81" w:rsidRPr="005A4C30" w:rsidRDefault="00032A81" w:rsidP="00032A81">
      <w:pPr>
        <w:numPr>
          <w:ilvl w:val="0"/>
          <w:numId w:val="13"/>
        </w:numPr>
        <w:suppressAutoHyphens w:val="0"/>
        <w:spacing w:after="200" w:line="276" w:lineRule="auto"/>
        <w:textAlignment w:val="auto"/>
        <w:rPr>
          <w:rFonts w:ascii="Arial" w:hAnsi="Arial"/>
        </w:rPr>
      </w:pPr>
      <w:r w:rsidRPr="005A4C30">
        <w:rPr>
          <w:rFonts w:ascii="Arial" w:hAnsi="Arial"/>
        </w:rPr>
        <w:t>The grant is active between the 1</w:t>
      </w:r>
      <w:r w:rsidRPr="005A4C30">
        <w:rPr>
          <w:rFonts w:ascii="Arial" w:hAnsi="Arial"/>
          <w:vertAlign w:val="superscript"/>
        </w:rPr>
        <w:t>st</w:t>
      </w:r>
      <w:r w:rsidRPr="005A4C30">
        <w:rPr>
          <w:rFonts w:ascii="Arial" w:hAnsi="Arial"/>
        </w:rPr>
        <w:t xml:space="preserve"> January 2015 until July 31</w:t>
      </w:r>
      <w:r w:rsidRPr="005A4C30">
        <w:rPr>
          <w:rFonts w:ascii="Arial" w:hAnsi="Arial"/>
          <w:vertAlign w:val="superscript"/>
        </w:rPr>
        <w:t>st</w:t>
      </w:r>
      <w:r w:rsidRPr="005A4C30">
        <w:rPr>
          <w:rFonts w:ascii="Arial" w:hAnsi="Arial"/>
        </w:rPr>
        <w:t xml:space="preserve"> 2017</w:t>
      </w:r>
    </w:p>
    <w:p w14:paraId="31CC95A0" w14:textId="77777777" w:rsidR="00032A81" w:rsidRPr="005A4C30" w:rsidRDefault="00032A81" w:rsidP="00032A81">
      <w:pPr>
        <w:numPr>
          <w:ilvl w:val="0"/>
          <w:numId w:val="13"/>
        </w:numPr>
        <w:suppressAutoHyphens w:val="0"/>
        <w:spacing w:after="200" w:line="276" w:lineRule="auto"/>
        <w:textAlignment w:val="auto"/>
        <w:rPr>
          <w:rFonts w:ascii="Arial" w:hAnsi="Arial"/>
        </w:rPr>
      </w:pPr>
      <w:r w:rsidRPr="005A4C30">
        <w:rPr>
          <w:rFonts w:ascii="Arial" w:hAnsi="Arial"/>
        </w:rPr>
        <w:t>Project director is Chloe Hodgkinson</w:t>
      </w:r>
    </w:p>
    <w:p w14:paraId="1094F245" w14:textId="77777777" w:rsidR="00032A81" w:rsidRPr="005A4C30" w:rsidRDefault="00032A81" w:rsidP="00032A81">
      <w:pPr>
        <w:suppressAutoHyphens w:val="0"/>
        <w:spacing w:after="200" w:line="276" w:lineRule="auto"/>
        <w:textAlignment w:val="auto"/>
        <w:rPr>
          <w:rFonts w:ascii="Arial" w:hAnsi="Arial"/>
          <w:b/>
        </w:rPr>
      </w:pPr>
      <w:r w:rsidRPr="005A4C30">
        <w:rPr>
          <w:rFonts w:ascii="Arial" w:hAnsi="Arial"/>
          <w:b/>
        </w:rPr>
        <w:t>Finance</w:t>
      </w:r>
    </w:p>
    <w:p w14:paraId="3D1EFE0F" w14:textId="77777777" w:rsidR="00032A81" w:rsidRPr="005A4C30" w:rsidRDefault="00032A81" w:rsidP="00032A81">
      <w:pPr>
        <w:numPr>
          <w:ilvl w:val="0"/>
          <w:numId w:val="13"/>
        </w:numPr>
        <w:suppressAutoHyphens w:val="0"/>
        <w:spacing w:after="200" w:line="276" w:lineRule="auto"/>
        <w:textAlignment w:val="auto"/>
        <w:rPr>
          <w:rFonts w:ascii="Arial" w:hAnsi="Arial"/>
        </w:rPr>
      </w:pPr>
      <w:r w:rsidRPr="005A4C30">
        <w:rPr>
          <w:rFonts w:ascii="Arial" w:hAnsi="Arial"/>
        </w:rPr>
        <w:t>The grant total is USD 249,999</w:t>
      </w:r>
    </w:p>
    <w:p w14:paraId="690559BE" w14:textId="77777777" w:rsidR="00032A81" w:rsidRPr="005A4C30" w:rsidRDefault="00032A81" w:rsidP="00032A81">
      <w:pPr>
        <w:numPr>
          <w:ilvl w:val="0"/>
          <w:numId w:val="13"/>
        </w:numPr>
        <w:suppressAutoHyphens w:val="0"/>
        <w:spacing w:after="200" w:line="276" w:lineRule="auto"/>
        <w:textAlignment w:val="auto"/>
        <w:rPr>
          <w:rFonts w:ascii="Arial" w:hAnsi="Arial"/>
        </w:rPr>
      </w:pPr>
      <w:r w:rsidRPr="005A4C30">
        <w:rPr>
          <w:rFonts w:ascii="Arial" w:hAnsi="Arial"/>
        </w:rPr>
        <w:t>$51,596 disbursed on signing of contract. Quarterly disbursements are made upon su</w:t>
      </w:r>
      <w:r w:rsidRPr="005A4C30">
        <w:rPr>
          <w:rFonts w:ascii="Arial" w:hAnsi="Arial"/>
        </w:rPr>
        <w:t>b</w:t>
      </w:r>
      <w:r w:rsidRPr="005A4C30">
        <w:rPr>
          <w:rFonts w:ascii="Arial" w:hAnsi="Arial"/>
        </w:rPr>
        <w:t xml:space="preserve">mission of cash flow projection and financial reports. </w:t>
      </w:r>
    </w:p>
    <w:p w14:paraId="0D50B521" w14:textId="2AE7BB17" w:rsidR="00032A81" w:rsidRPr="005A4C30" w:rsidRDefault="00032A81" w:rsidP="00032A81">
      <w:pPr>
        <w:numPr>
          <w:ilvl w:val="0"/>
          <w:numId w:val="13"/>
        </w:numPr>
        <w:suppressAutoHyphens w:val="0"/>
        <w:spacing w:after="200" w:line="276" w:lineRule="auto"/>
        <w:textAlignment w:val="auto"/>
        <w:rPr>
          <w:rFonts w:ascii="Arial" w:hAnsi="Arial"/>
        </w:rPr>
      </w:pPr>
      <w:r w:rsidRPr="005A4C30">
        <w:rPr>
          <w:rFonts w:ascii="Arial" w:hAnsi="Arial"/>
        </w:rPr>
        <w:t>Payments are made into FFI</w:t>
      </w:r>
      <w:r w:rsidR="00AE415C">
        <w:rPr>
          <w:rFonts w:ascii="Arial" w:hAnsi="Arial"/>
        </w:rPr>
        <w:t>’</w:t>
      </w:r>
      <w:r w:rsidRPr="005A4C30">
        <w:rPr>
          <w:rFonts w:ascii="Arial" w:hAnsi="Arial"/>
        </w:rPr>
        <w:t>s Cambridge USD account</w:t>
      </w:r>
    </w:p>
    <w:p w14:paraId="6C416410" w14:textId="77777777" w:rsidR="00032A81" w:rsidRPr="005A4C30" w:rsidRDefault="00032A81" w:rsidP="00032A81">
      <w:pPr>
        <w:numPr>
          <w:ilvl w:val="0"/>
          <w:numId w:val="13"/>
        </w:numPr>
        <w:suppressAutoHyphens w:val="0"/>
        <w:spacing w:after="200" w:line="276" w:lineRule="auto"/>
        <w:textAlignment w:val="auto"/>
        <w:rPr>
          <w:rFonts w:ascii="Arial" w:hAnsi="Arial"/>
        </w:rPr>
      </w:pPr>
      <w:r w:rsidRPr="005A4C30">
        <w:rPr>
          <w:rFonts w:ascii="Arial" w:hAnsi="Arial"/>
        </w:rPr>
        <w:t>Up to 15% of total grant can allocated between direct cost lines. Any other changes have to have written prior permission from CEPF</w:t>
      </w:r>
    </w:p>
    <w:p w14:paraId="23A8B90B" w14:textId="77777777" w:rsidR="00032A81" w:rsidRPr="005A4C30" w:rsidRDefault="00032A81" w:rsidP="00032A81">
      <w:pPr>
        <w:numPr>
          <w:ilvl w:val="0"/>
          <w:numId w:val="13"/>
        </w:numPr>
        <w:suppressAutoHyphens w:val="0"/>
        <w:spacing w:after="200" w:line="276" w:lineRule="auto"/>
        <w:textAlignment w:val="auto"/>
        <w:rPr>
          <w:rFonts w:ascii="Arial" w:hAnsi="Arial"/>
        </w:rPr>
      </w:pPr>
      <w:r w:rsidRPr="005A4C30">
        <w:rPr>
          <w:rFonts w:ascii="Arial" w:hAnsi="Arial"/>
        </w:rPr>
        <w:t>Any unspent funds at the end of the grant must be returned to the funder</w:t>
      </w:r>
    </w:p>
    <w:p w14:paraId="1ACF9EF5" w14:textId="77777777" w:rsidR="00032A81" w:rsidRPr="005A4C30" w:rsidRDefault="00032A81" w:rsidP="00032A81">
      <w:pPr>
        <w:numPr>
          <w:ilvl w:val="0"/>
          <w:numId w:val="13"/>
        </w:numPr>
        <w:suppressAutoHyphens w:val="0"/>
        <w:spacing w:after="200" w:line="276" w:lineRule="auto"/>
        <w:textAlignment w:val="auto"/>
        <w:rPr>
          <w:rFonts w:ascii="Arial" w:hAnsi="Arial"/>
        </w:rPr>
      </w:pPr>
      <w:r w:rsidRPr="005A4C30">
        <w:rPr>
          <w:rFonts w:ascii="Arial" w:hAnsi="Arial"/>
        </w:rPr>
        <w:t xml:space="preserve">Any exchange of USD to local currency must be at the best available rate through the ‘channels authorized by applicable laws and </w:t>
      </w:r>
      <w:proofErr w:type="gramStart"/>
      <w:r w:rsidRPr="005A4C30">
        <w:rPr>
          <w:rFonts w:ascii="Arial" w:hAnsi="Arial"/>
        </w:rPr>
        <w:t>regulations’</w:t>
      </w:r>
      <w:proofErr w:type="gramEnd"/>
      <w:r w:rsidRPr="005A4C30">
        <w:rPr>
          <w:rFonts w:ascii="Arial" w:hAnsi="Arial"/>
        </w:rPr>
        <w:t xml:space="preserve">. Transactions must be verified through receipts or other documents to demonstrate the legality of these transactions. </w:t>
      </w:r>
    </w:p>
    <w:p w14:paraId="2A11ED2E" w14:textId="77777777" w:rsidR="00032A81" w:rsidRPr="005A4C30" w:rsidRDefault="00032A81" w:rsidP="00032A81">
      <w:pPr>
        <w:suppressAutoHyphens w:val="0"/>
        <w:spacing w:after="200" w:line="276" w:lineRule="auto"/>
        <w:textAlignment w:val="auto"/>
        <w:rPr>
          <w:rFonts w:ascii="Arial" w:hAnsi="Arial"/>
          <w:b/>
        </w:rPr>
      </w:pPr>
      <w:r w:rsidRPr="005A4C30">
        <w:rPr>
          <w:rFonts w:ascii="Arial" w:hAnsi="Arial"/>
          <w:b/>
        </w:rPr>
        <w:t>Reporting</w:t>
      </w:r>
    </w:p>
    <w:p w14:paraId="0CC4BED4" w14:textId="77777777" w:rsidR="00032A81" w:rsidRPr="005A4C30" w:rsidRDefault="00032A81" w:rsidP="00032A81">
      <w:pPr>
        <w:numPr>
          <w:ilvl w:val="0"/>
          <w:numId w:val="13"/>
        </w:numPr>
        <w:suppressAutoHyphens w:val="0"/>
        <w:spacing w:after="200" w:line="276" w:lineRule="auto"/>
        <w:textAlignment w:val="auto"/>
        <w:rPr>
          <w:rFonts w:ascii="Arial" w:hAnsi="Arial"/>
        </w:rPr>
      </w:pPr>
      <w:r w:rsidRPr="005A4C30">
        <w:rPr>
          <w:rFonts w:ascii="Arial" w:hAnsi="Arial"/>
        </w:rPr>
        <w:t xml:space="preserve">Progress reports within 30 days at the end of each </w:t>
      </w:r>
      <w:proofErr w:type="gramStart"/>
      <w:r w:rsidRPr="005A4C30">
        <w:rPr>
          <w:rFonts w:ascii="Arial" w:hAnsi="Arial"/>
        </w:rPr>
        <w:t>6 month</w:t>
      </w:r>
      <w:proofErr w:type="gramEnd"/>
      <w:r w:rsidRPr="005A4C30">
        <w:rPr>
          <w:rFonts w:ascii="Arial" w:hAnsi="Arial"/>
        </w:rPr>
        <w:t xml:space="preserve"> period in CEPF format</w:t>
      </w:r>
    </w:p>
    <w:p w14:paraId="72D97892" w14:textId="77777777" w:rsidR="00032A81" w:rsidRPr="005A4C30" w:rsidRDefault="00032A81" w:rsidP="00032A81">
      <w:pPr>
        <w:numPr>
          <w:ilvl w:val="0"/>
          <w:numId w:val="13"/>
        </w:numPr>
        <w:suppressAutoHyphens w:val="0"/>
        <w:spacing w:after="200" w:line="276" w:lineRule="auto"/>
        <w:textAlignment w:val="auto"/>
        <w:rPr>
          <w:rFonts w:ascii="Arial" w:hAnsi="Arial"/>
        </w:rPr>
      </w:pPr>
      <w:r w:rsidRPr="005A4C30">
        <w:rPr>
          <w:rFonts w:ascii="Arial" w:hAnsi="Arial"/>
        </w:rPr>
        <w:t>Financial reports submitted within 30 days of end of quarter in CEPF format. This will i</w:t>
      </w:r>
      <w:r w:rsidRPr="005A4C30">
        <w:rPr>
          <w:rFonts w:ascii="Arial" w:hAnsi="Arial"/>
        </w:rPr>
        <w:t>n</w:t>
      </w:r>
      <w:r w:rsidRPr="005A4C30">
        <w:rPr>
          <w:rFonts w:ascii="Arial" w:hAnsi="Arial"/>
        </w:rPr>
        <w:t>clude a detailed list of project expenses</w:t>
      </w:r>
    </w:p>
    <w:p w14:paraId="1BF363AA" w14:textId="77777777" w:rsidR="00032A81" w:rsidRPr="005A4C30" w:rsidRDefault="00032A81" w:rsidP="00032A81">
      <w:pPr>
        <w:numPr>
          <w:ilvl w:val="0"/>
          <w:numId w:val="13"/>
        </w:numPr>
        <w:suppressAutoHyphens w:val="0"/>
        <w:spacing w:after="200" w:line="276" w:lineRule="auto"/>
        <w:textAlignment w:val="auto"/>
        <w:rPr>
          <w:rFonts w:ascii="Arial" w:hAnsi="Arial"/>
        </w:rPr>
      </w:pPr>
      <w:r w:rsidRPr="005A4C30">
        <w:rPr>
          <w:rFonts w:ascii="Arial" w:hAnsi="Arial"/>
        </w:rPr>
        <w:t xml:space="preserve">Final technical and financial reports within 60 days of end of grant in CEPF format </w:t>
      </w:r>
    </w:p>
    <w:tbl>
      <w:tblPr>
        <w:tblW w:w="5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27"/>
        <w:gridCol w:w="2410"/>
      </w:tblGrid>
      <w:tr w:rsidR="00032A81" w:rsidRPr="005A4C30" w14:paraId="272D394F" w14:textId="77777777" w:rsidTr="0049624D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33684" w14:textId="77777777" w:rsidR="00032A81" w:rsidRPr="005A4C30" w:rsidRDefault="00032A81" w:rsidP="0049624D">
            <w:pPr>
              <w:suppressAutoHyphens w:val="0"/>
              <w:textAlignment w:val="auto"/>
              <w:rPr>
                <w:rFonts w:ascii="Arial" w:hAnsi="Arial"/>
                <w:b/>
                <w:sz w:val="20"/>
                <w:szCs w:val="20"/>
              </w:rPr>
            </w:pPr>
            <w:r w:rsidRPr="005A4C30">
              <w:rPr>
                <w:rFonts w:ascii="Arial" w:hAnsi="Arial"/>
                <w:b/>
                <w:sz w:val="20"/>
                <w:szCs w:val="20"/>
              </w:rPr>
              <w:t>Report type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F43EA" w14:textId="77777777" w:rsidR="00032A81" w:rsidRPr="005A4C30" w:rsidRDefault="00032A81" w:rsidP="0049624D">
            <w:pPr>
              <w:suppressAutoHyphens w:val="0"/>
              <w:textAlignment w:val="auto"/>
              <w:rPr>
                <w:rFonts w:ascii="Arial" w:hAnsi="Arial"/>
                <w:b/>
                <w:sz w:val="20"/>
                <w:szCs w:val="20"/>
              </w:rPr>
            </w:pPr>
            <w:r w:rsidRPr="005A4C30">
              <w:rPr>
                <w:rFonts w:ascii="Arial" w:hAnsi="Arial"/>
                <w:b/>
                <w:sz w:val="20"/>
                <w:szCs w:val="20"/>
              </w:rPr>
              <w:t>Submission deadline</w:t>
            </w:r>
          </w:p>
        </w:tc>
      </w:tr>
      <w:tr w:rsidR="00032A81" w:rsidRPr="005A4C30" w14:paraId="6F6055B8" w14:textId="77777777" w:rsidTr="0049624D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C4240" w14:textId="77777777" w:rsidR="00032A81" w:rsidRPr="005A4C30" w:rsidRDefault="00032A81" w:rsidP="0049624D">
            <w:pPr>
              <w:suppressAutoHyphens w:val="0"/>
              <w:textAlignment w:val="auto"/>
              <w:rPr>
                <w:rFonts w:ascii="Arial" w:hAnsi="Arial"/>
                <w:sz w:val="20"/>
                <w:szCs w:val="20"/>
              </w:rPr>
            </w:pPr>
            <w:r w:rsidRPr="005A4C30">
              <w:rPr>
                <w:rFonts w:ascii="Arial" w:hAnsi="Arial"/>
                <w:sz w:val="20"/>
                <w:szCs w:val="20"/>
              </w:rPr>
              <w:t>Financial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64DB8" w14:textId="77777777" w:rsidR="00032A81" w:rsidRPr="005A4C30" w:rsidRDefault="00032A81" w:rsidP="0049624D">
            <w:pPr>
              <w:suppressAutoHyphens w:val="0"/>
              <w:textAlignment w:val="auto"/>
              <w:rPr>
                <w:rFonts w:ascii="Arial" w:hAnsi="Arial"/>
              </w:rPr>
            </w:pPr>
            <w:r w:rsidRPr="005A4C30">
              <w:rPr>
                <w:rFonts w:ascii="Arial" w:hAnsi="Arial"/>
                <w:sz w:val="20"/>
                <w:szCs w:val="20"/>
              </w:rPr>
              <w:t>April 31</w:t>
            </w:r>
            <w:r w:rsidRPr="005A4C30">
              <w:rPr>
                <w:rFonts w:ascii="Arial" w:hAnsi="Arial"/>
                <w:sz w:val="20"/>
                <w:szCs w:val="20"/>
                <w:vertAlign w:val="superscript"/>
              </w:rPr>
              <w:t>st</w:t>
            </w:r>
            <w:r w:rsidRPr="005A4C30">
              <w:rPr>
                <w:rFonts w:ascii="Arial" w:hAnsi="Arial"/>
                <w:sz w:val="20"/>
                <w:szCs w:val="20"/>
              </w:rPr>
              <w:t xml:space="preserve"> 2015</w:t>
            </w:r>
          </w:p>
        </w:tc>
      </w:tr>
      <w:tr w:rsidR="00032A81" w:rsidRPr="005A4C30" w14:paraId="174114B4" w14:textId="77777777" w:rsidTr="0049624D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577CA" w14:textId="77777777" w:rsidR="00032A81" w:rsidRPr="005A4C30" w:rsidRDefault="00032A81" w:rsidP="0049624D">
            <w:pPr>
              <w:suppressAutoHyphens w:val="0"/>
              <w:textAlignment w:val="auto"/>
              <w:rPr>
                <w:rFonts w:ascii="Arial" w:hAnsi="Arial"/>
                <w:sz w:val="20"/>
                <w:szCs w:val="20"/>
              </w:rPr>
            </w:pPr>
            <w:r w:rsidRPr="005A4C30">
              <w:rPr>
                <w:rFonts w:ascii="Arial" w:hAnsi="Arial"/>
                <w:sz w:val="20"/>
                <w:szCs w:val="20"/>
              </w:rPr>
              <w:t>Technical and financial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17BA3" w14:textId="77777777" w:rsidR="00032A81" w:rsidRPr="005A4C30" w:rsidRDefault="00032A81" w:rsidP="0049624D">
            <w:pPr>
              <w:suppressAutoHyphens w:val="0"/>
              <w:textAlignment w:val="auto"/>
              <w:rPr>
                <w:rFonts w:ascii="Arial" w:hAnsi="Arial"/>
              </w:rPr>
            </w:pPr>
            <w:r w:rsidRPr="005A4C30">
              <w:rPr>
                <w:rFonts w:ascii="Arial" w:hAnsi="Arial"/>
                <w:sz w:val="20"/>
                <w:szCs w:val="20"/>
              </w:rPr>
              <w:t>July 31</w:t>
            </w:r>
            <w:r w:rsidRPr="005A4C30">
              <w:rPr>
                <w:rFonts w:ascii="Arial" w:hAnsi="Arial"/>
                <w:sz w:val="20"/>
                <w:szCs w:val="20"/>
                <w:vertAlign w:val="superscript"/>
              </w:rPr>
              <w:t>st</w:t>
            </w:r>
            <w:r w:rsidRPr="005A4C30">
              <w:rPr>
                <w:rFonts w:ascii="Arial" w:hAnsi="Arial"/>
                <w:sz w:val="20"/>
                <w:szCs w:val="20"/>
              </w:rPr>
              <w:t xml:space="preserve"> 2015</w:t>
            </w:r>
          </w:p>
        </w:tc>
      </w:tr>
      <w:tr w:rsidR="00032A81" w:rsidRPr="005A4C30" w14:paraId="45231CCE" w14:textId="77777777" w:rsidTr="0049624D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3F3DD" w14:textId="77777777" w:rsidR="00032A81" w:rsidRPr="005A4C30" w:rsidRDefault="00032A81" w:rsidP="0049624D">
            <w:pPr>
              <w:suppressAutoHyphens w:val="0"/>
              <w:textAlignment w:val="auto"/>
              <w:rPr>
                <w:rFonts w:ascii="Arial" w:hAnsi="Arial"/>
                <w:sz w:val="20"/>
                <w:szCs w:val="20"/>
              </w:rPr>
            </w:pPr>
            <w:r w:rsidRPr="005A4C30">
              <w:rPr>
                <w:rFonts w:ascii="Arial" w:hAnsi="Arial"/>
                <w:sz w:val="20"/>
                <w:szCs w:val="20"/>
              </w:rPr>
              <w:t>Financial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F4126" w14:textId="77777777" w:rsidR="00032A81" w:rsidRPr="005A4C30" w:rsidRDefault="00032A81" w:rsidP="0049624D">
            <w:pPr>
              <w:suppressAutoHyphens w:val="0"/>
              <w:textAlignment w:val="auto"/>
              <w:rPr>
                <w:rFonts w:ascii="Arial" w:hAnsi="Arial"/>
              </w:rPr>
            </w:pPr>
            <w:r w:rsidRPr="005A4C30">
              <w:rPr>
                <w:rFonts w:ascii="Arial" w:hAnsi="Arial"/>
                <w:sz w:val="20"/>
                <w:szCs w:val="20"/>
              </w:rPr>
              <w:t>October 31</w:t>
            </w:r>
            <w:r w:rsidRPr="005A4C30">
              <w:rPr>
                <w:rFonts w:ascii="Arial" w:hAnsi="Arial"/>
                <w:sz w:val="20"/>
                <w:szCs w:val="20"/>
                <w:vertAlign w:val="superscript"/>
              </w:rPr>
              <w:t xml:space="preserve">st </w:t>
            </w:r>
            <w:r w:rsidRPr="005A4C30">
              <w:rPr>
                <w:rFonts w:ascii="Arial" w:hAnsi="Arial"/>
                <w:sz w:val="20"/>
                <w:szCs w:val="20"/>
              </w:rPr>
              <w:t>2015</w:t>
            </w:r>
          </w:p>
        </w:tc>
      </w:tr>
      <w:tr w:rsidR="00032A81" w:rsidRPr="005A4C30" w14:paraId="5A836EDC" w14:textId="77777777" w:rsidTr="0049624D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4E80B" w14:textId="77777777" w:rsidR="00032A81" w:rsidRPr="005A4C30" w:rsidRDefault="00032A81" w:rsidP="0049624D">
            <w:pPr>
              <w:suppressAutoHyphens w:val="0"/>
              <w:textAlignment w:val="auto"/>
              <w:rPr>
                <w:rFonts w:ascii="Arial" w:hAnsi="Arial"/>
                <w:sz w:val="20"/>
                <w:szCs w:val="20"/>
              </w:rPr>
            </w:pPr>
            <w:r w:rsidRPr="005A4C30">
              <w:rPr>
                <w:rFonts w:ascii="Arial" w:hAnsi="Arial"/>
                <w:sz w:val="20"/>
                <w:szCs w:val="20"/>
              </w:rPr>
              <w:t>Technical and financial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6ECB4" w14:textId="77777777" w:rsidR="00032A81" w:rsidRPr="005A4C30" w:rsidRDefault="00032A81" w:rsidP="0049624D">
            <w:pPr>
              <w:suppressAutoHyphens w:val="0"/>
              <w:textAlignment w:val="auto"/>
              <w:rPr>
                <w:rFonts w:ascii="Arial" w:hAnsi="Arial"/>
              </w:rPr>
            </w:pPr>
            <w:r w:rsidRPr="005A4C30">
              <w:rPr>
                <w:rFonts w:ascii="Arial" w:hAnsi="Arial"/>
                <w:sz w:val="20"/>
                <w:szCs w:val="20"/>
              </w:rPr>
              <w:t>January 31</w:t>
            </w:r>
            <w:r w:rsidRPr="005A4C30">
              <w:rPr>
                <w:rFonts w:ascii="Arial" w:hAnsi="Arial"/>
                <w:sz w:val="20"/>
                <w:szCs w:val="20"/>
                <w:vertAlign w:val="superscript"/>
              </w:rPr>
              <w:t>st</w:t>
            </w:r>
            <w:r w:rsidRPr="005A4C30">
              <w:rPr>
                <w:rFonts w:ascii="Arial" w:hAnsi="Arial"/>
                <w:sz w:val="20"/>
                <w:szCs w:val="20"/>
              </w:rPr>
              <w:t xml:space="preserve"> 2016</w:t>
            </w:r>
          </w:p>
        </w:tc>
      </w:tr>
      <w:tr w:rsidR="00032A81" w:rsidRPr="005A4C30" w14:paraId="237EC83C" w14:textId="77777777" w:rsidTr="0049624D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0D3F8" w14:textId="77777777" w:rsidR="00032A81" w:rsidRPr="005A4C30" w:rsidRDefault="00032A81" w:rsidP="0049624D">
            <w:pPr>
              <w:suppressAutoHyphens w:val="0"/>
              <w:textAlignment w:val="auto"/>
              <w:rPr>
                <w:rFonts w:ascii="Arial" w:hAnsi="Arial"/>
                <w:sz w:val="20"/>
                <w:szCs w:val="20"/>
              </w:rPr>
            </w:pPr>
            <w:r w:rsidRPr="005A4C30">
              <w:rPr>
                <w:rFonts w:ascii="Arial" w:hAnsi="Arial"/>
                <w:sz w:val="20"/>
                <w:szCs w:val="20"/>
              </w:rPr>
              <w:t>Financial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0E06E" w14:textId="77777777" w:rsidR="00032A81" w:rsidRPr="005A4C30" w:rsidRDefault="00032A81" w:rsidP="0049624D">
            <w:pPr>
              <w:suppressAutoHyphens w:val="0"/>
              <w:textAlignment w:val="auto"/>
              <w:rPr>
                <w:rFonts w:ascii="Arial" w:hAnsi="Arial"/>
              </w:rPr>
            </w:pPr>
            <w:r w:rsidRPr="005A4C30">
              <w:rPr>
                <w:rFonts w:ascii="Arial" w:hAnsi="Arial"/>
                <w:sz w:val="20"/>
                <w:szCs w:val="20"/>
              </w:rPr>
              <w:t>April 31</w:t>
            </w:r>
            <w:r w:rsidRPr="005A4C30">
              <w:rPr>
                <w:rFonts w:ascii="Arial" w:hAnsi="Arial"/>
                <w:sz w:val="20"/>
                <w:szCs w:val="20"/>
                <w:vertAlign w:val="superscript"/>
              </w:rPr>
              <w:t>st</w:t>
            </w:r>
            <w:r w:rsidRPr="005A4C30">
              <w:rPr>
                <w:rFonts w:ascii="Arial" w:hAnsi="Arial"/>
                <w:sz w:val="20"/>
                <w:szCs w:val="20"/>
              </w:rPr>
              <w:t xml:space="preserve"> 2016</w:t>
            </w:r>
          </w:p>
        </w:tc>
      </w:tr>
      <w:tr w:rsidR="00032A81" w:rsidRPr="005A4C30" w14:paraId="13416C61" w14:textId="77777777" w:rsidTr="0049624D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46B68" w14:textId="77777777" w:rsidR="00032A81" w:rsidRPr="005A4C30" w:rsidRDefault="00032A81" w:rsidP="0049624D">
            <w:pPr>
              <w:suppressAutoHyphens w:val="0"/>
              <w:textAlignment w:val="auto"/>
              <w:rPr>
                <w:rFonts w:ascii="Arial" w:hAnsi="Arial"/>
                <w:sz w:val="20"/>
                <w:szCs w:val="20"/>
              </w:rPr>
            </w:pPr>
            <w:r w:rsidRPr="005A4C30">
              <w:rPr>
                <w:rFonts w:ascii="Arial" w:hAnsi="Arial"/>
                <w:sz w:val="20"/>
                <w:szCs w:val="20"/>
              </w:rPr>
              <w:t>Technical and financial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944CE" w14:textId="77777777" w:rsidR="00032A81" w:rsidRPr="005A4C30" w:rsidRDefault="00032A81" w:rsidP="0049624D">
            <w:pPr>
              <w:suppressAutoHyphens w:val="0"/>
              <w:textAlignment w:val="auto"/>
              <w:rPr>
                <w:rFonts w:ascii="Arial" w:hAnsi="Arial"/>
              </w:rPr>
            </w:pPr>
            <w:r w:rsidRPr="005A4C30">
              <w:rPr>
                <w:rFonts w:ascii="Arial" w:hAnsi="Arial"/>
                <w:sz w:val="20"/>
                <w:szCs w:val="20"/>
              </w:rPr>
              <w:t>July 31</w:t>
            </w:r>
            <w:r w:rsidRPr="005A4C30">
              <w:rPr>
                <w:rFonts w:ascii="Arial" w:hAnsi="Arial"/>
                <w:sz w:val="20"/>
                <w:szCs w:val="20"/>
                <w:vertAlign w:val="superscript"/>
              </w:rPr>
              <w:t>st</w:t>
            </w:r>
            <w:r w:rsidRPr="005A4C30">
              <w:rPr>
                <w:rFonts w:ascii="Arial" w:hAnsi="Arial"/>
                <w:sz w:val="20"/>
                <w:szCs w:val="20"/>
              </w:rPr>
              <w:t xml:space="preserve"> 2016</w:t>
            </w:r>
          </w:p>
        </w:tc>
      </w:tr>
      <w:tr w:rsidR="00032A81" w:rsidRPr="005A4C30" w14:paraId="74C1422A" w14:textId="77777777" w:rsidTr="0049624D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77B09" w14:textId="77777777" w:rsidR="00032A81" w:rsidRPr="005A4C30" w:rsidRDefault="00032A81" w:rsidP="0049624D">
            <w:pPr>
              <w:suppressAutoHyphens w:val="0"/>
              <w:textAlignment w:val="auto"/>
              <w:rPr>
                <w:rFonts w:ascii="Arial" w:hAnsi="Arial"/>
                <w:sz w:val="20"/>
                <w:szCs w:val="20"/>
              </w:rPr>
            </w:pPr>
            <w:r w:rsidRPr="005A4C30">
              <w:rPr>
                <w:rFonts w:ascii="Arial" w:hAnsi="Arial"/>
                <w:sz w:val="20"/>
                <w:szCs w:val="20"/>
              </w:rPr>
              <w:t>Financial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7F224" w14:textId="77777777" w:rsidR="00032A81" w:rsidRPr="005A4C30" w:rsidRDefault="00032A81" w:rsidP="0049624D">
            <w:pPr>
              <w:suppressAutoHyphens w:val="0"/>
              <w:textAlignment w:val="auto"/>
              <w:rPr>
                <w:rFonts w:ascii="Arial" w:hAnsi="Arial"/>
              </w:rPr>
            </w:pPr>
            <w:r w:rsidRPr="005A4C30">
              <w:rPr>
                <w:rFonts w:ascii="Arial" w:hAnsi="Arial"/>
                <w:sz w:val="20"/>
                <w:szCs w:val="20"/>
              </w:rPr>
              <w:t>October 31</w:t>
            </w:r>
            <w:r w:rsidRPr="005A4C30">
              <w:rPr>
                <w:rFonts w:ascii="Arial" w:hAnsi="Arial"/>
                <w:sz w:val="20"/>
                <w:szCs w:val="20"/>
                <w:vertAlign w:val="superscript"/>
              </w:rPr>
              <w:t>st</w:t>
            </w:r>
            <w:r w:rsidRPr="005A4C30">
              <w:rPr>
                <w:rFonts w:ascii="Arial" w:hAnsi="Arial"/>
                <w:sz w:val="20"/>
                <w:szCs w:val="20"/>
              </w:rPr>
              <w:t xml:space="preserve"> 2016</w:t>
            </w:r>
          </w:p>
        </w:tc>
      </w:tr>
      <w:tr w:rsidR="00032A81" w:rsidRPr="005A4C30" w14:paraId="1B141465" w14:textId="77777777" w:rsidTr="0049624D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44576" w14:textId="77777777" w:rsidR="00032A81" w:rsidRPr="005A4C30" w:rsidRDefault="00032A81" w:rsidP="0049624D">
            <w:pPr>
              <w:suppressAutoHyphens w:val="0"/>
              <w:textAlignment w:val="auto"/>
              <w:rPr>
                <w:rFonts w:ascii="Arial" w:hAnsi="Arial"/>
                <w:sz w:val="20"/>
                <w:szCs w:val="20"/>
              </w:rPr>
            </w:pPr>
            <w:r w:rsidRPr="005A4C30">
              <w:rPr>
                <w:rFonts w:ascii="Arial" w:hAnsi="Arial"/>
                <w:sz w:val="20"/>
                <w:szCs w:val="20"/>
              </w:rPr>
              <w:t>Technical and financial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9919D" w14:textId="77777777" w:rsidR="00032A81" w:rsidRPr="005A4C30" w:rsidRDefault="00032A81" w:rsidP="0049624D">
            <w:pPr>
              <w:suppressAutoHyphens w:val="0"/>
              <w:textAlignment w:val="auto"/>
              <w:rPr>
                <w:rFonts w:ascii="Arial" w:hAnsi="Arial"/>
              </w:rPr>
            </w:pPr>
            <w:r w:rsidRPr="005A4C30">
              <w:rPr>
                <w:rFonts w:ascii="Arial" w:hAnsi="Arial"/>
                <w:sz w:val="20"/>
                <w:szCs w:val="20"/>
              </w:rPr>
              <w:t>January 31</w:t>
            </w:r>
            <w:r w:rsidRPr="005A4C30">
              <w:rPr>
                <w:rFonts w:ascii="Arial" w:hAnsi="Arial"/>
                <w:sz w:val="20"/>
                <w:szCs w:val="20"/>
                <w:vertAlign w:val="superscript"/>
              </w:rPr>
              <w:t>st</w:t>
            </w:r>
            <w:r w:rsidRPr="005A4C30">
              <w:rPr>
                <w:rFonts w:ascii="Arial" w:hAnsi="Arial"/>
                <w:sz w:val="20"/>
                <w:szCs w:val="20"/>
              </w:rPr>
              <w:t xml:space="preserve"> 2017</w:t>
            </w:r>
          </w:p>
        </w:tc>
      </w:tr>
      <w:tr w:rsidR="00032A81" w:rsidRPr="005A4C30" w14:paraId="16F7C29E" w14:textId="77777777" w:rsidTr="0049624D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F30CB" w14:textId="77777777" w:rsidR="00032A81" w:rsidRPr="005A4C30" w:rsidRDefault="00032A81" w:rsidP="0049624D">
            <w:pPr>
              <w:suppressAutoHyphens w:val="0"/>
              <w:textAlignment w:val="auto"/>
              <w:rPr>
                <w:rFonts w:ascii="Arial" w:hAnsi="Arial"/>
                <w:sz w:val="20"/>
                <w:szCs w:val="20"/>
              </w:rPr>
            </w:pPr>
            <w:r w:rsidRPr="005A4C30">
              <w:rPr>
                <w:rFonts w:ascii="Arial" w:hAnsi="Arial"/>
                <w:sz w:val="20"/>
                <w:szCs w:val="20"/>
              </w:rPr>
              <w:t>Financial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FCE3D" w14:textId="77777777" w:rsidR="00032A81" w:rsidRPr="005A4C30" w:rsidRDefault="00032A81" w:rsidP="0049624D">
            <w:pPr>
              <w:suppressAutoHyphens w:val="0"/>
              <w:textAlignment w:val="auto"/>
              <w:rPr>
                <w:rFonts w:ascii="Arial" w:hAnsi="Arial"/>
              </w:rPr>
            </w:pPr>
            <w:r w:rsidRPr="005A4C30">
              <w:rPr>
                <w:rFonts w:ascii="Arial" w:hAnsi="Arial"/>
                <w:sz w:val="20"/>
                <w:szCs w:val="20"/>
              </w:rPr>
              <w:t>April 31</w:t>
            </w:r>
            <w:r w:rsidRPr="005A4C30">
              <w:rPr>
                <w:rFonts w:ascii="Arial" w:hAnsi="Arial"/>
                <w:sz w:val="20"/>
                <w:szCs w:val="20"/>
                <w:vertAlign w:val="superscript"/>
              </w:rPr>
              <w:t>st</w:t>
            </w:r>
            <w:r w:rsidRPr="005A4C30">
              <w:rPr>
                <w:rFonts w:ascii="Arial" w:hAnsi="Arial"/>
                <w:sz w:val="20"/>
                <w:szCs w:val="20"/>
              </w:rPr>
              <w:t xml:space="preserve"> 2017</w:t>
            </w:r>
          </w:p>
        </w:tc>
      </w:tr>
      <w:tr w:rsidR="00032A81" w:rsidRPr="005A4C30" w14:paraId="257BB08F" w14:textId="77777777" w:rsidTr="0049624D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1F3AD" w14:textId="77777777" w:rsidR="00032A81" w:rsidRPr="005A4C30" w:rsidRDefault="00032A81" w:rsidP="0049624D">
            <w:pPr>
              <w:suppressAutoHyphens w:val="0"/>
              <w:textAlignment w:val="auto"/>
              <w:rPr>
                <w:rFonts w:ascii="Arial" w:hAnsi="Arial"/>
                <w:sz w:val="20"/>
                <w:szCs w:val="20"/>
              </w:rPr>
            </w:pPr>
            <w:r w:rsidRPr="005A4C30">
              <w:rPr>
                <w:rFonts w:ascii="Arial" w:hAnsi="Arial"/>
                <w:sz w:val="20"/>
                <w:szCs w:val="20"/>
              </w:rPr>
              <w:t>Final Technical and financial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E0A3E" w14:textId="77777777" w:rsidR="00032A81" w:rsidRPr="005A4C30" w:rsidRDefault="00032A81" w:rsidP="0049624D">
            <w:pPr>
              <w:suppressAutoHyphens w:val="0"/>
              <w:textAlignment w:val="auto"/>
              <w:rPr>
                <w:rFonts w:ascii="Arial" w:hAnsi="Arial"/>
              </w:rPr>
            </w:pPr>
            <w:r w:rsidRPr="005A4C30">
              <w:rPr>
                <w:rFonts w:ascii="Arial" w:hAnsi="Arial"/>
                <w:sz w:val="20"/>
                <w:szCs w:val="20"/>
              </w:rPr>
              <w:t>September 31</w:t>
            </w:r>
            <w:r w:rsidRPr="005A4C30">
              <w:rPr>
                <w:rFonts w:ascii="Arial" w:hAnsi="Arial"/>
                <w:sz w:val="20"/>
                <w:szCs w:val="20"/>
                <w:vertAlign w:val="superscript"/>
              </w:rPr>
              <w:t>st</w:t>
            </w:r>
            <w:r w:rsidRPr="005A4C30">
              <w:rPr>
                <w:rFonts w:ascii="Arial" w:hAnsi="Arial"/>
                <w:sz w:val="20"/>
                <w:szCs w:val="20"/>
              </w:rPr>
              <w:t xml:space="preserve"> 2017</w:t>
            </w:r>
          </w:p>
        </w:tc>
      </w:tr>
    </w:tbl>
    <w:p w14:paraId="15313518" w14:textId="77777777" w:rsidR="00032A81" w:rsidRPr="005A4C30" w:rsidRDefault="00032A81" w:rsidP="00032A81">
      <w:pPr>
        <w:suppressAutoHyphens w:val="0"/>
        <w:spacing w:after="200" w:line="276" w:lineRule="auto"/>
        <w:jc w:val="center"/>
        <w:textAlignment w:val="auto"/>
        <w:rPr>
          <w:rFonts w:ascii="Arial" w:hAnsi="Arial"/>
        </w:rPr>
      </w:pPr>
    </w:p>
    <w:p w14:paraId="1BCE96B7" w14:textId="77777777" w:rsidR="00032A81" w:rsidRPr="005A4C30" w:rsidRDefault="00032A81" w:rsidP="00032A81">
      <w:pPr>
        <w:suppressAutoHyphens w:val="0"/>
        <w:spacing w:after="200" w:line="276" w:lineRule="auto"/>
        <w:ind w:left="928"/>
        <w:textAlignment w:val="auto"/>
        <w:rPr>
          <w:rFonts w:ascii="Arial" w:hAnsi="Arial"/>
        </w:rPr>
      </w:pPr>
    </w:p>
    <w:p w14:paraId="5F789869" w14:textId="77777777" w:rsidR="00032A81" w:rsidRPr="005A4C30" w:rsidRDefault="00032A81" w:rsidP="00032A81">
      <w:pPr>
        <w:suppressAutoHyphens w:val="0"/>
        <w:spacing w:after="200" w:line="276" w:lineRule="auto"/>
        <w:ind w:left="928"/>
        <w:textAlignment w:val="auto"/>
        <w:rPr>
          <w:rFonts w:ascii="Arial" w:hAnsi="Arial"/>
        </w:rPr>
      </w:pPr>
    </w:p>
    <w:p w14:paraId="307BDB3F" w14:textId="77777777" w:rsidR="00032A81" w:rsidRPr="005A4C30" w:rsidRDefault="00032A81" w:rsidP="00032A81">
      <w:pPr>
        <w:numPr>
          <w:ilvl w:val="0"/>
          <w:numId w:val="13"/>
        </w:numPr>
        <w:suppressAutoHyphens w:val="0"/>
        <w:spacing w:after="200" w:line="276" w:lineRule="auto"/>
        <w:textAlignment w:val="auto"/>
        <w:rPr>
          <w:rFonts w:ascii="Arial" w:hAnsi="Arial"/>
        </w:rPr>
      </w:pPr>
      <w:r w:rsidRPr="005A4C30">
        <w:rPr>
          <w:rFonts w:ascii="Arial" w:hAnsi="Arial"/>
        </w:rPr>
        <w:t>Full copies of all procurement records to be maintained for all purchased of good and se</w:t>
      </w:r>
      <w:r w:rsidRPr="005A4C30">
        <w:rPr>
          <w:rFonts w:ascii="Arial" w:hAnsi="Arial"/>
        </w:rPr>
        <w:t>r</w:t>
      </w:r>
      <w:r w:rsidRPr="005A4C30">
        <w:rPr>
          <w:rFonts w:ascii="Arial" w:hAnsi="Arial"/>
        </w:rPr>
        <w:t xml:space="preserve">vices. See CEPF guide to procurement. </w:t>
      </w:r>
    </w:p>
    <w:p w14:paraId="1A96D755" w14:textId="77777777" w:rsidR="00032A81" w:rsidRPr="005A4C30" w:rsidRDefault="00032A81" w:rsidP="00032A81">
      <w:pPr>
        <w:suppressAutoHyphens w:val="0"/>
        <w:spacing w:after="200" w:line="276" w:lineRule="auto"/>
        <w:textAlignment w:val="auto"/>
        <w:rPr>
          <w:rFonts w:ascii="Arial" w:hAnsi="Arial"/>
          <w:b/>
        </w:rPr>
      </w:pPr>
      <w:r w:rsidRPr="005A4C30">
        <w:rPr>
          <w:rFonts w:ascii="Arial" w:hAnsi="Arial"/>
          <w:b/>
        </w:rPr>
        <w:t>Other</w:t>
      </w:r>
    </w:p>
    <w:p w14:paraId="27CF8A62" w14:textId="77777777" w:rsidR="00032A81" w:rsidRPr="005A4C30" w:rsidRDefault="00032A81" w:rsidP="00032A81">
      <w:pPr>
        <w:numPr>
          <w:ilvl w:val="0"/>
          <w:numId w:val="13"/>
        </w:numPr>
        <w:suppressAutoHyphens w:val="0"/>
        <w:spacing w:after="200" w:line="276" w:lineRule="auto"/>
        <w:textAlignment w:val="auto"/>
        <w:rPr>
          <w:rFonts w:ascii="Arial" w:hAnsi="Arial"/>
        </w:rPr>
      </w:pPr>
      <w:r w:rsidRPr="005A4C30">
        <w:rPr>
          <w:rFonts w:ascii="Arial" w:hAnsi="Arial"/>
        </w:rPr>
        <w:t>FFI has to pass on full terms and conditions in contract to all sub-contracts and sub-awards</w:t>
      </w:r>
    </w:p>
    <w:p w14:paraId="5FFC9569" w14:textId="77777777" w:rsidR="00032A81" w:rsidRPr="005A4C30" w:rsidRDefault="00032A81" w:rsidP="00032A81">
      <w:pPr>
        <w:numPr>
          <w:ilvl w:val="0"/>
          <w:numId w:val="13"/>
        </w:numPr>
        <w:suppressAutoHyphens w:val="0"/>
        <w:spacing w:after="200" w:line="276" w:lineRule="auto"/>
        <w:textAlignment w:val="auto"/>
        <w:rPr>
          <w:rFonts w:ascii="Arial" w:hAnsi="Arial"/>
        </w:rPr>
      </w:pPr>
      <w:r w:rsidRPr="005A4C30">
        <w:rPr>
          <w:rFonts w:ascii="Arial" w:hAnsi="Arial"/>
        </w:rPr>
        <w:t>CEPF funds cannot be used for propaganda or attempting to influence legislation, land a</w:t>
      </w:r>
      <w:r w:rsidRPr="005A4C30">
        <w:rPr>
          <w:rFonts w:ascii="Arial" w:hAnsi="Arial"/>
        </w:rPr>
        <w:t>c</w:t>
      </w:r>
      <w:r w:rsidRPr="005A4C30">
        <w:rPr>
          <w:rFonts w:ascii="Arial" w:hAnsi="Arial"/>
        </w:rPr>
        <w:t>quisition nor physical relocation of people.</w:t>
      </w:r>
    </w:p>
    <w:p w14:paraId="77FCC5BE" w14:textId="77777777" w:rsidR="00032A81" w:rsidRPr="005A4C30" w:rsidRDefault="00032A81" w:rsidP="00032A81">
      <w:pPr>
        <w:suppressAutoHyphens w:val="0"/>
        <w:spacing w:after="200" w:line="276" w:lineRule="auto"/>
        <w:textAlignment w:val="auto"/>
        <w:rPr>
          <w:rFonts w:ascii="Arial" w:hAnsi="Arial"/>
        </w:rPr>
      </w:pPr>
      <w:bookmarkStart w:id="59" w:name="_GoBack"/>
      <w:bookmarkEnd w:id="59"/>
    </w:p>
    <w:sectPr w:rsidR="00032A81" w:rsidRPr="005A4C30" w:rsidSect="005650D6">
      <w:headerReference w:type="default" r:id="rId13"/>
      <w:pgSz w:w="11906" w:h="16838"/>
      <w:pgMar w:top="217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C623E" w14:textId="77777777" w:rsidR="005650D6" w:rsidRDefault="005650D6" w:rsidP="005650D6">
      <w:r>
        <w:separator/>
      </w:r>
    </w:p>
  </w:endnote>
  <w:endnote w:type="continuationSeparator" w:id="0">
    <w:p w14:paraId="06B20270" w14:textId="77777777" w:rsidR="005650D6" w:rsidRDefault="005650D6" w:rsidP="00565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47FDF" w14:textId="77777777" w:rsidR="00350F31" w:rsidRDefault="00350F31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10</w:t>
    </w:r>
    <w:r>
      <w:fldChar w:fldCharType="end"/>
    </w:r>
  </w:p>
  <w:p w14:paraId="07AA727F" w14:textId="77777777" w:rsidR="00350F31" w:rsidRDefault="00350F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0C584" w14:textId="77777777" w:rsidR="00350F31" w:rsidRDefault="00350F31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17</w:t>
    </w:r>
    <w:r>
      <w:fldChar w:fldCharType="end"/>
    </w:r>
  </w:p>
  <w:p w14:paraId="42A60FA7" w14:textId="77777777" w:rsidR="00350F31" w:rsidRDefault="00350F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4F8BC" w14:textId="77777777" w:rsidR="005650D6" w:rsidRDefault="005650D6" w:rsidP="005650D6">
      <w:r>
        <w:separator/>
      </w:r>
    </w:p>
  </w:footnote>
  <w:footnote w:type="continuationSeparator" w:id="0">
    <w:p w14:paraId="0DD52D6A" w14:textId="77777777" w:rsidR="005650D6" w:rsidRDefault="005650D6" w:rsidP="00565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54632" w14:textId="77777777" w:rsidR="005A4C30" w:rsidRDefault="005A4C30" w:rsidP="005A4C30">
    <w:pPr>
      <w:pStyle w:val="Header"/>
      <w:tabs>
        <w:tab w:val="clear" w:pos="9026"/>
        <w:tab w:val="right" w:pos="13892"/>
      </w:tabs>
    </w:pPr>
    <w:r w:rsidRPr="005650D6">
      <w:rPr>
        <w:rFonts w:ascii="Arial" w:hAnsi="Arial"/>
      </w:rPr>
      <w:t>Good fund management</w:t>
    </w:r>
    <w:r>
      <w:tab/>
    </w:r>
    <w:r>
      <w:tab/>
    </w:r>
    <w:r>
      <w:rPr>
        <w:noProof/>
      </w:rPr>
      <w:drawing>
        <wp:inline distT="0" distB="0" distL="0" distR="0" wp14:anchorId="4A62A303" wp14:editId="4514826E">
          <wp:extent cx="1807210" cy="65793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FI_logo_standar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8153" cy="669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68AB5" w14:textId="77777777" w:rsidR="005A4C30" w:rsidRPr="005A4C30" w:rsidRDefault="005A4C30" w:rsidP="005A4C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93740" w14:textId="77777777" w:rsidR="005650D6" w:rsidRDefault="005650D6">
    <w:pPr>
      <w:pStyle w:val="Header"/>
    </w:pPr>
    <w:r w:rsidRPr="005650D6">
      <w:rPr>
        <w:rFonts w:ascii="Arial" w:hAnsi="Arial"/>
      </w:rPr>
      <w:t>Good fund management</w:t>
    </w:r>
    <w:r>
      <w:tab/>
    </w:r>
    <w:r>
      <w:tab/>
    </w:r>
    <w:r>
      <w:rPr>
        <w:noProof/>
      </w:rPr>
      <w:drawing>
        <wp:inline distT="0" distB="0" distL="0" distR="0" wp14:anchorId="4082C545" wp14:editId="73D6B384">
          <wp:extent cx="1807210" cy="657932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FI_logo_standar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8153" cy="669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17932"/>
    <w:multiLevelType w:val="multilevel"/>
    <w:tmpl w:val="A24CE7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BEF44EF"/>
    <w:multiLevelType w:val="multilevel"/>
    <w:tmpl w:val="77349FE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 w15:restartNumberingAfterBreak="0">
    <w:nsid w:val="1E1E1F08"/>
    <w:multiLevelType w:val="hybridMultilevel"/>
    <w:tmpl w:val="57F4B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03BE1"/>
    <w:multiLevelType w:val="hybridMultilevel"/>
    <w:tmpl w:val="D2D4B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11886"/>
    <w:multiLevelType w:val="multilevel"/>
    <w:tmpl w:val="A914FE8A"/>
    <w:styleLink w:val="WWOutlineListStyle17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C5D2B01"/>
    <w:multiLevelType w:val="multilevel"/>
    <w:tmpl w:val="E2F448A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323839BF"/>
    <w:multiLevelType w:val="multilevel"/>
    <w:tmpl w:val="121637C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35FF37A3"/>
    <w:multiLevelType w:val="multilevel"/>
    <w:tmpl w:val="3B30059C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 w15:restartNumberingAfterBreak="0">
    <w:nsid w:val="3FA5688D"/>
    <w:multiLevelType w:val="hybridMultilevel"/>
    <w:tmpl w:val="7AD608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C91C3A"/>
    <w:multiLevelType w:val="multilevel"/>
    <w:tmpl w:val="2F1CC7DC"/>
    <w:lvl w:ilvl="0">
      <w:numFmt w:val="bullet"/>
      <w:lvlText w:val="-"/>
      <w:lvlJc w:val="left"/>
      <w:rPr>
        <w:rFonts w:ascii="Calibri" w:eastAsia="Calibri" w:hAnsi="Calibri" w:cs="Aria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" w15:restartNumberingAfterBreak="0">
    <w:nsid w:val="5A176B22"/>
    <w:multiLevelType w:val="multilevel"/>
    <w:tmpl w:val="660658A0"/>
    <w:lvl w:ilvl="0">
      <w:start w:val="1"/>
      <w:numFmt w:val="decimal"/>
      <w:lvlText w:val="%1)"/>
      <w:lvlJc w:val="left"/>
      <w:pPr>
        <w:ind w:left="92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093DB0"/>
    <w:multiLevelType w:val="multilevel"/>
    <w:tmpl w:val="A2B0E54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 w15:restartNumberingAfterBreak="0">
    <w:nsid w:val="640B3C29"/>
    <w:multiLevelType w:val="multilevel"/>
    <w:tmpl w:val="437C47D2"/>
    <w:styleLink w:val="WWOutlineListStyle1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BE6144E"/>
    <w:multiLevelType w:val="multilevel"/>
    <w:tmpl w:val="461CF9B2"/>
    <w:lvl w:ilvl="0">
      <w:numFmt w:val="bullet"/>
      <w:lvlText w:val="-"/>
      <w:lvlJc w:val="left"/>
      <w:rPr>
        <w:rFonts w:ascii="Calibri" w:eastAsia="Calibri" w:hAnsi="Calibri" w:cs="Aria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8"/>
  </w:num>
  <w:num w:numId="5">
    <w:abstractNumId w:val="4"/>
  </w:num>
  <w:num w:numId="6">
    <w:abstractNumId w:val="9"/>
  </w:num>
  <w:num w:numId="7">
    <w:abstractNumId w:val="7"/>
  </w:num>
  <w:num w:numId="8">
    <w:abstractNumId w:val="11"/>
  </w:num>
  <w:num w:numId="9">
    <w:abstractNumId w:val="6"/>
  </w:num>
  <w:num w:numId="10">
    <w:abstractNumId w:val="5"/>
  </w:num>
  <w:num w:numId="11">
    <w:abstractNumId w:val="2"/>
  </w:num>
  <w:num w:numId="12">
    <w:abstractNumId w:val="12"/>
  </w:num>
  <w:num w:numId="13">
    <w:abstractNumId w:val="10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D6"/>
    <w:rsid w:val="00032A81"/>
    <w:rsid w:val="00350F31"/>
    <w:rsid w:val="004246CF"/>
    <w:rsid w:val="004D6DA5"/>
    <w:rsid w:val="005650D6"/>
    <w:rsid w:val="005A4C30"/>
    <w:rsid w:val="006C57C4"/>
    <w:rsid w:val="008679BE"/>
    <w:rsid w:val="00AE415C"/>
    <w:rsid w:val="00E6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B1CBC9"/>
  <w15:chartTrackingRefBased/>
  <w15:docId w15:val="{26DE7F40-9819-41D2-87CE-7CC65543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650D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rsid w:val="00350F31"/>
    <w:pPr>
      <w:keepNext/>
      <w:keepLines/>
      <w:numPr>
        <w:numId w:val="5"/>
      </w:numPr>
      <w:shd w:val="clear" w:color="auto" w:fill="D9D9D9"/>
      <w:spacing w:before="480" w:after="200"/>
      <w:outlineLvl w:val="0"/>
    </w:pPr>
    <w:rPr>
      <w:rFonts w:ascii="Cambria" w:eastAsia="MS Gothic" w:hAnsi="Cambria" w:cs="Times New Roman"/>
      <w:b/>
      <w:bCs/>
      <w:color w:val="365F91"/>
      <w:sz w:val="24"/>
      <w:szCs w:val="28"/>
    </w:rPr>
  </w:style>
  <w:style w:type="paragraph" w:styleId="Heading2">
    <w:name w:val="heading 2"/>
    <w:basedOn w:val="Normal"/>
    <w:next w:val="Normal"/>
    <w:link w:val="Heading2Char"/>
    <w:rsid w:val="00350F31"/>
    <w:pPr>
      <w:keepNext/>
      <w:keepLines/>
      <w:numPr>
        <w:ilvl w:val="1"/>
        <w:numId w:val="5"/>
      </w:numPr>
      <w:spacing w:before="200" w:after="200"/>
      <w:outlineLvl w:val="1"/>
    </w:pPr>
    <w:rPr>
      <w:rFonts w:ascii="Cambria" w:eastAsia="MS Gothic" w:hAnsi="Cambria" w:cs="Times New Roman"/>
      <w:b/>
      <w:bCs/>
      <w:color w:val="4F81BD"/>
      <w:sz w:val="24"/>
      <w:szCs w:val="26"/>
    </w:rPr>
  </w:style>
  <w:style w:type="paragraph" w:styleId="Heading3">
    <w:name w:val="heading 3"/>
    <w:basedOn w:val="Normal"/>
    <w:next w:val="Normal"/>
    <w:link w:val="Heading3Char"/>
    <w:rsid w:val="00350F31"/>
    <w:pPr>
      <w:keepNext/>
      <w:keepLines/>
      <w:numPr>
        <w:ilvl w:val="2"/>
        <w:numId w:val="5"/>
      </w:numPr>
      <w:spacing w:before="200" w:after="200"/>
      <w:outlineLvl w:val="2"/>
    </w:pPr>
    <w:rPr>
      <w:rFonts w:ascii="Cambria" w:eastAsia="MS Gothic" w:hAnsi="Cambria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rsid w:val="00350F31"/>
    <w:pPr>
      <w:keepNext/>
      <w:keepLines/>
      <w:numPr>
        <w:ilvl w:val="3"/>
        <w:numId w:val="5"/>
      </w:numPr>
      <w:spacing w:before="200" w:after="200"/>
      <w:outlineLvl w:val="3"/>
    </w:pPr>
    <w:rPr>
      <w:rFonts w:ascii="Cambria" w:eastAsia="MS Gothic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rsid w:val="00350F31"/>
    <w:pPr>
      <w:keepNext/>
      <w:keepLines/>
      <w:numPr>
        <w:ilvl w:val="4"/>
        <w:numId w:val="5"/>
      </w:numPr>
      <w:spacing w:before="200" w:after="200"/>
      <w:outlineLvl w:val="4"/>
    </w:pPr>
    <w:rPr>
      <w:rFonts w:ascii="Cambria" w:eastAsia="MS Gothic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rsid w:val="00350F31"/>
    <w:pPr>
      <w:keepNext/>
      <w:keepLines/>
      <w:numPr>
        <w:ilvl w:val="5"/>
        <w:numId w:val="5"/>
      </w:numPr>
      <w:spacing w:before="200" w:after="200"/>
      <w:outlineLvl w:val="5"/>
    </w:pPr>
    <w:rPr>
      <w:rFonts w:ascii="Cambria" w:eastAsia="MS Gothic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rsid w:val="00350F31"/>
    <w:pPr>
      <w:keepNext/>
      <w:keepLines/>
      <w:numPr>
        <w:ilvl w:val="6"/>
        <w:numId w:val="5"/>
      </w:numPr>
      <w:spacing w:before="200" w:after="200"/>
      <w:outlineLvl w:val="6"/>
    </w:pPr>
    <w:rPr>
      <w:rFonts w:ascii="Cambria" w:eastAsia="MS Gothic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rsid w:val="00350F31"/>
    <w:pPr>
      <w:keepNext/>
      <w:keepLines/>
      <w:numPr>
        <w:ilvl w:val="7"/>
        <w:numId w:val="5"/>
      </w:numPr>
      <w:spacing w:before="200" w:after="200"/>
      <w:outlineLvl w:val="7"/>
    </w:pPr>
    <w:rPr>
      <w:rFonts w:ascii="Cambria" w:eastAsia="MS Gothic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350F31"/>
    <w:pPr>
      <w:keepNext/>
      <w:keepLines/>
      <w:numPr>
        <w:ilvl w:val="8"/>
        <w:numId w:val="5"/>
      </w:numPr>
      <w:spacing w:before="200" w:after="200"/>
      <w:outlineLvl w:val="8"/>
    </w:pPr>
    <w:rPr>
      <w:rFonts w:ascii="Cambria" w:eastAsia="MS Gothic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50D6"/>
    <w:pPr>
      <w:contextualSpacing/>
    </w:pPr>
    <w:rPr>
      <w:rFonts w:ascii="Georgia" w:eastAsiaTheme="majorEastAsia" w:hAnsi="Georg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0D6"/>
    <w:rPr>
      <w:rFonts w:ascii="Georgia" w:eastAsiaTheme="majorEastAsia" w:hAnsi="Georgia" w:cs="Arial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650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50D6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nhideWhenUsed/>
    <w:rsid w:val="005650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50D6"/>
    <w:rPr>
      <w:rFonts w:ascii="Calibri" w:eastAsia="Calibri" w:hAnsi="Calibri" w:cs="Arial"/>
    </w:rPr>
  </w:style>
  <w:style w:type="table" w:styleId="GridTable1Light-Accent6">
    <w:name w:val="Grid Table 1 Light Accent 6"/>
    <w:basedOn w:val="TableNormal"/>
    <w:uiPriority w:val="46"/>
    <w:rsid w:val="005650D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qFormat/>
    <w:rsid w:val="004246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50F31"/>
    <w:rPr>
      <w:rFonts w:ascii="Cambria" w:eastAsia="MS Gothic" w:hAnsi="Cambria" w:cs="Times New Roman"/>
      <w:b/>
      <w:bCs/>
      <w:color w:val="365F91"/>
      <w:sz w:val="24"/>
      <w:szCs w:val="28"/>
      <w:shd w:val="clear" w:color="auto" w:fill="D9D9D9"/>
    </w:rPr>
  </w:style>
  <w:style w:type="character" w:customStyle="1" w:styleId="Heading2Char">
    <w:name w:val="Heading 2 Char"/>
    <w:basedOn w:val="DefaultParagraphFont"/>
    <w:link w:val="Heading2"/>
    <w:rsid w:val="00350F31"/>
    <w:rPr>
      <w:rFonts w:ascii="Cambria" w:eastAsia="MS Gothic" w:hAnsi="Cambria" w:cs="Times New Roman"/>
      <w:b/>
      <w:bCs/>
      <w:color w:val="4F81BD"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350F31"/>
    <w:rPr>
      <w:rFonts w:ascii="Cambria" w:eastAsia="MS Gothic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rsid w:val="00350F31"/>
    <w:rPr>
      <w:rFonts w:ascii="Cambria" w:eastAsia="MS Gothic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rsid w:val="00350F31"/>
    <w:rPr>
      <w:rFonts w:ascii="Cambria" w:eastAsia="MS Gothic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rsid w:val="00350F31"/>
    <w:rPr>
      <w:rFonts w:ascii="Cambria" w:eastAsia="MS Gothic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rsid w:val="00350F31"/>
    <w:rPr>
      <w:rFonts w:ascii="Cambria" w:eastAsia="MS Gothic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rsid w:val="00350F31"/>
    <w:rPr>
      <w:rFonts w:ascii="Cambria" w:eastAsia="MS Gothic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50F31"/>
    <w:rPr>
      <w:rFonts w:ascii="Cambria" w:eastAsia="MS Gothic" w:hAnsi="Cambria" w:cs="Times New Roman"/>
      <w:i/>
      <w:iCs/>
      <w:color w:val="404040"/>
      <w:sz w:val="20"/>
      <w:szCs w:val="20"/>
    </w:rPr>
  </w:style>
  <w:style w:type="numbering" w:customStyle="1" w:styleId="WWOutlineListStyle17">
    <w:name w:val="WW_OutlineListStyle_17"/>
    <w:basedOn w:val="NoList"/>
    <w:rsid w:val="00350F31"/>
    <w:pPr>
      <w:numPr>
        <w:numId w:val="5"/>
      </w:numPr>
    </w:pPr>
  </w:style>
  <w:style w:type="paragraph" w:styleId="FootnoteText">
    <w:name w:val="footnote text"/>
    <w:basedOn w:val="Normal"/>
    <w:link w:val="FootnoteTextChar"/>
    <w:rsid w:val="00350F3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50F31"/>
    <w:rPr>
      <w:rFonts w:ascii="Calibri" w:eastAsia="Calibri" w:hAnsi="Calibri" w:cs="Arial"/>
      <w:sz w:val="20"/>
      <w:szCs w:val="20"/>
    </w:rPr>
  </w:style>
  <w:style w:type="character" w:styleId="FootnoteReference">
    <w:name w:val="footnote reference"/>
    <w:rsid w:val="00350F31"/>
    <w:rPr>
      <w:position w:val="0"/>
      <w:vertAlign w:val="superscript"/>
    </w:rPr>
  </w:style>
  <w:style w:type="numbering" w:customStyle="1" w:styleId="WWOutlineListStyle13">
    <w:name w:val="WW_OutlineListStyle_13"/>
    <w:basedOn w:val="NoList"/>
    <w:rsid w:val="00032A81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7C4AE1C7BA24394B37DB1AA74829F" ma:contentTypeVersion="13" ma:contentTypeDescription="Create a new document." ma:contentTypeScope="" ma:versionID="8e7eda7a3c5ae8567d3a9f401542e643">
  <xsd:schema xmlns:xsd="http://www.w3.org/2001/XMLSchema" xmlns:xs="http://www.w3.org/2001/XMLSchema" xmlns:p="http://schemas.microsoft.com/office/2006/metadata/properties" xmlns:ns3="4ddd567c-44bd-47e7-b9ab-6088ef79da8a" xmlns:ns4="bb82e15c-beec-48e1-834c-720aca197989" targetNamespace="http://schemas.microsoft.com/office/2006/metadata/properties" ma:root="true" ma:fieldsID="f2aa7f4a11798b3b7b6778fc87626fb2" ns3:_="" ns4:_="">
    <xsd:import namespace="4ddd567c-44bd-47e7-b9ab-6088ef79da8a"/>
    <xsd:import namespace="bb82e15c-beec-48e1-834c-720aca1979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d567c-44bd-47e7-b9ab-6088ef79da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82e15c-beec-48e1-834c-720aca19798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9784F1-C2BA-49A6-B870-76E6C1828E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dd567c-44bd-47e7-b9ab-6088ef79da8a"/>
    <ds:schemaRef ds:uri="bb82e15c-beec-48e1-834c-720aca1979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88E422-F264-4130-97DB-E68589602E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61A810-1985-45F1-B682-32FEC351828B}">
  <ds:schemaRefs>
    <ds:schemaRef ds:uri="http://purl.org/dc/terms/"/>
    <ds:schemaRef ds:uri="http://purl.org/dc/dcmitype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4ddd567c-44bd-47e7-b9ab-6088ef79da8a"/>
    <ds:schemaRef ds:uri="http://schemas.microsoft.com/office/infopath/2007/PartnerControls"/>
    <ds:schemaRef ds:uri="bb82e15c-beec-48e1-834c-720aca197989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1140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Bobbi Hope</dc:creator>
  <cp:keywords/>
  <dc:description/>
  <cp:lastModifiedBy>Bobbi Hope</cp:lastModifiedBy>
  <cp:revision>4</cp:revision>
  <dcterms:created xsi:type="dcterms:W3CDTF">2022-09-06T15:03:00Z</dcterms:created>
  <dcterms:modified xsi:type="dcterms:W3CDTF">2022-09-06T15:06:00Z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0x010100BE97C4AE1C7BA24394B37DB1AA74829F</vt:lpwstr>
  </property>
</Properties>
</file>