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B38A9" w14:textId="77777777" w:rsidR="005650D6" w:rsidRDefault="005650D6" w:rsidP="005650D6">
      <w:pPr>
        <w:pStyle w:val="Title"/>
      </w:pPr>
      <w:r w:rsidRPr="005650D6">
        <w:t>Glossary of Terms</w:t>
      </w:r>
    </w:p>
    <w:p w14:paraId="60C96A2F" w14:textId="77777777" w:rsidR="005650D6" w:rsidRPr="005650D6" w:rsidRDefault="005650D6" w:rsidP="005650D6"/>
    <w:tbl>
      <w:tblPr>
        <w:tblStyle w:val="GridTable1Light-Accent6"/>
        <w:tblW w:w="9242" w:type="dxa"/>
        <w:tblBorders>
          <w:top w:val="single" w:sz="4" w:space="0" w:color="00A851"/>
          <w:left w:val="single" w:sz="4" w:space="0" w:color="00A851"/>
          <w:bottom w:val="single" w:sz="4" w:space="0" w:color="00A851"/>
          <w:right w:val="single" w:sz="4" w:space="0" w:color="00A851"/>
          <w:insideH w:val="single" w:sz="4" w:space="0" w:color="00A851"/>
          <w:insideV w:val="single" w:sz="4" w:space="0" w:color="00A851"/>
        </w:tblBorders>
        <w:tblLayout w:type="fixed"/>
        <w:tblLook w:val="0000" w:firstRow="0" w:lastRow="0" w:firstColumn="0" w:lastColumn="0" w:noHBand="0" w:noVBand="0"/>
      </w:tblPr>
      <w:tblGrid>
        <w:gridCol w:w="2147"/>
        <w:gridCol w:w="7095"/>
      </w:tblGrid>
      <w:tr w:rsidR="005650D6" w:rsidRPr="005650D6" w14:paraId="263283BF" w14:textId="77777777" w:rsidTr="005650D6">
        <w:tc>
          <w:tcPr>
            <w:tcW w:w="2147" w:type="dxa"/>
            <w:shd w:val="clear" w:color="auto" w:fill="00A851"/>
          </w:tcPr>
          <w:p w14:paraId="29FB6F29" w14:textId="77777777" w:rsidR="005650D6" w:rsidRPr="005650D6" w:rsidRDefault="005650D6" w:rsidP="0049624D">
            <w:pPr>
              <w:spacing w:after="120"/>
              <w:rPr>
                <w:rFonts w:ascii="Arial" w:eastAsia="MS Gothic" w:hAnsi="Arial"/>
                <w:b/>
                <w:bCs/>
                <w:color w:val="FFFFFF" w:themeColor="background1"/>
              </w:rPr>
            </w:pPr>
            <w:r w:rsidRPr="005650D6">
              <w:rPr>
                <w:rFonts w:ascii="Arial" w:eastAsia="MS Gothic" w:hAnsi="Arial"/>
                <w:b/>
                <w:bCs/>
                <w:color w:val="FFFFFF" w:themeColor="background1"/>
              </w:rPr>
              <w:t>Term or Acronym</w:t>
            </w:r>
          </w:p>
        </w:tc>
        <w:tc>
          <w:tcPr>
            <w:tcW w:w="7095" w:type="dxa"/>
            <w:shd w:val="clear" w:color="auto" w:fill="00A851"/>
          </w:tcPr>
          <w:p w14:paraId="2DE430D7" w14:textId="77777777" w:rsidR="005650D6" w:rsidRPr="005650D6" w:rsidRDefault="005650D6" w:rsidP="0049624D">
            <w:pPr>
              <w:spacing w:after="120"/>
              <w:rPr>
                <w:rFonts w:ascii="Arial" w:eastAsia="MS Gothic" w:hAnsi="Arial"/>
                <w:b/>
                <w:bCs/>
                <w:color w:val="FFFFFF" w:themeColor="background1"/>
              </w:rPr>
            </w:pPr>
            <w:r w:rsidRPr="005650D6">
              <w:rPr>
                <w:rFonts w:ascii="Arial" w:eastAsia="MS Gothic" w:hAnsi="Arial"/>
                <w:b/>
                <w:bCs/>
                <w:color w:val="FFFFFF" w:themeColor="background1"/>
              </w:rPr>
              <w:t>Definition</w:t>
            </w:r>
          </w:p>
        </w:tc>
      </w:tr>
      <w:tr w:rsidR="005650D6" w:rsidRPr="005650D6" w14:paraId="4C4C5A45" w14:textId="77777777" w:rsidTr="005650D6">
        <w:trPr>
          <w:trHeight w:val="775"/>
        </w:trPr>
        <w:tc>
          <w:tcPr>
            <w:tcW w:w="2147" w:type="dxa"/>
          </w:tcPr>
          <w:p w14:paraId="7AF4EF7B" w14:textId="77777777" w:rsidR="005650D6" w:rsidRPr="005650D6" w:rsidRDefault="005650D6" w:rsidP="0049624D">
            <w:pPr>
              <w:spacing w:after="120"/>
              <w:rPr>
                <w:rFonts w:ascii="Arial" w:eastAsia="MS Gothic" w:hAnsi="Arial"/>
                <w:b/>
                <w:bCs/>
                <w:sz w:val="20"/>
                <w:szCs w:val="20"/>
              </w:rPr>
            </w:pPr>
            <w:r w:rsidRPr="005650D6">
              <w:rPr>
                <w:rFonts w:ascii="Arial" w:eastAsia="MS Gothic" w:hAnsi="Arial"/>
                <w:b/>
                <w:bCs/>
                <w:sz w:val="20"/>
                <w:szCs w:val="20"/>
              </w:rPr>
              <w:t>Account Code</w:t>
            </w:r>
          </w:p>
        </w:tc>
        <w:tc>
          <w:tcPr>
            <w:tcW w:w="7095" w:type="dxa"/>
          </w:tcPr>
          <w:p w14:paraId="21942B42" w14:textId="77777777" w:rsidR="005650D6" w:rsidRPr="005650D6" w:rsidRDefault="005650D6" w:rsidP="0049624D">
            <w:pPr>
              <w:spacing w:after="120"/>
              <w:rPr>
                <w:rFonts w:ascii="Arial" w:hAnsi="Arial"/>
              </w:rPr>
            </w:pPr>
            <w:r w:rsidRPr="005650D6">
              <w:rPr>
                <w:rFonts w:ascii="Arial" w:eastAsia="MS Gothic" w:hAnsi="Arial"/>
                <w:bCs/>
                <w:sz w:val="20"/>
                <w:szCs w:val="20"/>
              </w:rPr>
              <w:t xml:space="preserve">A unique number given to each category of income, expenditure, asset or liability, used to classify financial transactions in the accounts and budgets. See also </w:t>
            </w:r>
            <w:r w:rsidRPr="005650D6">
              <w:rPr>
                <w:rFonts w:ascii="Arial" w:eastAsia="MS Gothic" w:hAnsi="Arial"/>
                <w:bCs/>
                <w:i/>
                <w:sz w:val="20"/>
                <w:szCs w:val="20"/>
              </w:rPr>
              <w:t>Charts of Accounts</w:t>
            </w:r>
          </w:p>
        </w:tc>
      </w:tr>
      <w:tr w:rsidR="005650D6" w:rsidRPr="005650D6" w14:paraId="584EACC9" w14:textId="77777777" w:rsidTr="005650D6">
        <w:trPr>
          <w:trHeight w:val="775"/>
        </w:trPr>
        <w:tc>
          <w:tcPr>
            <w:tcW w:w="2147" w:type="dxa"/>
          </w:tcPr>
          <w:p w14:paraId="282FD3FF" w14:textId="77777777" w:rsidR="005650D6" w:rsidRPr="005650D6" w:rsidRDefault="005650D6" w:rsidP="0049624D">
            <w:pPr>
              <w:spacing w:after="120"/>
              <w:rPr>
                <w:rFonts w:ascii="Arial" w:hAnsi="Arial"/>
              </w:rPr>
            </w:pPr>
            <w:r w:rsidRPr="005650D6">
              <w:rPr>
                <w:rFonts w:ascii="Arial" w:hAnsi="Arial"/>
                <w:b/>
                <w:sz w:val="20"/>
                <w:szCs w:val="20"/>
              </w:rPr>
              <w:t>Accrual</w:t>
            </w:r>
          </w:p>
        </w:tc>
        <w:tc>
          <w:tcPr>
            <w:tcW w:w="7095" w:type="dxa"/>
          </w:tcPr>
          <w:p w14:paraId="4DE4A9B0"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Adjustment made at the end of an accounting period to recognise expenses that have been incurred during the period but for which no invoice has yet been received.</w:t>
            </w:r>
          </w:p>
        </w:tc>
      </w:tr>
      <w:tr w:rsidR="005650D6" w:rsidRPr="005650D6" w14:paraId="16856368" w14:textId="77777777" w:rsidTr="005650D6">
        <w:tc>
          <w:tcPr>
            <w:tcW w:w="2147" w:type="dxa"/>
          </w:tcPr>
          <w:p w14:paraId="5D4791C8" w14:textId="77777777" w:rsidR="005650D6" w:rsidRPr="005650D6" w:rsidRDefault="005650D6" w:rsidP="0049624D">
            <w:pPr>
              <w:spacing w:after="120"/>
              <w:rPr>
                <w:rFonts w:ascii="Arial" w:eastAsia="MS Gothic" w:hAnsi="Arial"/>
                <w:b/>
                <w:bCs/>
                <w:sz w:val="20"/>
                <w:szCs w:val="20"/>
              </w:rPr>
            </w:pPr>
            <w:r w:rsidRPr="005650D6">
              <w:rPr>
                <w:rFonts w:ascii="Arial" w:eastAsia="MS Gothic" w:hAnsi="Arial"/>
                <w:b/>
                <w:bCs/>
                <w:sz w:val="20"/>
                <w:szCs w:val="20"/>
              </w:rPr>
              <w:t>Asset</w:t>
            </w:r>
          </w:p>
        </w:tc>
        <w:tc>
          <w:tcPr>
            <w:tcW w:w="7095" w:type="dxa"/>
          </w:tcPr>
          <w:p w14:paraId="1DB07BAD" w14:textId="77777777" w:rsidR="005650D6" w:rsidRPr="005650D6" w:rsidRDefault="005650D6" w:rsidP="0049624D">
            <w:pPr>
              <w:spacing w:after="120"/>
              <w:rPr>
                <w:rFonts w:ascii="Arial" w:hAnsi="Arial"/>
              </w:rPr>
            </w:pPr>
            <w:r w:rsidRPr="005650D6">
              <w:rPr>
                <w:rFonts w:ascii="Arial" w:eastAsia="MS Gothic" w:hAnsi="Arial"/>
                <w:bCs/>
                <w:sz w:val="20"/>
                <w:szCs w:val="20"/>
              </w:rPr>
              <w:t xml:space="preserve">Any possession or claim on others which is of value to the organisation. See also </w:t>
            </w:r>
            <w:r w:rsidRPr="005650D6">
              <w:rPr>
                <w:rFonts w:ascii="Arial" w:eastAsia="MS Gothic" w:hAnsi="Arial"/>
                <w:bCs/>
                <w:i/>
                <w:sz w:val="20"/>
                <w:szCs w:val="20"/>
              </w:rPr>
              <w:t>Fixed Assets</w:t>
            </w:r>
            <w:r w:rsidRPr="005650D6">
              <w:rPr>
                <w:rFonts w:ascii="Arial" w:eastAsia="MS Gothic" w:hAnsi="Arial"/>
                <w:bCs/>
                <w:sz w:val="20"/>
                <w:szCs w:val="20"/>
              </w:rPr>
              <w:t xml:space="preserve"> and </w:t>
            </w:r>
            <w:r w:rsidRPr="005650D6">
              <w:rPr>
                <w:rFonts w:ascii="Arial" w:eastAsia="MS Gothic" w:hAnsi="Arial"/>
                <w:bCs/>
                <w:i/>
                <w:sz w:val="20"/>
                <w:szCs w:val="20"/>
              </w:rPr>
              <w:t>Current Assets</w:t>
            </w:r>
            <w:r w:rsidRPr="005650D6">
              <w:rPr>
                <w:rFonts w:ascii="Arial" w:eastAsia="MS Gothic" w:hAnsi="Arial"/>
                <w:bCs/>
                <w:sz w:val="20"/>
                <w:szCs w:val="20"/>
              </w:rPr>
              <w:t>.</w:t>
            </w:r>
          </w:p>
        </w:tc>
      </w:tr>
      <w:tr w:rsidR="005650D6" w:rsidRPr="005650D6" w14:paraId="260D9691" w14:textId="77777777" w:rsidTr="005650D6">
        <w:tc>
          <w:tcPr>
            <w:tcW w:w="2147" w:type="dxa"/>
          </w:tcPr>
          <w:p w14:paraId="1643522B" w14:textId="77777777" w:rsidR="005650D6" w:rsidRPr="005650D6" w:rsidRDefault="005650D6" w:rsidP="0049624D">
            <w:pPr>
              <w:spacing w:after="120"/>
              <w:rPr>
                <w:rFonts w:ascii="Arial" w:eastAsia="MS Gothic" w:hAnsi="Arial"/>
                <w:b/>
                <w:bCs/>
                <w:sz w:val="20"/>
                <w:szCs w:val="20"/>
              </w:rPr>
            </w:pPr>
            <w:r w:rsidRPr="005650D6">
              <w:rPr>
                <w:rFonts w:ascii="Arial" w:eastAsia="MS Gothic" w:hAnsi="Arial"/>
                <w:b/>
                <w:bCs/>
                <w:sz w:val="20"/>
                <w:szCs w:val="20"/>
              </w:rPr>
              <w:t>Asset Register</w:t>
            </w:r>
          </w:p>
        </w:tc>
        <w:tc>
          <w:tcPr>
            <w:tcW w:w="7095" w:type="dxa"/>
          </w:tcPr>
          <w:p w14:paraId="2FB3F6BE" w14:textId="77777777" w:rsidR="005650D6" w:rsidRPr="005650D6" w:rsidRDefault="005650D6" w:rsidP="0049624D">
            <w:pPr>
              <w:spacing w:after="120"/>
              <w:rPr>
                <w:rFonts w:ascii="Arial" w:eastAsia="MS Gothic" w:hAnsi="Arial"/>
                <w:bCs/>
                <w:sz w:val="20"/>
                <w:szCs w:val="20"/>
              </w:rPr>
            </w:pPr>
            <w:r w:rsidRPr="005650D6">
              <w:rPr>
                <w:rFonts w:ascii="Arial" w:eastAsia="MS Gothic" w:hAnsi="Arial"/>
                <w:bCs/>
                <w:sz w:val="20"/>
                <w:szCs w:val="20"/>
              </w:rPr>
              <w:t>A list of the Fixed Assets of the organisation, usually giving details of value, serial numbers, location, purchase date etc.</w:t>
            </w:r>
          </w:p>
        </w:tc>
      </w:tr>
      <w:tr w:rsidR="005650D6" w:rsidRPr="005650D6" w14:paraId="632360E5" w14:textId="77777777" w:rsidTr="005650D6">
        <w:tc>
          <w:tcPr>
            <w:tcW w:w="2147" w:type="dxa"/>
          </w:tcPr>
          <w:p w14:paraId="7255ED59" w14:textId="77777777" w:rsidR="005650D6" w:rsidRPr="005650D6" w:rsidRDefault="005650D6" w:rsidP="0049624D">
            <w:pPr>
              <w:spacing w:after="120"/>
              <w:rPr>
                <w:rFonts w:ascii="Arial" w:hAnsi="Arial"/>
                <w:b/>
                <w:sz w:val="20"/>
                <w:szCs w:val="20"/>
              </w:rPr>
            </w:pPr>
            <w:r w:rsidRPr="005650D6">
              <w:rPr>
                <w:rFonts w:ascii="Arial" w:hAnsi="Arial"/>
                <w:b/>
                <w:sz w:val="20"/>
                <w:szCs w:val="20"/>
              </w:rPr>
              <w:t>Audit</w:t>
            </w:r>
          </w:p>
        </w:tc>
        <w:tc>
          <w:tcPr>
            <w:tcW w:w="7095" w:type="dxa"/>
          </w:tcPr>
          <w:p w14:paraId="657F63C5"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formal check on the accounts by an independent person (auditor).</w:t>
            </w:r>
          </w:p>
        </w:tc>
      </w:tr>
      <w:tr w:rsidR="005650D6" w:rsidRPr="005650D6" w14:paraId="46D30805" w14:textId="77777777" w:rsidTr="005650D6">
        <w:tc>
          <w:tcPr>
            <w:tcW w:w="2147" w:type="dxa"/>
          </w:tcPr>
          <w:p w14:paraId="5F491359" w14:textId="77777777" w:rsidR="005650D6" w:rsidRPr="005650D6" w:rsidRDefault="005650D6" w:rsidP="0049624D">
            <w:pPr>
              <w:spacing w:after="120"/>
              <w:rPr>
                <w:rFonts w:ascii="Arial" w:hAnsi="Arial"/>
                <w:b/>
                <w:sz w:val="20"/>
                <w:szCs w:val="20"/>
              </w:rPr>
            </w:pPr>
            <w:r w:rsidRPr="005650D6">
              <w:rPr>
                <w:rFonts w:ascii="Arial" w:hAnsi="Arial"/>
                <w:b/>
                <w:sz w:val="20"/>
                <w:szCs w:val="20"/>
              </w:rPr>
              <w:t>Audit trail</w:t>
            </w:r>
          </w:p>
        </w:tc>
        <w:tc>
          <w:tcPr>
            <w:tcW w:w="7095" w:type="dxa"/>
          </w:tcPr>
          <w:p w14:paraId="1178153A"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ability to follow the course of any reported transaction through an organisation’s accounting systems.</w:t>
            </w:r>
          </w:p>
        </w:tc>
      </w:tr>
      <w:tr w:rsidR="005650D6" w:rsidRPr="005650D6" w14:paraId="23DC0E07" w14:textId="77777777" w:rsidTr="005650D6">
        <w:tc>
          <w:tcPr>
            <w:tcW w:w="2147" w:type="dxa"/>
          </w:tcPr>
          <w:p w14:paraId="28E77944" w14:textId="77777777" w:rsidR="005650D6" w:rsidRPr="005650D6" w:rsidRDefault="005650D6" w:rsidP="0049624D">
            <w:pPr>
              <w:spacing w:after="120"/>
              <w:rPr>
                <w:rFonts w:ascii="Arial" w:hAnsi="Arial"/>
                <w:b/>
                <w:sz w:val="20"/>
                <w:szCs w:val="20"/>
              </w:rPr>
            </w:pPr>
            <w:r w:rsidRPr="005650D6">
              <w:rPr>
                <w:rFonts w:ascii="Arial" w:hAnsi="Arial"/>
                <w:b/>
                <w:sz w:val="20"/>
                <w:szCs w:val="20"/>
              </w:rPr>
              <w:t>Authorisation</w:t>
            </w:r>
          </w:p>
        </w:tc>
        <w:tc>
          <w:tcPr>
            <w:tcW w:w="7095" w:type="dxa"/>
          </w:tcPr>
          <w:p w14:paraId="5323EA30"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This is the process of approval over transactions, normally the decision to purchase or commit expenditure. Authorisation by a budget holder is a way of confirming that spending is in line with budget and is appropriate.</w:t>
            </w:r>
          </w:p>
        </w:tc>
      </w:tr>
      <w:tr w:rsidR="005650D6" w:rsidRPr="005650D6" w14:paraId="5A591803" w14:textId="77777777" w:rsidTr="005650D6">
        <w:tc>
          <w:tcPr>
            <w:tcW w:w="2147" w:type="dxa"/>
          </w:tcPr>
          <w:p w14:paraId="4C12ED2C" w14:textId="77777777" w:rsidR="005650D6" w:rsidRPr="005650D6" w:rsidRDefault="005650D6" w:rsidP="0049624D">
            <w:pPr>
              <w:spacing w:after="120"/>
              <w:rPr>
                <w:rFonts w:ascii="Arial" w:hAnsi="Arial"/>
                <w:b/>
                <w:sz w:val="20"/>
                <w:szCs w:val="20"/>
              </w:rPr>
            </w:pPr>
            <w:r w:rsidRPr="005650D6">
              <w:rPr>
                <w:rFonts w:ascii="Arial" w:hAnsi="Arial"/>
                <w:b/>
                <w:sz w:val="20"/>
                <w:szCs w:val="20"/>
              </w:rPr>
              <w:t>Balance sheet</w:t>
            </w:r>
          </w:p>
        </w:tc>
        <w:tc>
          <w:tcPr>
            <w:tcW w:w="7095" w:type="dxa"/>
          </w:tcPr>
          <w:p w14:paraId="0D218788"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summary of the financial position of an organisation at a particular date, showing the assets owned by the organisation and the liabilities (or debts) owed to others.</w:t>
            </w:r>
          </w:p>
        </w:tc>
      </w:tr>
      <w:tr w:rsidR="005650D6" w:rsidRPr="005650D6" w14:paraId="3FCC85B9" w14:textId="77777777" w:rsidTr="005650D6">
        <w:tc>
          <w:tcPr>
            <w:tcW w:w="2147" w:type="dxa"/>
          </w:tcPr>
          <w:p w14:paraId="26FB205B" w14:textId="77777777" w:rsidR="005650D6" w:rsidRPr="005650D6" w:rsidRDefault="005650D6" w:rsidP="0049624D">
            <w:pPr>
              <w:spacing w:after="120"/>
              <w:rPr>
                <w:rFonts w:ascii="Arial" w:hAnsi="Arial"/>
                <w:b/>
                <w:sz w:val="20"/>
                <w:szCs w:val="20"/>
              </w:rPr>
            </w:pPr>
            <w:r w:rsidRPr="005650D6">
              <w:rPr>
                <w:rFonts w:ascii="Arial" w:hAnsi="Arial"/>
                <w:b/>
                <w:sz w:val="20"/>
                <w:szCs w:val="20"/>
              </w:rPr>
              <w:t>Bank book</w:t>
            </w:r>
          </w:p>
        </w:tc>
        <w:tc>
          <w:tcPr>
            <w:tcW w:w="7095" w:type="dxa"/>
          </w:tcPr>
          <w:p w14:paraId="0B1500C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register which records all transactions passing through a bank account. Also known as a cashbook or a Cash Analysis Book.</w:t>
            </w:r>
          </w:p>
        </w:tc>
      </w:tr>
      <w:tr w:rsidR="005650D6" w:rsidRPr="005650D6" w14:paraId="1555F51A" w14:textId="77777777" w:rsidTr="005650D6">
        <w:tc>
          <w:tcPr>
            <w:tcW w:w="2147" w:type="dxa"/>
          </w:tcPr>
          <w:p w14:paraId="2432EE77" w14:textId="77777777" w:rsidR="005650D6" w:rsidRPr="005650D6" w:rsidRDefault="005650D6" w:rsidP="0049624D">
            <w:pPr>
              <w:spacing w:after="120"/>
              <w:rPr>
                <w:rFonts w:ascii="Arial" w:hAnsi="Arial"/>
                <w:b/>
                <w:sz w:val="20"/>
                <w:szCs w:val="20"/>
              </w:rPr>
            </w:pPr>
            <w:r w:rsidRPr="005650D6">
              <w:rPr>
                <w:rFonts w:ascii="Arial" w:hAnsi="Arial"/>
                <w:b/>
                <w:sz w:val="20"/>
                <w:szCs w:val="20"/>
              </w:rPr>
              <w:t>Bank reconciliation</w:t>
            </w:r>
          </w:p>
        </w:tc>
        <w:tc>
          <w:tcPr>
            <w:tcW w:w="7095" w:type="dxa"/>
          </w:tcPr>
          <w:p w14:paraId="50F3000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process of comparing the entries and ending balance in the cashbook with the bank statement, and identifying any differences. It provides an important check on the completeness and accuracy of the cashbook entries.</w:t>
            </w:r>
          </w:p>
        </w:tc>
      </w:tr>
      <w:tr w:rsidR="005650D6" w:rsidRPr="005650D6" w14:paraId="1BA0381D" w14:textId="77777777" w:rsidTr="005650D6">
        <w:tc>
          <w:tcPr>
            <w:tcW w:w="2147" w:type="dxa"/>
          </w:tcPr>
          <w:p w14:paraId="1DA89C05" w14:textId="77777777" w:rsidR="005650D6" w:rsidRPr="005650D6" w:rsidRDefault="005650D6" w:rsidP="0049624D">
            <w:pPr>
              <w:spacing w:after="120"/>
              <w:rPr>
                <w:rFonts w:ascii="Arial" w:hAnsi="Arial"/>
              </w:rPr>
            </w:pPr>
            <w:r w:rsidRPr="005650D6">
              <w:rPr>
                <w:rFonts w:ascii="Arial" w:eastAsia="MS Gothic" w:hAnsi="Arial"/>
                <w:b/>
                <w:bCs/>
                <w:sz w:val="20"/>
                <w:szCs w:val="20"/>
              </w:rPr>
              <w:t>Bi-lateral funder</w:t>
            </w:r>
          </w:p>
        </w:tc>
        <w:tc>
          <w:tcPr>
            <w:tcW w:w="7095" w:type="dxa"/>
          </w:tcPr>
          <w:p w14:paraId="687640C8" w14:textId="77777777" w:rsidR="005650D6" w:rsidRPr="005650D6" w:rsidRDefault="005650D6" w:rsidP="0049624D">
            <w:pPr>
              <w:autoSpaceDE w:val="0"/>
              <w:spacing w:after="120"/>
              <w:rPr>
                <w:rFonts w:ascii="Arial" w:hAnsi="Arial"/>
              </w:rPr>
            </w:pPr>
            <w:r w:rsidRPr="005650D6">
              <w:rPr>
                <w:rFonts w:ascii="Arial" w:eastAsia="MS Gothic" w:hAnsi="Arial"/>
                <w:bCs/>
                <w:sz w:val="20"/>
                <w:szCs w:val="20"/>
              </w:rPr>
              <w:t>One national government funding agency who gives directly to another country</w:t>
            </w:r>
          </w:p>
        </w:tc>
      </w:tr>
      <w:tr w:rsidR="005650D6" w:rsidRPr="005650D6" w14:paraId="191315F2" w14:textId="77777777" w:rsidTr="005650D6">
        <w:tc>
          <w:tcPr>
            <w:tcW w:w="2147" w:type="dxa"/>
          </w:tcPr>
          <w:p w14:paraId="6C9562E2" w14:textId="77777777" w:rsidR="005650D6" w:rsidRPr="005650D6" w:rsidRDefault="005650D6" w:rsidP="0049624D">
            <w:pPr>
              <w:spacing w:after="120"/>
              <w:rPr>
                <w:rFonts w:ascii="Arial" w:hAnsi="Arial"/>
                <w:b/>
                <w:sz w:val="20"/>
                <w:szCs w:val="20"/>
              </w:rPr>
            </w:pPr>
            <w:r w:rsidRPr="005650D6">
              <w:rPr>
                <w:rFonts w:ascii="Arial" w:hAnsi="Arial"/>
                <w:b/>
                <w:sz w:val="20"/>
                <w:szCs w:val="20"/>
              </w:rPr>
              <w:t>Budget</w:t>
            </w:r>
          </w:p>
        </w:tc>
        <w:tc>
          <w:tcPr>
            <w:tcW w:w="7095" w:type="dxa"/>
          </w:tcPr>
          <w:p w14:paraId="39FF7AB4"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best estimate of the amount of money that an organisation plans to raise and spend for a set purpose over a given period of time.</w:t>
            </w:r>
          </w:p>
        </w:tc>
      </w:tr>
      <w:tr w:rsidR="005650D6" w:rsidRPr="005650D6" w14:paraId="1B742464" w14:textId="77777777" w:rsidTr="005650D6">
        <w:tc>
          <w:tcPr>
            <w:tcW w:w="2147" w:type="dxa"/>
          </w:tcPr>
          <w:p w14:paraId="0C3DB47E" w14:textId="77777777" w:rsidR="005650D6" w:rsidRPr="005650D6" w:rsidRDefault="005650D6" w:rsidP="0049624D">
            <w:pPr>
              <w:spacing w:after="120"/>
              <w:rPr>
                <w:rFonts w:ascii="Arial" w:hAnsi="Arial"/>
                <w:b/>
                <w:sz w:val="20"/>
                <w:szCs w:val="20"/>
              </w:rPr>
            </w:pPr>
            <w:r w:rsidRPr="005650D6">
              <w:rPr>
                <w:rFonts w:ascii="Arial" w:hAnsi="Arial"/>
                <w:b/>
                <w:sz w:val="20"/>
                <w:szCs w:val="20"/>
              </w:rPr>
              <w:t>Budget holder</w:t>
            </w:r>
          </w:p>
        </w:tc>
        <w:tc>
          <w:tcPr>
            <w:tcW w:w="7095" w:type="dxa"/>
          </w:tcPr>
          <w:p w14:paraId="3641F581"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individual who holds the authority and has the responsibility for managing, a budget for a specified activity, project, programme, department or organisation.</w:t>
            </w:r>
          </w:p>
        </w:tc>
      </w:tr>
      <w:tr w:rsidR="005650D6" w:rsidRPr="005650D6" w14:paraId="740F7B7F" w14:textId="77777777" w:rsidTr="005650D6">
        <w:tc>
          <w:tcPr>
            <w:tcW w:w="2147" w:type="dxa"/>
          </w:tcPr>
          <w:p w14:paraId="51A4D197" w14:textId="77777777" w:rsidR="005650D6" w:rsidRPr="005650D6" w:rsidRDefault="005650D6" w:rsidP="0049624D">
            <w:pPr>
              <w:spacing w:after="120"/>
              <w:rPr>
                <w:rFonts w:ascii="Arial" w:eastAsia="MS Gothic" w:hAnsi="Arial"/>
                <w:b/>
                <w:bCs/>
                <w:sz w:val="20"/>
                <w:szCs w:val="20"/>
              </w:rPr>
            </w:pPr>
            <w:r w:rsidRPr="005650D6">
              <w:rPr>
                <w:rFonts w:ascii="Arial" w:eastAsia="MS Gothic" w:hAnsi="Arial"/>
                <w:b/>
                <w:bCs/>
                <w:sz w:val="20"/>
                <w:szCs w:val="20"/>
              </w:rPr>
              <w:t>Burn rate</w:t>
            </w:r>
          </w:p>
        </w:tc>
        <w:tc>
          <w:tcPr>
            <w:tcW w:w="7095" w:type="dxa"/>
          </w:tcPr>
          <w:p w14:paraId="3B096FB6" w14:textId="77777777" w:rsidR="005650D6" w:rsidRPr="005650D6" w:rsidRDefault="005650D6" w:rsidP="0049624D">
            <w:pPr>
              <w:spacing w:after="120"/>
              <w:rPr>
                <w:rFonts w:ascii="Arial" w:eastAsia="MS Gothic" w:hAnsi="Arial"/>
                <w:bCs/>
                <w:sz w:val="20"/>
                <w:szCs w:val="20"/>
              </w:rPr>
            </w:pPr>
            <w:r w:rsidRPr="005650D6">
              <w:rPr>
                <w:rFonts w:ascii="Arial" w:eastAsia="MS Gothic" w:hAnsi="Arial"/>
                <w:bCs/>
                <w:sz w:val="20"/>
                <w:szCs w:val="20"/>
              </w:rPr>
              <w:t>This is a measure, expressed as a percentage, of the amount of a grant or budget used up since the start of the project.</w:t>
            </w:r>
          </w:p>
        </w:tc>
      </w:tr>
      <w:tr w:rsidR="005650D6" w:rsidRPr="005650D6" w14:paraId="60349980" w14:textId="77777777" w:rsidTr="005650D6">
        <w:tc>
          <w:tcPr>
            <w:tcW w:w="2147" w:type="dxa"/>
          </w:tcPr>
          <w:p w14:paraId="1101A3F0" w14:textId="77777777" w:rsidR="005650D6" w:rsidRPr="005650D6" w:rsidRDefault="005650D6" w:rsidP="0049624D">
            <w:pPr>
              <w:spacing w:after="120"/>
              <w:rPr>
                <w:rFonts w:ascii="Arial" w:hAnsi="Arial"/>
                <w:b/>
                <w:sz w:val="20"/>
                <w:szCs w:val="20"/>
              </w:rPr>
            </w:pPr>
            <w:r w:rsidRPr="005650D6">
              <w:rPr>
                <w:rFonts w:ascii="Arial" w:hAnsi="Arial"/>
                <w:b/>
                <w:sz w:val="20"/>
                <w:szCs w:val="20"/>
              </w:rPr>
              <w:t>Capital expenditure</w:t>
            </w:r>
          </w:p>
        </w:tc>
        <w:tc>
          <w:tcPr>
            <w:tcW w:w="7095" w:type="dxa"/>
          </w:tcPr>
          <w:p w14:paraId="06FAD7C7"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Expenditure on equipment, property and other fixed assets which will be used to support activities over more than one accounting period.</w:t>
            </w:r>
          </w:p>
        </w:tc>
      </w:tr>
      <w:tr w:rsidR="005650D6" w:rsidRPr="005650D6" w14:paraId="5342E3C7" w14:textId="77777777" w:rsidTr="005650D6">
        <w:tc>
          <w:tcPr>
            <w:tcW w:w="2147" w:type="dxa"/>
          </w:tcPr>
          <w:p w14:paraId="5CF1A3C8" w14:textId="77777777" w:rsidR="005650D6" w:rsidRPr="005650D6" w:rsidRDefault="005650D6" w:rsidP="0049624D">
            <w:pPr>
              <w:spacing w:after="120"/>
              <w:rPr>
                <w:rFonts w:ascii="Arial" w:hAnsi="Arial"/>
                <w:b/>
                <w:sz w:val="20"/>
                <w:szCs w:val="20"/>
              </w:rPr>
            </w:pPr>
            <w:r w:rsidRPr="005650D6">
              <w:rPr>
                <w:rFonts w:ascii="Arial" w:hAnsi="Arial"/>
                <w:b/>
                <w:sz w:val="20"/>
                <w:szCs w:val="20"/>
              </w:rPr>
              <w:t>Cashbook</w:t>
            </w:r>
          </w:p>
        </w:tc>
        <w:tc>
          <w:tcPr>
            <w:tcW w:w="7095" w:type="dxa"/>
          </w:tcPr>
          <w:p w14:paraId="3D251928"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book or spreadsheet that lists all of the receipts and payments made in to and out of a particular bank or cash account.</w:t>
            </w:r>
          </w:p>
        </w:tc>
      </w:tr>
      <w:tr w:rsidR="005650D6" w:rsidRPr="005650D6" w14:paraId="3312FC81" w14:textId="77777777" w:rsidTr="005650D6">
        <w:tc>
          <w:tcPr>
            <w:tcW w:w="2147" w:type="dxa"/>
          </w:tcPr>
          <w:p w14:paraId="482937BD" w14:textId="77777777" w:rsidR="005650D6" w:rsidRPr="005650D6" w:rsidRDefault="005650D6" w:rsidP="0049624D">
            <w:pPr>
              <w:spacing w:after="120"/>
              <w:rPr>
                <w:rFonts w:ascii="Arial" w:hAnsi="Arial"/>
                <w:b/>
                <w:sz w:val="20"/>
                <w:szCs w:val="20"/>
              </w:rPr>
            </w:pPr>
            <w:r w:rsidRPr="005650D6">
              <w:rPr>
                <w:rFonts w:ascii="Arial" w:hAnsi="Arial"/>
                <w:b/>
                <w:sz w:val="20"/>
                <w:szCs w:val="20"/>
              </w:rPr>
              <w:t>Cash reconciliation</w:t>
            </w:r>
          </w:p>
        </w:tc>
        <w:tc>
          <w:tcPr>
            <w:tcW w:w="7095" w:type="dxa"/>
          </w:tcPr>
          <w:p w14:paraId="704C1D75"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Comparing the month end physical cash counted to the expected month end balance in the petty cashbook.</w:t>
            </w:r>
          </w:p>
        </w:tc>
      </w:tr>
      <w:tr w:rsidR="005650D6" w:rsidRPr="005650D6" w14:paraId="2A3452E7" w14:textId="77777777" w:rsidTr="005650D6">
        <w:tc>
          <w:tcPr>
            <w:tcW w:w="2147" w:type="dxa"/>
          </w:tcPr>
          <w:p w14:paraId="7A6DA306" w14:textId="77777777" w:rsidR="005650D6" w:rsidRPr="005650D6" w:rsidRDefault="005650D6" w:rsidP="0049624D">
            <w:pPr>
              <w:spacing w:after="120"/>
              <w:rPr>
                <w:rFonts w:ascii="Arial" w:hAnsi="Arial"/>
                <w:b/>
                <w:sz w:val="20"/>
                <w:szCs w:val="20"/>
              </w:rPr>
            </w:pPr>
            <w:r w:rsidRPr="005650D6">
              <w:rPr>
                <w:rFonts w:ascii="Arial" w:hAnsi="Arial"/>
                <w:b/>
                <w:sz w:val="20"/>
                <w:szCs w:val="20"/>
              </w:rPr>
              <w:t>Cashflow</w:t>
            </w:r>
          </w:p>
        </w:tc>
        <w:tc>
          <w:tcPr>
            <w:tcW w:w="7095" w:type="dxa"/>
          </w:tcPr>
          <w:p w14:paraId="5B1405E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difference between cash received and cash spent in a period.</w:t>
            </w:r>
          </w:p>
        </w:tc>
      </w:tr>
      <w:tr w:rsidR="005650D6" w:rsidRPr="005650D6" w14:paraId="0CC4079E" w14:textId="77777777" w:rsidTr="005650D6">
        <w:tc>
          <w:tcPr>
            <w:tcW w:w="2147" w:type="dxa"/>
          </w:tcPr>
          <w:p w14:paraId="345D40C9" w14:textId="77777777" w:rsidR="005650D6" w:rsidRPr="005650D6" w:rsidRDefault="005650D6" w:rsidP="0049624D">
            <w:pPr>
              <w:spacing w:after="120"/>
              <w:rPr>
                <w:rFonts w:ascii="Arial" w:hAnsi="Arial"/>
                <w:b/>
                <w:sz w:val="20"/>
                <w:szCs w:val="20"/>
              </w:rPr>
            </w:pPr>
            <w:r w:rsidRPr="005650D6">
              <w:rPr>
                <w:rFonts w:ascii="Arial" w:hAnsi="Arial"/>
                <w:b/>
                <w:sz w:val="20"/>
                <w:szCs w:val="20"/>
              </w:rPr>
              <w:lastRenderedPageBreak/>
              <w:t>Cashflow forecast</w:t>
            </w:r>
          </w:p>
        </w:tc>
        <w:tc>
          <w:tcPr>
            <w:tcW w:w="7095" w:type="dxa"/>
          </w:tcPr>
          <w:p w14:paraId="788B22D4"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report that shows the expected timing of receipts and payments for the next 3-6 months (or longer).</w:t>
            </w:r>
          </w:p>
        </w:tc>
      </w:tr>
      <w:tr w:rsidR="005650D6" w:rsidRPr="005650D6" w14:paraId="1AA6E7D3" w14:textId="77777777" w:rsidTr="005650D6">
        <w:tc>
          <w:tcPr>
            <w:tcW w:w="2147" w:type="dxa"/>
          </w:tcPr>
          <w:p w14:paraId="576501C1" w14:textId="77777777" w:rsidR="005650D6" w:rsidRPr="005650D6" w:rsidRDefault="005650D6" w:rsidP="0049624D">
            <w:pPr>
              <w:spacing w:after="120"/>
              <w:rPr>
                <w:rFonts w:ascii="Arial" w:hAnsi="Arial"/>
                <w:b/>
                <w:sz w:val="20"/>
                <w:szCs w:val="20"/>
              </w:rPr>
            </w:pPr>
            <w:r w:rsidRPr="005650D6">
              <w:rPr>
                <w:rFonts w:ascii="Arial" w:hAnsi="Arial"/>
                <w:b/>
                <w:sz w:val="20"/>
                <w:szCs w:val="20"/>
              </w:rPr>
              <w:t>CBO</w:t>
            </w:r>
          </w:p>
        </w:tc>
        <w:tc>
          <w:tcPr>
            <w:tcW w:w="7095" w:type="dxa"/>
          </w:tcPr>
          <w:p w14:paraId="59011C48"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Community Based Organisation</w:t>
            </w:r>
          </w:p>
        </w:tc>
      </w:tr>
      <w:tr w:rsidR="005650D6" w:rsidRPr="005650D6" w14:paraId="29E72410" w14:textId="77777777" w:rsidTr="005650D6">
        <w:tc>
          <w:tcPr>
            <w:tcW w:w="2147" w:type="dxa"/>
          </w:tcPr>
          <w:p w14:paraId="10185230" w14:textId="77777777" w:rsidR="005650D6" w:rsidRPr="005650D6" w:rsidRDefault="005650D6" w:rsidP="0049624D">
            <w:pPr>
              <w:spacing w:after="120"/>
              <w:rPr>
                <w:rFonts w:ascii="Arial" w:hAnsi="Arial"/>
                <w:b/>
                <w:sz w:val="20"/>
                <w:szCs w:val="20"/>
              </w:rPr>
            </w:pPr>
            <w:r w:rsidRPr="005650D6">
              <w:rPr>
                <w:rFonts w:ascii="Arial" w:hAnsi="Arial"/>
                <w:b/>
                <w:sz w:val="20"/>
                <w:szCs w:val="20"/>
              </w:rPr>
              <w:t>CCB</w:t>
            </w:r>
          </w:p>
        </w:tc>
        <w:tc>
          <w:tcPr>
            <w:tcW w:w="7095" w:type="dxa"/>
          </w:tcPr>
          <w:p w14:paraId="1015A853"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Citizen Community Board</w:t>
            </w:r>
          </w:p>
        </w:tc>
      </w:tr>
      <w:tr w:rsidR="005650D6" w:rsidRPr="005650D6" w14:paraId="765E3943" w14:textId="77777777" w:rsidTr="005650D6">
        <w:tc>
          <w:tcPr>
            <w:tcW w:w="2147" w:type="dxa"/>
          </w:tcPr>
          <w:p w14:paraId="235F3E39" w14:textId="77777777" w:rsidR="005650D6" w:rsidRPr="005650D6" w:rsidRDefault="005650D6" w:rsidP="0049624D">
            <w:pPr>
              <w:spacing w:after="120"/>
              <w:rPr>
                <w:rFonts w:ascii="Arial" w:hAnsi="Arial"/>
                <w:b/>
                <w:sz w:val="20"/>
                <w:szCs w:val="20"/>
              </w:rPr>
            </w:pPr>
            <w:r w:rsidRPr="005650D6">
              <w:rPr>
                <w:rFonts w:ascii="Arial" w:hAnsi="Arial"/>
                <w:b/>
                <w:sz w:val="20"/>
                <w:szCs w:val="20"/>
              </w:rPr>
              <w:t>Chart of accounts</w:t>
            </w:r>
          </w:p>
        </w:tc>
        <w:tc>
          <w:tcPr>
            <w:tcW w:w="7095" w:type="dxa"/>
          </w:tcPr>
          <w:p w14:paraId="17E2E454"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list of all the accounts codes and cost centre codes that are used in an organisation’s accounting system, with a description of each.</w:t>
            </w:r>
          </w:p>
        </w:tc>
      </w:tr>
      <w:tr w:rsidR="005650D6" w:rsidRPr="005650D6" w14:paraId="7E540B1B" w14:textId="77777777" w:rsidTr="005650D6">
        <w:tc>
          <w:tcPr>
            <w:tcW w:w="2147" w:type="dxa"/>
          </w:tcPr>
          <w:p w14:paraId="17C7BBE0" w14:textId="77777777" w:rsidR="005650D6" w:rsidRPr="005650D6" w:rsidRDefault="005650D6" w:rsidP="0049624D">
            <w:pPr>
              <w:spacing w:after="120"/>
              <w:rPr>
                <w:rFonts w:ascii="Arial" w:hAnsi="Arial"/>
                <w:b/>
                <w:sz w:val="20"/>
                <w:szCs w:val="20"/>
              </w:rPr>
            </w:pPr>
            <w:r w:rsidRPr="005650D6">
              <w:rPr>
                <w:rFonts w:ascii="Arial" w:hAnsi="Arial"/>
                <w:b/>
                <w:sz w:val="20"/>
                <w:szCs w:val="20"/>
              </w:rPr>
              <w:t>Contract</w:t>
            </w:r>
          </w:p>
        </w:tc>
        <w:tc>
          <w:tcPr>
            <w:tcW w:w="7095" w:type="dxa"/>
          </w:tcPr>
          <w:p w14:paraId="647F2FA7"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legally binding agreement between two of more parties, usually in written form and signed by the parties involved.</w:t>
            </w:r>
          </w:p>
        </w:tc>
      </w:tr>
      <w:tr w:rsidR="005650D6" w:rsidRPr="005650D6" w14:paraId="3F1E1CF5" w14:textId="77777777" w:rsidTr="005650D6">
        <w:tc>
          <w:tcPr>
            <w:tcW w:w="2147" w:type="dxa"/>
          </w:tcPr>
          <w:p w14:paraId="793B0B28" w14:textId="77777777" w:rsidR="005650D6" w:rsidRPr="005650D6" w:rsidRDefault="005650D6" w:rsidP="0049624D">
            <w:pPr>
              <w:spacing w:after="120"/>
              <w:rPr>
                <w:rFonts w:ascii="Arial" w:hAnsi="Arial"/>
                <w:b/>
                <w:sz w:val="20"/>
                <w:szCs w:val="20"/>
              </w:rPr>
            </w:pPr>
            <w:r w:rsidRPr="005650D6">
              <w:rPr>
                <w:rFonts w:ascii="Arial" w:hAnsi="Arial"/>
                <w:b/>
                <w:sz w:val="20"/>
                <w:szCs w:val="20"/>
              </w:rPr>
              <w:t>Core costs</w:t>
            </w:r>
          </w:p>
        </w:tc>
        <w:tc>
          <w:tcPr>
            <w:tcW w:w="7095" w:type="dxa"/>
          </w:tcPr>
          <w:p w14:paraId="69280393"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Central support costs shared by many projects. Also called overheads or indirect costs.</w:t>
            </w:r>
          </w:p>
        </w:tc>
      </w:tr>
      <w:tr w:rsidR="005650D6" w:rsidRPr="005650D6" w14:paraId="4EDF082B" w14:textId="77777777" w:rsidTr="005650D6">
        <w:tc>
          <w:tcPr>
            <w:tcW w:w="2147" w:type="dxa"/>
          </w:tcPr>
          <w:p w14:paraId="0149B4D4" w14:textId="77777777" w:rsidR="005650D6" w:rsidRPr="005650D6" w:rsidRDefault="005650D6" w:rsidP="0049624D">
            <w:pPr>
              <w:spacing w:after="120"/>
              <w:rPr>
                <w:rFonts w:ascii="Arial" w:hAnsi="Arial"/>
                <w:b/>
                <w:sz w:val="20"/>
                <w:szCs w:val="20"/>
              </w:rPr>
            </w:pPr>
            <w:r w:rsidRPr="005650D6">
              <w:rPr>
                <w:rFonts w:ascii="Arial" w:hAnsi="Arial"/>
                <w:b/>
                <w:sz w:val="20"/>
                <w:szCs w:val="20"/>
              </w:rPr>
              <w:t>Cost centre</w:t>
            </w:r>
          </w:p>
        </w:tc>
        <w:tc>
          <w:tcPr>
            <w:tcW w:w="7095" w:type="dxa"/>
          </w:tcPr>
          <w:p w14:paraId="03AAE9FC"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way of distinguishing between different activities or projects to define where costs are incurred or income is ‘earned’. Cost centres are closely linked to the concept of budget-holders.</w:t>
            </w:r>
          </w:p>
        </w:tc>
      </w:tr>
      <w:tr w:rsidR="005650D6" w:rsidRPr="005650D6" w14:paraId="3DB56F8B" w14:textId="77777777" w:rsidTr="005650D6">
        <w:tc>
          <w:tcPr>
            <w:tcW w:w="2147" w:type="dxa"/>
          </w:tcPr>
          <w:p w14:paraId="5D49319E" w14:textId="77777777" w:rsidR="005650D6" w:rsidRPr="005650D6" w:rsidRDefault="005650D6" w:rsidP="0049624D">
            <w:pPr>
              <w:spacing w:after="120"/>
              <w:rPr>
                <w:rFonts w:ascii="Arial" w:hAnsi="Arial"/>
                <w:b/>
                <w:sz w:val="20"/>
                <w:szCs w:val="20"/>
              </w:rPr>
            </w:pPr>
            <w:r w:rsidRPr="005650D6">
              <w:rPr>
                <w:rFonts w:ascii="Arial" w:hAnsi="Arial"/>
                <w:b/>
                <w:sz w:val="20"/>
                <w:szCs w:val="20"/>
              </w:rPr>
              <w:t>Creditor</w:t>
            </w:r>
          </w:p>
        </w:tc>
        <w:tc>
          <w:tcPr>
            <w:tcW w:w="7095" w:type="dxa"/>
          </w:tcPr>
          <w:p w14:paraId="5C016CBD"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Anyone the organisation owes money to.</w:t>
            </w:r>
          </w:p>
        </w:tc>
      </w:tr>
      <w:tr w:rsidR="005650D6" w:rsidRPr="005650D6" w14:paraId="1BE1B93D" w14:textId="77777777" w:rsidTr="005650D6">
        <w:tc>
          <w:tcPr>
            <w:tcW w:w="2147" w:type="dxa"/>
          </w:tcPr>
          <w:p w14:paraId="7484FC03" w14:textId="77777777" w:rsidR="005650D6" w:rsidRPr="005650D6" w:rsidRDefault="005650D6" w:rsidP="0049624D">
            <w:pPr>
              <w:spacing w:after="120"/>
              <w:rPr>
                <w:rFonts w:ascii="Arial" w:hAnsi="Arial"/>
                <w:b/>
                <w:sz w:val="20"/>
                <w:szCs w:val="20"/>
              </w:rPr>
            </w:pPr>
            <w:r w:rsidRPr="005650D6">
              <w:rPr>
                <w:rFonts w:ascii="Arial" w:hAnsi="Arial"/>
                <w:b/>
                <w:sz w:val="20"/>
                <w:szCs w:val="20"/>
              </w:rPr>
              <w:t>Current assets</w:t>
            </w:r>
          </w:p>
        </w:tc>
        <w:tc>
          <w:tcPr>
            <w:tcW w:w="7095" w:type="dxa"/>
          </w:tcPr>
          <w:p w14:paraId="2CC4FB19"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Cash and other short-term assets in the process of being turned back into cash – e.g. debtors. They can, in theory, be converted into cash within one year.</w:t>
            </w:r>
          </w:p>
        </w:tc>
      </w:tr>
      <w:tr w:rsidR="005650D6" w:rsidRPr="005650D6" w14:paraId="16DD1B78" w14:textId="77777777" w:rsidTr="005650D6">
        <w:tc>
          <w:tcPr>
            <w:tcW w:w="2147" w:type="dxa"/>
          </w:tcPr>
          <w:p w14:paraId="3D8C13C1" w14:textId="77777777" w:rsidR="005650D6" w:rsidRPr="005650D6" w:rsidRDefault="005650D6" w:rsidP="0049624D">
            <w:pPr>
              <w:spacing w:after="120"/>
              <w:rPr>
                <w:rFonts w:ascii="Arial" w:hAnsi="Arial"/>
                <w:b/>
                <w:sz w:val="20"/>
                <w:szCs w:val="20"/>
              </w:rPr>
            </w:pPr>
            <w:r w:rsidRPr="005650D6">
              <w:rPr>
                <w:rFonts w:ascii="Arial" w:hAnsi="Arial"/>
                <w:b/>
                <w:sz w:val="20"/>
                <w:szCs w:val="20"/>
              </w:rPr>
              <w:t>Current liabilities</w:t>
            </w:r>
          </w:p>
        </w:tc>
        <w:tc>
          <w:tcPr>
            <w:tcW w:w="7095" w:type="dxa"/>
          </w:tcPr>
          <w:p w14:paraId="41DEAE9A"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Short-term sources of ‘finance’ (e.g. from suppliers, bank overdraft) awaiting payment in the next 12 months.</w:t>
            </w:r>
          </w:p>
        </w:tc>
      </w:tr>
      <w:tr w:rsidR="005650D6" w:rsidRPr="005650D6" w14:paraId="09083006" w14:textId="77777777" w:rsidTr="005650D6">
        <w:tc>
          <w:tcPr>
            <w:tcW w:w="2147" w:type="dxa"/>
          </w:tcPr>
          <w:p w14:paraId="3B73960C" w14:textId="77777777" w:rsidR="005650D6" w:rsidRPr="005650D6" w:rsidRDefault="005650D6" w:rsidP="0049624D">
            <w:pPr>
              <w:spacing w:after="120"/>
              <w:rPr>
                <w:rFonts w:ascii="Arial" w:hAnsi="Arial"/>
                <w:b/>
                <w:sz w:val="20"/>
                <w:szCs w:val="20"/>
              </w:rPr>
            </w:pPr>
            <w:r w:rsidRPr="005650D6">
              <w:rPr>
                <w:rFonts w:ascii="Arial" w:hAnsi="Arial"/>
                <w:b/>
                <w:sz w:val="20"/>
                <w:szCs w:val="20"/>
              </w:rPr>
              <w:t>Debtor</w:t>
            </w:r>
          </w:p>
        </w:tc>
        <w:tc>
          <w:tcPr>
            <w:tcW w:w="7095" w:type="dxa"/>
          </w:tcPr>
          <w:p w14:paraId="5C5020D3"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Any person or other party who owes money to the organisation.</w:t>
            </w:r>
          </w:p>
        </w:tc>
      </w:tr>
      <w:tr w:rsidR="005650D6" w:rsidRPr="005650D6" w14:paraId="79EC85BA" w14:textId="77777777" w:rsidTr="005650D6">
        <w:tc>
          <w:tcPr>
            <w:tcW w:w="2147" w:type="dxa"/>
          </w:tcPr>
          <w:p w14:paraId="1A2702D7" w14:textId="77777777" w:rsidR="005650D6" w:rsidRPr="005650D6" w:rsidRDefault="005650D6" w:rsidP="0049624D">
            <w:pPr>
              <w:spacing w:after="120"/>
              <w:rPr>
                <w:rFonts w:ascii="Arial" w:hAnsi="Arial"/>
                <w:b/>
                <w:sz w:val="20"/>
                <w:szCs w:val="20"/>
              </w:rPr>
            </w:pPr>
            <w:r w:rsidRPr="005650D6">
              <w:rPr>
                <w:rFonts w:ascii="Arial" w:hAnsi="Arial"/>
                <w:b/>
                <w:sz w:val="20"/>
                <w:szCs w:val="20"/>
              </w:rPr>
              <w:t>Depreciation</w:t>
            </w:r>
          </w:p>
        </w:tc>
        <w:tc>
          <w:tcPr>
            <w:tcW w:w="7095" w:type="dxa"/>
          </w:tcPr>
          <w:p w14:paraId="65A4AF78"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proportion of the original cost of a fixed asset which is internally charged as an expense to the organisation in the Income &amp; Expenditure Account.</w:t>
            </w:r>
          </w:p>
        </w:tc>
      </w:tr>
      <w:tr w:rsidR="005650D6" w:rsidRPr="005650D6" w14:paraId="3A705CEC" w14:textId="77777777" w:rsidTr="005650D6">
        <w:tc>
          <w:tcPr>
            <w:tcW w:w="2147" w:type="dxa"/>
          </w:tcPr>
          <w:p w14:paraId="01D3296F" w14:textId="77777777" w:rsidR="005650D6" w:rsidRPr="005650D6" w:rsidRDefault="005650D6" w:rsidP="0049624D">
            <w:pPr>
              <w:spacing w:after="120"/>
              <w:rPr>
                <w:rFonts w:ascii="Arial" w:hAnsi="Arial"/>
                <w:b/>
                <w:sz w:val="20"/>
                <w:szCs w:val="20"/>
              </w:rPr>
            </w:pPr>
            <w:r w:rsidRPr="005650D6">
              <w:rPr>
                <w:rFonts w:ascii="Arial" w:hAnsi="Arial"/>
                <w:b/>
                <w:sz w:val="20"/>
                <w:szCs w:val="20"/>
              </w:rPr>
              <w:t>Derogation letter</w:t>
            </w:r>
          </w:p>
        </w:tc>
        <w:tc>
          <w:tcPr>
            <w:tcW w:w="7095" w:type="dxa"/>
          </w:tcPr>
          <w:p w14:paraId="1CE93A5A"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formal request to a funder for a waiver from rules specific in the grant agreement</w:t>
            </w:r>
          </w:p>
        </w:tc>
      </w:tr>
      <w:tr w:rsidR="005650D6" w:rsidRPr="005650D6" w14:paraId="2031BB48" w14:textId="77777777" w:rsidTr="005650D6">
        <w:tc>
          <w:tcPr>
            <w:tcW w:w="2147" w:type="dxa"/>
          </w:tcPr>
          <w:p w14:paraId="03A9AC7E" w14:textId="77777777" w:rsidR="005650D6" w:rsidRPr="005650D6" w:rsidRDefault="005650D6" w:rsidP="0049624D">
            <w:pPr>
              <w:spacing w:after="120"/>
              <w:rPr>
                <w:rFonts w:ascii="Arial" w:hAnsi="Arial"/>
                <w:b/>
                <w:sz w:val="20"/>
                <w:szCs w:val="20"/>
              </w:rPr>
            </w:pPr>
            <w:r w:rsidRPr="005650D6">
              <w:rPr>
                <w:rFonts w:ascii="Arial" w:hAnsi="Arial"/>
                <w:b/>
                <w:sz w:val="20"/>
                <w:szCs w:val="20"/>
              </w:rPr>
              <w:t>Direct cost</w:t>
            </w:r>
          </w:p>
        </w:tc>
        <w:tc>
          <w:tcPr>
            <w:tcW w:w="7095" w:type="dxa"/>
          </w:tcPr>
          <w:p w14:paraId="1F4B20B0"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cost which can be identified as originating in a specific activity, department or project</w:t>
            </w:r>
          </w:p>
        </w:tc>
      </w:tr>
      <w:tr w:rsidR="005650D6" w:rsidRPr="005650D6" w14:paraId="7DFB71F5" w14:textId="77777777" w:rsidTr="005650D6">
        <w:tc>
          <w:tcPr>
            <w:tcW w:w="2147" w:type="dxa"/>
          </w:tcPr>
          <w:p w14:paraId="2EEA8D9A" w14:textId="77777777" w:rsidR="005650D6" w:rsidRPr="005650D6" w:rsidRDefault="005650D6" w:rsidP="0049624D">
            <w:pPr>
              <w:spacing w:after="120"/>
              <w:rPr>
                <w:rFonts w:ascii="Arial" w:hAnsi="Arial"/>
                <w:b/>
                <w:sz w:val="20"/>
                <w:szCs w:val="20"/>
              </w:rPr>
            </w:pPr>
            <w:r w:rsidRPr="005650D6">
              <w:rPr>
                <w:rFonts w:ascii="Arial" w:hAnsi="Arial"/>
                <w:b/>
                <w:sz w:val="20"/>
                <w:szCs w:val="20"/>
              </w:rPr>
              <w:t>Donation in kind</w:t>
            </w:r>
          </w:p>
        </w:tc>
        <w:tc>
          <w:tcPr>
            <w:tcW w:w="7095" w:type="dxa"/>
          </w:tcPr>
          <w:p w14:paraId="77471B9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grant or contribution to a project made in the form of goods or services, rather than a cash grant or donation</w:t>
            </w:r>
          </w:p>
        </w:tc>
      </w:tr>
      <w:tr w:rsidR="005650D6" w:rsidRPr="005650D6" w14:paraId="4A51C793" w14:textId="77777777" w:rsidTr="005650D6">
        <w:tc>
          <w:tcPr>
            <w:tcW w:w="2147" w:type="dxa"/>
          </w:tcPr>
          <w:p w14:paraId="324FC40F" w14:textId="77777777" w:rsidR="005650D6" w:rsidRPr="005650D6" w:rsidRDefault="005650D6" w:rsidP="0049624D">
            <w:pPr>
              <w:spacing w:after="120"/>
              <w:rPr>
                <w:rFonts w:ascii="Arial" w:hAnsi="Arial"/>
                <w:b/>
                <w:sz w:val="20"/>
                <w:szCs w:val="20"/>
              </w:rPr>
            </w:pPr>
            <w:r w:rsidRPr="005650D6">
              <w:rPr>
                <w:rFonts w:ascii="Arial" w:hAnsi="Arial"/>
                <w:b/>
                <w:sz w:val="20"/>
                <w:szCs w:val="20"/>
              </w:rPr>
              <w:t>Double entry bookkeeping</w:t>
            </w:r>
          </w:p>
        </w:tc>
        <w:tc>
          <w:tcPr>
            <w:tcW w:w="7095" w:type="dxa"/>
          </w:tcPr>
          <w:p w14:paraId="39213743"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method of recording financial transactions whereby every item is entered as a debit in one account and a corresponding credit in another.</w:t>
            </w:r>
          </w:p>
        </w:tc>
      </w:tr>
      <w:tr w:rsidR="005650D6" w:rsidRPr="005650D6" w14:paraId="4C25D7A0" w14:textId="77777777" w:rsidTr="005650D6">
        <w:tc>
          <w:tcPr>
            <w:tcW w:w="2147" w:type="dxa"/>
          </w:tcPr>
          <w:p w14:paraId="3E62421F" w14:textId="77777777" w:rsidR="005650D6" w:rsidRPr="005650D6" w:rsidRDefault="005650D6" w:rsidP="0049624D">
            <w:pPr>
              <w:spacing w:after="120"/>
              <w:rPr>
                <w:rFonts w:ascii="Arial" w:hAnsi="Arial"/>
                <w:b/>
                <w:sz w:val="20"/>
                <w:szCs w:val="20"/>
              </w:rPr>
            </w:pPr>
            <w:r w:rsidRPr="005650D6">
              <w:rPr>
                <w:rFonts w:ascii="Arial" w:hAnsi="Arial"/>
                <w:b/>
                <w:sz w:val="20"/>
                <w:szCs w:val="20"/>
              </w:rPr>
              <w:t>Double funding</w:t>
            </w:r>
          </w:p>
        </w:tc>
        <w:tc>
          <w:tcPr>
            <w:tcW w:w="7095" w:type="dxa"/>
          </w:tcPr>
          <w:p w14:paraId="5A8F726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Occurs where more than one funder provides more (restricted) funds than are needed for the same budget line or activity.</w:t>
            </w:r>
          </w:p>
        </w:tc>
      </w:tr>
      <w:tr w:rsidR="005650D6" w:rsidRPr="005650D6" w14:paraId="1B84C316" w14:textId="77777777" w:rsidTr="005650D6">
        <w:tc>
          <w:tcPr>
            <w:tcW w:w="2147" w:type="dxa"/>
          </w:tcPr>
          <w:p w14:paraId="62CE0404" w14:textId="77777777" w:rsidR="005650D6" w:rsidRPr="005650D6" w:rsidRDefault="005650D6" w:rsidP="0049624D">
            <w:pPr>
              <w:spacing w:after="120"/>
              <w:rPr>
                <w:rFonts w:ascii="Arial" w:hAnsi="Arial"/>
                <w:b/>
                <w:sz w:val="20"/>
                <w:szCs w:val="20"/>
              </w:rPr>
            </w:pPr>
            <w:r w:rsidRPr="005650D6">
              <w:rPr>
                <w:rFonts w:ascii="Arial" w:hAnsi="Arial"/>
                <w:b/>
                <w:sz w:val="20"/>
                <w:szCs w:val="20"/>
              </w:rPr>
              <w:t>Drawn down</w:t>
            </w:r>
          </w:p>
        </w:tc>
        <w:tc>
          <w:tcPr>
            <w:tcW w:w="7095" w:type="dxa"/>
          </w:tcPr>
          <w:p w14:paraId="147D0711"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Amount of a grant requested (and received) from the funder so far.</w:t>
            </w:r>
          </w:p>
        </w:tc>
      </w:tr>
      <w:tr w:rsidR="005650D6" w:rsidRPr="005650D6" w14:paraId="2CA10462" w14:textId="77777777" w:rsidTr="005650D6">
        <w:tc>
          <w:tcPr>
            <w:tcW w:w="2147" w:type="dxa"/>
          </w:tcPr>
          <w:p w14:paraId="4F3CE767" w14:textId="77777777" w:rsidR="005650D6" w:rsidRPr="005650D6" w:rsidRDefault="005650D6" w:rsidP="0049624D">
            <w:pPr>
              <w:spacing w:after="120"/>
              <w:rPr>
                <w:rFonts w:ascii="Arial" w:hAnsi="Arial"/>
                <w:b/>
                <w:sz w:val="20"/>
                <w:szCs w:val="20"/>
              </w:rPr>
            </w:pPr>
            <w:r w:rsidRPr="005650D6">
              <w:rPr>
                <w:rFonts w:ascii="Arial" w:hAnsi="Arial"/>
                <w:b/>
                <w:sz w:val="20"/>
                <w:szCs w:val="20"/>
              </w:rPr>
              <w:t>External audit</w:t>
            </w:r>
          </w:p>
        </w:tc>
        <w:tc>
          <w:tcPr>
            <w:tcW w:w="7095" w:type="dxa"/>
          </w:tcPr>
          <w:p w14:paraId="6E862E09"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review of the year-end financial statements carried out by a professionally qualified and legally registered auditor resulting in an opinion about whether they give a true and fair view.</w:t>
            </w:r>
          </w:p>
        </w:tc>
      </w:tr>
      <w:tr w:rsidR="005650D6" w:rsidRPr="005650D6" w14:paraId="7C4C1CD7" w14:textId="77777777" w:rsidTr="005650D6">
        <w:tc>
          <w:tcPr>
            <w:tcW w:w="2147" w:type="dxa"/>
          </w:tcPr>
          <w:p w14:paraId="3831F9D8" w14:textId="77777777" w:rsidR="005650D6" w:rsidRPr="005650D6" w:rsidRDefault="005650D6" w:rsidP="0049624D">
            <w:pPr>
              <w:spacing w:after="120"/>
              <w:rPr>
                <w:rFonts w:ascii="Arial" w:hAnsi="Arial"/>
                <w:b/>
                <w:sz w:val="20"/>
                <w:szCs w:val="20"/>
              </w:rPr>
            </w:pPr>
            <w:r w:rsidRPr="005650D6">
              <w:rPr>
                <w:rFonts w:ascii="Arial" w:hAnsi="Arial"/>
                <w:b/>
                <w:sz w:val="20"/>
                <w:szCs w:val="20"/>
              </w:rPr>
              <w:t>Financial accounting</w:t>
            </w:r>
          </w:p>
        </w:tc>
        <w:tc>
          <w:tcPr>
            <w:tcW w:w="7095" w:type="dxa"/>
          </w:tcPr>
          <w:p w14:paraId="704AAFED"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Recording, classifying and sorting historical financial data, resulting in financial statements for those external to the organisation.</w:t>
            </w:r>
          </w:p>
        </w:tc>
      </w:tr>
      <w:tr w:rsidR="005650D6" w:rsidRPr="005650D6" w14:paraId="68AD50DE" w14:textId="77777777" w:rsidTr="005650D6">
        <w:tc>
          <w:tcPr>
            <w:tcW w:w="2147" w:type="dxa"/>
          </w:tcPr>
          <w:p w14:paraId="0EFB6D27" w14:textId="77777777" w:rsidR="005650D6" w:rsidRPr="005650D6" w:rsidRDefault="005650D6" w:rsidP="0049624D">
            <w:pPr>
              <w:spacing w:after="120"/>
              <w:rPr>
                <w:rFonts w:ascii="Arial" w:hAnsi="Arial"/>
                <w:b/>
                <w:sz w:val="20"/>
                <w:szCs w:val="20"/>
              </w:rPr>
            </w:pPr>
            <w:r w:rsidRPr="005650D6">
              <w:rPr>
                <w:rFonts w:ascii="Arial" w:hAnsi="Arial"/>
                <w:b/>
                <w:sz w:val="20"/>
                <w:szCs w:val="20"/>
              </w:rPr>
              <w:t>Fixed asset</w:t>
            </w:r>
          </w:p>
        </w:tc>
        <w:tc>
          <w:tcPr>
            <w:tcW w:w="7095" w:type="dxa"/>
          </w:tcPr>
          <w:p w14:paraId="5E972D2F"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An item of high value owed by the organisation for use over a long period. Normally office equipment, vehicles and property.</w:t>
            </w:r>
          </w:p>
        </w:tc>
      </w:tr>
      <w:tr w:rsidR="005650D6" w:rsidRPr="005650D6" w14:paraId="7C378478" w14:textId="77777777" w:rsidTr="005650D6">
        <w:tc>
          <w:tcPr>
            <w:tcW w:w="2147" w:type="dxa"/>
          </w:tcPr>
          <w:p w14:paraId="5C044AF5" w14:textId="77777777" w:rsidR="005650D6" w:rsidRPr="005650D6" w:rsidRDefault="005650D6" w:rsidP="0049624D">
            <w:pPr>
              <w:spacing w:after="120"/>
              <w:rPr>
                <w:rFonts w:ascii="Arial" w:hAnsi="Arial"/>
                <w:b/>
                <w:sz w:val="20"/>
                <w:szCs w:val="20"/>
              </w:rPr>
            </w:pPr>
            <w:r w:rsidRPr="005650D6">
              <w:rPr>
                <w:rFonts w:ascii="Arial" w:hAnsi="Arial"/>
                <w:b/>
                <w:sz w:val="20"/>
                <w:szCs w:val="20"/>
              </w:rPr>
              <w:t>Fixed assets register</w:t>
            </w:r>
          </w:p>
        </w:tc>
        <w:tc>
          <w:tcPr>
            <w:tcW w:w="7095" w:type="dxa"/>
          </w:tcPr>
          <w:p w14:paraId="2BBC91F1"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list of the Fixed Assets of the organisation, usually giving details of value, serial numbers, location, purchase date, etc.</w:t>
            </w:r>
          </w:p>
        </w:tc>
      </w:tr>
      <w:tr w:rsidR="005650D6" w:rsidRPr="005650D6" w14:paraId="6D201B3F" w14:textId="77777777" w:rsidTr="005650D6">
        <w:tc>
          <w:tcPr>
            <w:tcW w:w="2147" w:type="dxa"/>
          </w:tcPr>
          <w:p w14:paraId="78E1D917" w14:textId="77777777" w:rsidR="005650D6" w:rsidRPr="005650D6" w:rsidRDefault="005650D6" w:rsidP="0049624D">
            <w:pPr>
              <w:spacing w:after="120"/>
              <w:rPr>
                <w:rFonts w:ascii="Arial" w:hAnsi="Arial"/>
                <w:b/>
                <w:sz w:val="20"/>
                <w:szCs w:val="20"/>
              </w:rPr>
            </w:pPr>
            <w:r w:rsidRPr="005650D6">
              <w:rPr>
                <w:rFonts w:ascii="Arial" w:hAnsi="Arial"/>
                <w:b/>
                <w:sz w:val="20"/>
                <w:szCs w:val="20"/>
              </w:rPr>
              <w:t>FRC</w:t>
            </w:r>
          </w:p>
        </w:tc>
        <w:tc>
          <w:tcPr>
            <w:tcW w:w="7095" w:type="dxa"/>
          </w:tcPr>
          <w:p w14:paraId="0B523DF8"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Fund Reporting Code</w:t>
            </w:r>
          </w:p>
        </w:tc>
      </w:tr>
      <w:tr w:rsidR="005650D6" w:rsidRPr="005650D6" w14:paraId="4D91A428" w14:textId="77777777" w:rsidTr="005650D6">
        <w:tc>
          <w:tcPr>
            <w:tcW w:w="2147" w:type="dxa"/>
          </w:tcPr>
          <w:p w14:paraId="03C23D05" w14:textId="77777777" w:rsidR="005650D6" w:rsidRPr="005650D6" w:rsidRDefault="005650D6" w:rsidP="0049624D">
            <w:pPr>
              <w:spacing w:after="120"/>
              <w:rPr>
                <w:rFonts w:ascii="Arial" w:hAnsi="Arial"/>
                <w:b/>
                <w:sz w:val="20"/>
                <w:szCs w:val="20"/>
              </w:rPr>
            </w:pPr>
            <w:r w:rsidRPr="005650D6">
              <w:rPr>
                <w:rFonts w:ascii="Arial" w:hAnsi="Arial"/>
                <w:b/>
                <w:sz w:val="20"/>
                <w:szCs w:val="20"/>
              </w:rPr>
              <w:lastRenderedPageBreak/>
              <w:t>Fund</w:t>
            </w:r>
          </w:p>
        </w:tc>
        <w:tc>
          <w:tcPr>
            <w:tcW w:w="7095" w:type="dxa"/>
          </w:tcPr>
          <w:p w14:paraId="4DABA97B" w14:textId="77777777" w:rsidR="005650D6" w:rsidRPr="005650D6" w:rsidRDefault="005650D6" w:rsidP="0049624D">
            <w:pPr>
              <w:rPr>
                <w:rFonts w:ascii="Arial" w:hAnsi="Arial"/>
              </w:rPr>
            </w:pPr>
            <w:r w:rsidRPr="005650D6">
              <w:rPr>
                <w:rFonts w:ascii="Arial" w:hAnsi="Arial"/>
                <w:sz w:val="20"/>
                <w:szCs w:val="20"/>
              </w:rPr>
              <w:t xml:space="preserve">A source of income which will have expenditure recorded against it so that it can be reported back to the funder </w:t>
            </w:r>
          </w:p>
        </w:tc>
      </w:tr>
      <w:tr w:rsidR="005650D6" w:rsidRPr="005650D6" w14:paraId="5AC525DF" w14:textId="77777777" w:rsidTr="005650D6">
        <w:tc>
          <w:tcPr>
            <w:tcW w:w="2147" w:type="dxa"/>
          </w:tcPr>
          <w:p w14:paraId="67536F84" w14:textId="77777777" w:rsidR="005650D6" w:rsidRPr="005650D6" w:rsidRDefault="005650D6" w:rsidP="0049624D">
            <w:pPr>
              <w:spacing w:after="120"/>
              <w:rPr>
                <w:rFonts w:ascii="Arial" w:hAnsi="Arial"/>
                <w:b/>
                <w:sz w:val="20"/>
                <w:szCs w:val="20"/>
              </w:rPr>
            </w:pPr>
            <w:r w:rsidRPr="005650D6">
              <w:rPr>
                <w:rFonts w:ascii="Arial" w:hAnsi="Arial"/>
                <w:b/>
                <w:sz w:val="20"/>
                <w:szCs w:val="20"/>
              </w:rPr>
              <w:t>Funder Audit</w:t>
            </w:r>
          </w:p>
        </w:tc>
        <w:tc>
          <w:tcPr>
            <w:tcW w:w="7095" w:type="dxa"/>
          </w:tcPr>
          <w:p w14:paraId="06EA04C1"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An independent audit required by a funder, usually checking how their funds have been used for the funded activities</w:t>
            </w:r>
          </w:p>
        </w:tc>
      </w:tr>
      <w:tr w:rsidR="005650D6" w:rsidRPr="005650D6" w14:paraId="71860706" w14:textId="77777777" w:rsidTr="005650D6">
        <w:tc>
          <w:tcPr>
            <w:tcW w:w="2147" w:type="dxa"/>
          </w:tcPr>
          <w:p w14:paraId="584AB9F8" w14:textId="77777777" w:rsidR="005650D6" w:rsidRPr="005650D6" w:rsidRDefault="005650D6" w:rsidP="0049624D">
            <w:pPr>
              <w:spacing w:after="120"/>
              <w:rPr>
                <w:rFonts w:ascii="Arial" w:hAnsi="Arial"/>
                <w:b/>
                <w:sz w:val="20"/>
                <w:szCs w:val="20"/>
              </w:rPr>
            </w:pPr>
            <w:r w:rsidRPr="005650D6">
              <w:rPr>
                <w:rFonts w:ascii="Arial" w:hAnsi="Arial"/>
                <w:b/>
                <w:sz w:val="20"/>
                <w:szCs w:val="20"/>
              </w:rPr>
              <w:t>Funding Grid</w:t>
            </w:r>
          </w:p>
        </w:tc>
        <w:tc>
          <w:tcPr>
            <w:tcW w:w="7095" w:type="dxa"/>
          </w:tcPr>
          <w:p w14:paraId="45CD56C1"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table of figures used where a programme has more than one funder to see which funders are funding which budget lines. This reveals where there are funding gaps or ‘double funding’.</w:t>
            </w:r>
          </w:p>
        </w:tc>
      </w:tr>
      <w:tr w:rsidR="005650D6" w:rsidRPr="005650D6" w14:paraId="7A39A78C" w14:textId="77777777" w:rsidTr="005650D6">
        <w:tc>
          <w:tcPr>
            <w:tcW w:w="2147" w:type="dxa"/>
          </w:tcPr>
          <w:p w14:paraId="3DC85403" w14:textId="77777777" w:rsidR="005650D6" w:rsidRPr="005650D6" w:rsidRDefault="005650D6" w:rsidP="0049624D">
            <w:pPr>
              <w:spacing w:after="120"/>
              <w:rPr>
                <w:rFonts w:ascii="Arial" w:hAnsi="Arial"/>
                <w:b/>
                <w:sz w:val="20"/>
                <w:szCs w:val="20"/>
              </w:rPr>
            </w:pPr>
            <w:r w:rsidRPr="005650D6">
              <w:rPr>
                <w:rFonts w:ascii="Arial" w:hAnsi="Arial"/>
                <w:b/>
                <w:sz w:val="20"/>
                <w:szCs w:val="20"/>
              </w:rPr>
              <w:t>General funds</w:t>
            </w:r>
          </w:p>
        </w:tc>
        <w:tc>
          <w:tcPr>
            <w:tcW w:w="7095" w:type="dxa"/>
          </w:tcPr>
          <w:p w14:paraId="494BC10B"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Unrestricted funds which have not been earmarked and which may be used generally to further the organisation’s objectives. Often referred to as Reserves.</w:t>
            </w:r>
          </w:p>
        </w:tc>
      </w:tr>
      <w:tr w:rsidR="005650D6" w:rsidRPr="005650D6" w14:paraId="5FDA28A5" w14:textId="77777777" w:rsidTr="005650D6">
        <w:tc>
          <w:tcPr>
            <w:tcW w:w="2147" w:type="dxa"/>
          </w:tcPr>
          <w:p w14:paraId="10DD9CEC" w14:textId="77777777" w:rsidR="005650D6" w:rsidRPr="005650D6" w:rsidRDefault="005650D6" w:rsidP="0049624D">
            <w:pPr>
              <w:spacing w:after="120"/>
              <w:rPr>
                <w:rFonts w:ascii="Arial" w:hAnsi="Arial"/>
                <w:b/>
                <w:sz w:val="20"/>
                <w:szCs w:val="20"/>
              </w:rPr>
            </w:pPr>
            <w:r w:rsidRPr="005650D6">
              <w:rPr>
                <w:rFonts w:ascii="Arial" w:hAnsi="Arial"/>
                <w:b/>
                <w:sz w:val="20"/>
                <w:szCs w:val="20"/>
              </w:rPr>
              <w:t>Grant</w:t>
            </w:r>
          </w:p>
        </w:tc>
        <w:tc>
          <w:tcPr>
            <w:tcW w:w="7095" w:type="dxa"/>
          </w:tcPr>
          <w:p w14:paraId="20D9D557"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Money given by a funder, usually for a clearly defined purpose</w:t>
            </w:r>
          </w:p>
        </w:tc>
      </w:tr>
      <w:tr w:rsidR="005650D6" w:rsidRPr="005650D6" w14:paraId="3547669A" w14:textId="77777777" w:rsidTr="005650D6">
        <w:tc>
          <w:tcPr>
            <w:tcW w:w="2147" w:type="dxa"/>
          </w:tcPr>
          <w:p w14:paraId="4F562B11" w14:textId="77777777" w:rsidR="005650D6" w:rsidRPr="005650D6" w:rsidRDefault="005650D6" w:rsidP="0049624D">
            <w:pPr>
              <w:spacing w:after="120"/>
              <w:rPr>
                <w:rFonts w:ascii="Arial" w:hAnsi="Arial"/>
                <w:b/>
                <w:sz w:val="20"/>
                <w:szCs w:val="20"/>
              </w:rPr>
            </w:pPr>
            <w:r w:rsidRPr="005650D6">
              <w:rPr>
                <w:rFonts w:ascii="Arial" w:hAnsi="Arial"/>
                <w:b/>
                <w:sz w:val="20"/>
                <w:szCs w:val="20"/>
              </w:rPr>
              <w:t>Grant schedule</w:t>
            </w:r>
          </w:p>
        </w:tc>
        <w:tc>
          <w:tcPr>
            <w:tcW w:w="7095" w:type="dxa"/>
          </w:tcPr>
          <w:p w14:paraId="37BEFEF2"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tool for tracking the income, budget and expenditure of grants</w:t>
            </w:r>
          </w:p>
        </w:tc>
      </w:tr>
      <w:tr w:rsidR="005650D6" w:rsidRPr="005650D6" w14:paraId="67E7DE13" w14:textId="77777777" w:rsidTr="005650D6">
        <w:tc>
          <w:tcPr>
            <w:tcW w:w="2147" w:type="dxa"/>
          </w:tcPr>
          <w:p w14:paraId="0F37EFE0" w14:textId="77777777" w:rsidR="005650D6" w:rsidRPr="005650D6" w:rsidRDefault="005650D6" w:rsidP="0049624D">
            <w:pPr>
              <w:spacing w:after="120"/>
              <w:rPr>
                <w:rFonts w:ascii="Arial" w:hAnsi="Arial"/>
                <w:b/>
                <w:sz w:val="20"/>
                <w:szCs w:val="20"/>
              </w:rPr>
            </w:pPr>
            <w:r w:rsidRPr="005650D6">
              <w:rPr>
                <w:rFonts w:ascii="Arial" w:hAnsi="Arial"/>
                <w:b/>
                <w:sz w:val="20"/>
                <w:szCs w:val="20"/>
              </w:rPr>
              <w:t>GRN</w:t>
            </w:r>
          </w:p>
        </w:tc>
        <w:tc>
          <w:tcPr>
            <w:tcW w:w="7095" w:type="dxa"/>
          </w:tcPr>
          <w:p w14:paraId="6FFA1440"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Goods Received Note- provided by suppliers to be signed to acknowledge that the goods are delivered in good order</w:t>
            </w:r>
          </w:p>
        </w:tc>
      </w:tr>
      <w:tr w:rsidR="005650D6" w:rsidRPr="005650D6" w14:paraId="21BEEFBF" w14:textId="77777777" w:rsidTr="005650D6">
        <w:tc>
          <w:tcPr>
            <w:tcW w:w="2147" w:type="dxa"/>
          </w:tcPr>
          <w:p w14:paraId="453F5E70" w14:textId="77777777" w:rsidR="005650D6" w:rsidRPr="005650D6" w:rsidRDefault="005650D6" w:rsidP="0049624D">
            <w:pPr>
              <w:spacing w:after="120"/>
              <w:rPr>
                <w:rFonts w:ascii="Arial" w:hAnsi="Arial"/>
                <w:b/>
                <w:sz w:val="20"/>
                <w:szCs w:val="20"/>
              </w:rPr>
            </w:pPr>
            <w:r w:rsidRPr="005650D6">
              <w:rPr>
                <w:rFonts w:ascii="Arial" w:hAnsi="Arial"/>
                <w:b/>
                <w:sz w:val="20"/>
                <w:szCs w:val="20"/>
              </w:rPr>
              <w:t>Income &amp; expenditure account</w:t>
            </w:r>
          </w:p>
        </w:tc>
        <w:tc>
          <w:tcPr>
            <w:tcW w:w="7095" w:type="dxa"/>
          </w:tcPr>
          <w:p w14:paraId="2B16B8D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Summarises income and expenditure transactions for the accounting period, adjusting for transactions that are not yet complete or took place in a different accounting period.</w:t>
            </w:r>
          </w:p>
        </w:tc>
      </w:tr>
      <w:tr w:rsidR="005650D6" w:rsidRPr="005650D6" w14:paraId="0BAC81CC" w14:textId="77777777" w:rsidTr="005650D6">
        <w:tc>
          <w:tcPr>
            <w:tcW w:w="2147" w:type="dxa"/>
          </w:tcPr>
          <w:p w14:paraId="350036B9" w14:textId="77777777" w:rsidR="005650D6" w:rsidRPr="005650D6" w:rsidRDefault="005650D6" w:rsidP="0049624D">
            <w:pPr>
              <w:spacing w:after="120"/>
              <w:rPr>
                <w:rFonts w:ascii="Arial" w:hAnsi="Arial"/>
                <w:b/>
                <w:sz w:val="20"/>
                <w:szCs w:val="20"/>
              </w:rPr>
            </w:pPr>
            <w:r w:rsidRPr="005650D6">
              <w:rPr>
                <w:rFonts w:ascii="Arial" w:hAnsi="Arial"/>
                <w:b/>
                <w:sz w:val="20"/>
                <w:szCs w:val="20"/>
              </w:rPr>
              <w:t>Indirect cost</w:t>
            </w:r>
          </w:p>
        </w:tc>
        <w:tc>
          <w:tcPr>
            <w:tcW w:w="7095" w:type="dxa"/>
          </w:tcPr>
          <w:p w14:paraId="644023DB"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cost which cannot be specifically assigned to one activity, department or project, e.g. the fee for the annual audit.</w:t>
            </w:r>
          </w:p>
        </w:tc>
      </w:tr>
      <w:tr w:rsidR="005650D6" w:rsidRPr="005650D6" w14:paraId="05641C8E" w14:textId="77777777" w:rsidTr="005650D6">
        <w:tc>
          <w:tcPr>
            <w:tcW w:w="2147" w:type="dxa"/>
          </w:tcPr>
          <w:p w14:paraId="73FC1E89" w14:textId="77777777" w:rsidR="005650D6" w:rsidRPr="005650D6" w:rsidRDefault="005650D6" w:rsidP="0049624D">
            <w:pPr>
              <w:spacing w:after="120"/>
              <w:rPr>
                <w:rFonts w:ascii="Arial" w:hAnsi="Arial"/>
                <w:b/>
                <w:sz w:val="20"/>
                <w:szCs w:val="20"/>
              </w:rPr>
            </w:pPr>
            <w:r w:rsidRPr="005650D6">
              <w:rPr>
                <w:rFonts w:ascii="Arial" w:hAnsi="Arial"/>
                <w:b/>
                <w:sz w:val="20"/>
                <w:szCs w:val="20"/>
              </w:rPr>
              <w:t>Institutional funder</w:t>
            </w:r>
          </w:p>
        </w:tc>
        <w:tc>
          <w:tcPr>
            <w:tcW w:w="7095" w:type="dxa"/>
          </w:tcPr>
          <w:p w14:paraId="2A2C6D26"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term used to describe national or supra-national government funder agencies such as USAID and World Bank</w:t>
            </w:r>
          </w:p>
        </w:tc>
      </w:tr>
      <w:tr w:rsidR="005650D6" w:rsidRPr="005650D6" w14:paraId="39900500" w14:textId="77777777" w:rsidTr="005650D6">
        <w:tc>
          <w:tcPr>
            <w:tcW w:w="2147" w:type="dxa"/>
          </w:tcPr>
          <w:p w14:paraId="6CA82D94" w14:textId="77777777" w:rsidR="005650D6" w:rsidRPr="005650D6" w:rsidRDefault="005650D6" w:rsidP="0049624D">
            <w:pPr>
              <w:spacing w:after="120"/>
              <w:rPr>
                <w:rFonts w:ascii="Arial" w:hAnsi="Arial"/>
                <w:b/>
                <w:sz w:val="20"/>
                <w:szCs w:val="20"/>
              </w:rPr>
            </w:pPr>
            <w:r w:rsidRPr="005650D6">
              <w:rPr>
                <w:rFonts w:ascii="Arial" w:hAnsi="Arial"/>
                <w:b/>
                <w:sz w:val="20"/>
                <w:szCs w:val="20"/>
              </w:rPr>
              <w:t>Journal entry</w:t>
            </w:r>
          </w:p>
        </w:tc>
        <w:tc>
          <w:tcPr>
            <w:tcW w:w="7095" w:type="dxa"/>
          </w:tcPr>
          <w:p w14:paraId="0AE9773D"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 xml:space="preserve">An entry in the books of account which covers a non-monetary transaction – </w:t>
            </w:r>
            <w:proofErr w:type="spellStart"/>
            <w:r w:rsidRPr="005650D6">
              <w:rPr>
                <w:rFonts w:ascii="Arial" w:hAnsi="Arial"/>
                <w:color w:val="000000"/>
                <w:sz w:val="20"/>
                <w:szCs w:val="20"/>
              </w:rPr>
              <w:t>eg</w:t>
            </w:r>
            <w:proofErr w:type="spellEnd"/>
            <w:r w:rsidRPr="005650D6">
              <w:rPr>
                <w:rFonts w:ascii="Arial" w:hAnsi="Arial"/>
                <w:color w:val="000000"/>
                <w:sz w:val="20"/>
                <w:szCs w:val="20"/>
              </w:rPr>
              <w:t xml:space="preserve"> for recording a donation in kind or an adjustment for correcting a recording error.</w:t>
            </w:r>
          </w:p>
        </w:tc>
      </w:tr>
      <w:tr w:rsidR="005650D6" w:rsidRPr="005650D6" w14:paraId="2CA4EBE2" w14:textId="77777777" w:rsidTr="005650D6">
        <w:tc>
          <w:tcPr>
            <w:tcW w:w="2147" w:type="dxa"/>
          </w:tcPr>
          <w:p w14:paraId="651CA06C" w14:textId="77777777" w:rsidR="005650D6" w:rsidRPr="005650D6" w:rsidRDefault="005650D6" w:rsidP="0049624D">
            <w:pPr>
              <w:spacing w:after="120"/>
              <w:rPr>
                <w:rFonts w:ascii="Arial" w:hAnsi="Arial"/>
                <w:b/>
                <w:sz w:val="20"/>
                <w:szCs w:val="20"/>
              </w:rPr>
            </w:pPr>
            <w:r w:rsidRPr="005650D6">
              <w:rPr>
                <w:rFonts w:ascii="Arial" w:hAnsi="Arial"/>
                <w:b/>
                <w:sz w:val="20"/>
                <w:szCs w:val="20"/>
              </w:rPr>
              <w:t>Liabilities</w:t>
            </w:r>
          </w:p>
        </w:tc>
        <w:tc>
          <w:tcPr>
            <w:tcW w:w="7095" w:type="dxa"/>
          </w:tcPr>
          <w:p w14:paraId="16433DC2"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Amounts owed by the organisation to others, including grants received in advance, loans, accruals and outstanding invoices.</w:t>
            </w:r>
          </w:p>
        </w:tc>
      </w:tr>
      <w:tr w:rsidR="005650D6" w:rsidRPr="005650D6" w14:paraId="6BF7AE0D" w14:textId="77777777" w:rsidTr="005650D6">
        <w:tc>
          <w:tcPr>
            <w:tcW w:w="2147" w:type="dxa"/>
          </w:tcPr>
          <w:p w14:paraId="4DF9FD9D" w14:textId="77777777" w:rsidR="005650D6" w:rsidRPr="005650D6" w:rsidRDefault="005650D6" w:rsidP="0049624D">
            <w:pPr>
              <w:spacing w:after="120"/>
              <w:rPr>
                <w:rFonts w:ascii="Arial" w:hAnsi="Arial"/>
                <w:b/>
                <w:sz w:val="20"/>
                <w:szCs w:val="20"/>
              </w:rPr>
            </w:pPr>
            <w:r w:rsidRPr="005650D6">
              <w:rPr>
                <w:rFonts w:ascii="Arial" w:hAnsi="Arial"/>
                <w:b/>
                <w:sz w:val="20"/>
                <w:szCs w:val="20"/>
              </w:rPr>
              <w:t>Loan</w:t>
            </w:r>
          </w:p>
        </w:tc>
        <w:tc>
          <w:tcPr>
            <w:tcW w:w="7095" w:type="dxa"/>
          </w:tcPr>
          <w:p w14:paraId="0A8358F0"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Money which has to be repaid at some time</w:t>
            </w:r>
          </w:p>
        </w:tc>
      </w:tr>
      <w:tr w:rsidR="005650D6" w:rsidRPr="005650D6" w14:paraId="688B977B" w14:textId="77777777" w:rsidTr="005650D6">
        <w:tc>
          <w:tcPr>
            <w:tcW w:w="2147" w:type="dxa"/>
          </w:tcPr>
          <w:p w14:paraId="17DD11C6" w14:textId="77777777" w:rsidR="005650D6" w:rsidRPr="005650D6" w:rsidRDefault="005650D6" w:rsidP="0049624D">
            <w:pPr>
              <w:spacing w:after="120"/>
              <w:rPr>
                <w:rFonts w:ascii="Arial" w:hAnsi="Arial"/>
                <w:b/>
                <w:sz w:val="20"/>
                <w:szCs w:val="20"/>
              </w:rPr>
            </w:pPr>
            <w:r w:rsidRPr="005650D6">
              <w:rPr>
                <w:rFonts w:ascii="Arial" w:hAnsi="Arial"/>
                <w:b/>
                <w:sz w:val="20"/>
                <w:szCs w:val="20"/>
              </w:rPr>
              <w:t>Management accounting</w:t>
            </w:r>
          </w:p>
        </w:tc>
        <w:tc>
          <w:tcPr>
            <w:tcW w:w="7095" w:type="dxa"/>
          </w:tcPr>
          <w:p w14:paraId="16FFA5E2"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provision of financial information to management for the purposes of planning, decision-making, and monitoring and controlling performance.</w:t>
            </w:r>
          </w:p>
        </w:tc>
      </w:tr>
      <w:tr w:rsidR="005650D6" w:rsidRPr="005650D6" w14:paraId="0711D111" w14:textId="77777777" w:rsidTr="005650D6">
        <w:tc>
          <w:tcPr>
            <w:tcW w:w="2147" w:type="dxa"/>
          </w:tcPr>
          <w:p w14:paraId="4E3F355B" w14:textId="77777777" w:rsidR="005650D6" w:rsidRPr="005650D6" w:rsidRDefault="005650D6" w:rsidP="0049624D">
            <w:pPr>
              <w:spacing w:after="120"/>
              <w:rPr>
                <w:rFonts w:ascii="Arial" w:hAnsi="Arial"/>
                <w:b/>
                <w:sz w:val="20"/>
                <w:szCs w:val="20"/>
              </w:rPr>
            </w:pPr>
            <w:r w:rsidRPr="005650D6">
              <w:rPr>
                <w:rFonts w:ascii="Arial" w:hAnsi="Arial"/>
                <w:b/>
                <w:sz w:val="20"/>
                <w:szCs w:val="20"/>
              </w:rPr>
              <w:t>Match funding</w:t>
            </w:r>
          </w:p>
        </w:tc>
        <w:tc>
          <w:tcPr>
            <w:tcW w:w="7095" w:type="dxa"/>
          </w:tcPr>
          <w:p w14:paraId="69EEBE92"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Also known as co-funding, cost share or recipient share.</w:t>
            </w:r>
          </w:p>
        </w:tc>
      </w:tr>
      <w:tr w:rsidR="005650D6" w:rsidRPr="005650D6" w14:paraId="260C73CB" w14:textId="77777777" w:rsidTr="005650D6">
        <w:tc>
          <w:tcPr>
            <w:tcW w:w="2147" w:type="dxa"/>
          </w:tcPr>
          <w:p w14:paraId="518E2D7A" w14:textId="77777777" w:rsidR="005650D6" w:rsidRPr="005650D6" w:rsidRDefault="005650D6" w:rsidP="0049624D">
            <w:pPr>
              <w:spacing w:after="120"/>
              <w:rPr>
                <w:rFonts w:ascii="Arial" w:hAnsi="Arial"/>
                <w:b/>
                <w:sz w:val="20"/>
                <w:szCs w:val="20"/>
              </w:rPr>
            </w:pPr>
            <w:r w:rsidRPr="005650D6">
              <w:rPr>
                <w:rFonts w:ascii="Arial" w:hAnsi="Arial"/>
                <w:b/>
                <w:sz w:val="20"/>
                <w:szCs w:val="20"/>
              </w:rPr>
              <w:t>Memorandum of Understanding (MOU)</w:t>
            </w:r>
          </w:p>
        </w:tc>
        <w:tc>
          <w:tcPr>
            <w:tcW w:w="7095" w:type="dxa"/>
          </w:tcPr>
          <w:p w14:paraId="567372EB"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This document lays out the terms of reference and operating guidelines between a funder NGO and its implementing partner or government. It is not a legally binding document.</w:t>
            </w:r>
          </w:p>
        </w:tc>
      </w:tr>
      <w:tr w:rsidR="005650D6" w:rsidRPr="005650D6" w14:paraId="23ACCF95" w14:textId="77777777" w:rsidTr="005650D6">
        <w:tc>
          <w:tcPr>
            <w:tcW w:w="2147" w:type="dxa"/>
          </w:tcPr>
          <w:p w14:paraId="46C30518" w14:textId="77777777" w:rsidR="005650D6" w:rsidRPr="005650D6" w:rsidRDefault="005650D6" w:rsidP="0049624D">
            <w:pPr>
              <w:spacing w:after="120"/>
              <w:rPr>
                <w:rFonts w:ascii="Arial" w:hAnsi="Arial"/>
                <w:b/>
                <w:sz w:val="20"/>
                <w:szCs w:val="20"/>
              </w:rPr>
            </w:pPr>
            <w:proofErr w:type="spellStart"/>
            <w:r w:rsidRPr="005650D6">
              <w:rPr>
                <w:rFonts w:ascii="Arial" w:hAnsi="Arial"/>
                <w:b/>
                <w:sz w:val="20"/>
                <w:szCs w:val="20"/>
              </w:rPr>
              <w:t>Multi lateral</w:t>
            </w:r>
            <w:proofErr w:type="spellEnd"/>
            <w:r w:rsidRPr="005650D6">
              <w:rPr>
                <w:rFonts w:ascii="Arial" w:hAnsi="Arial"/>
                <w:b/>
                <w:sz w:val="20"/>
                <w:szCs w:val="20"/>
              </w:rPr>
              <w:t xml:space="preserve"> funder</w:t>
            </w:r>
          </w:p>
        </w:tc>
        <w:tc>
          <w:tcPr>
            <w:tcW w:w="7095" w:type="dxa"/>
          </w:tcPr>
          <w:p w14:paraId="42A73519"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An institution or agency with multiple participating nations or parties, used to channel funds to focussed areas of work, such as World Health Organisation and UNHCR.</w:t>
            </w:r>
          </w:p>
        </w:tc>
      </w:tr>
      <w:tr w:rsidR="005650D6" w:rsidRPr="005650D6" w14:paraId="792EA139" w14:textId="77777777" w:rsidTr="005650D6">
        <w:tc>
          <w:tcPr>
            <w:tcW w:w="2147" w:type="dxa"/>
          </w:tcPr>
          <w:p w14:paraId="37A45641" w14:textId="77777777" w:rsidR="005650D6" w:rsidRPr="005650D6" w:rsidRDefault="005650D6" w:rsidP="0049624D">
            <w:pPr>
              <w:spacing w:after="120"/>
              <w:rPr>
                <w:rFonts w:ascii="Arial" w:hAnsi="Arial"/>
                <w:b/>
                <w:sz w:val="20"/>
                <w:szCs w:val="20"/>
              </w:rPr>
            </w:pPr>
            <w:r w:rsidRPr="005650D6">
              <w:rPr>
                <w:rFonts w:ascii="Arial" w:hAnsi="Arial"/>
                <w:b/>
                <w:sz w:val="20"/>
                <w:szCs w:val="20"/>
              </w:rPr>
              <w:t>Net book value (NBV)</w:t>
            </w:r>
          </w:p>
        </w:tc>
        <w:tc>
          <w:tcPr>
            <w:tcW w:w="7095" w:type="dxa"/>
          </w:tcPr>
          <w:p w14:paraId="368DCE43"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cost of an asset less its accumulated depreciation to date.</w:t>
            </w:r>
          </w:p>
        </w:tc>
      </w:tr>
      <w:tr w:rsidR="005650D6" w:rsidRPr="005650D6" w14:paraId="07335ADA" w14:textId="77777777" w:rsidTr="005650D6">
        <w:tc>
          <w:tcPr>
            <w:tcW w:w="2147" w:type="dxa"/>
          </w:tcPr>
          <w:p w14:paraId="0CEC1374" w14:textId="77777777" w:rsidR="005650D6" w:rsidRPr="005650D6" w:rsidRDefault="005650D6" w:rsidP="0049624D">
            <w:pPr>
              <w:spacing w:after="120"/>
              <w:rPr>
                <w:rFonts w:ascii="Arial" w:hAnsi="Arial"/>
                <w:b/>
                <w:sz w:val="20"/>
                <w:szCs w:val="20"/>
              </w:rPr>
            </w:pPr>
            <w:r w:rsidRPr="005650D6">
              <w:rPr>
                <w:rFonts w:ascii="Arial" w:hAnsi="Arial"/>
                <w:b/>
                <w:sz w:val="20"/>
                <w:szCs w:val="20"/>
              </w:rPr>
              <w:t>Nominal code</w:t>
            </w:r>
          </w:p>
        </w:tc>
        <w:tc>
          <w:tcPr>
            <w:tcW w:w="7095" w:type="dxa"/>
          </w:tcPr>
          <w:p w14:paraId="57B2F379"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See Account code</w:t>
            </w:r>
          </w:p>
        </w:tc>
      </w:tr>
      <w:tr w:rsidR="005650D6" w:rsidRPr="005650D6" w14:paraId="47317AAC" w14:textId="77777777" w:rsidTr="005650D6">
        <w:tc>
          <w:tcPr>
            <w:tcW w:w="2147" w:type="dxa"/>
          </w:tcPr>
          <w:p w14:paraId="58311444" w14:textId="77777777" w:rsidR="005650D6" w:rsidRPr="005650D6" w:rsidRDefault="005650D6" w:rsidP="0049624D">
            <w:pPr>
              <w:spacing w:after="120"/>
              <w:rPr>
                <w:rFonts w:ascii="Arial" w:hAnsi="Arial"/>
                <w:b/>
                <w:sz w:val="20"/>
                <w:szCs w:val="20"/>
              </w:rPr>
            </w:pPr>
            <w:r w:rsidRPr="005650D6">
              <w:rPr>
                <w:rFonts w:ascii="Arial" w:hAnsi="Arial"/>
                <w:b/>
                <w:sz w:val="20"/>
                <w:szCs w:val="20"/>
              </w:rPr>
              <w:t>NICRA</w:t>
            </w:r>
          </w:p>
        </w:tc>
        <w:tc>
          <w:tcPr>
            <w:tcW w:w="7095" w:type="dxa"/>
          </w:tcPr>
          <w:p w14:paraId="6DE361F2"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 xml:space="preserve">Negotiated Indirect Cost Rate Agreement. The </w:t>
            </w:r>
            <w:proofErr w:type="gramStart"/>
            <w:r w:rsidRPr="005650D6">
              <w:rPr>
                <w:rFonts w:ascii="Arial" w:hAnsi="Arial"/>
                <w:color w:val="000000"/>
                <w:sz w:val="20"/>
                <w:szCs w:val="20"/>
              </w:rPr>
              <w:t>pre agreed</w:t>
            </w:r>
            <w:proofErr w:type="gramEnd"/>
            <w:r w:rsidRPr="005650D6">
              <w:rPr>
                <w:rFonts w:ascii="Arial" w:hAnsi="Arial"/>
                <w:color w:val="000000"/>
                <w:sz w:val="20"/>
                <w:szCs w:val="20"/>
              </w:rPr>
              <w:t xml:space="preserve"> rate of indirect/overhead reimbursement rate negotiation between the US Federal government and a grantee organisation</w:t>
            </w:r>
          </w:p>
        </w:tc>
      </w:tr>
      <w:tr w:rsidR="005650D6" w:rsidRPr="005650D6" w14:paraId="0D61A9A4" w14:textId="77777777" w:rsidTr="005650D6">
        <w:tc>
          <w:tcPr>
            <w:tcW w:w="2147" w:type="dxa"/>
          </w:tcPr>
          <w:p w14:paraId="503BF8C4" w14:textId="77777777" w:rsidR="005650D6" w:rsidRPr="005650D6" w:rsidRDefault="005650D6" w:rsidP="0049624D">
            <w:pPr>
              <w:spacing w:after="120"/>
              <w:rPr>
                <w:rFonts w:ascii="Arial" w:hAnsi="Arial"/>
                <w:b/>
                <w:sz w:val="20"/>
                <w:szCs w:val="20"/>
              </w:rPr>
            </w:pPr>
            <w:r w:rsidRPr="005650D6">
              <w:rPr>
                <w:rFonts w:ascii="Arial" w:hAnsi="Arial"/>
                <w:b/>
                <w:sz w:val="20"/>
                <w:szCs w:val="20"/>
              </w:rPr>
              <w:t>Petty cash book</w:t>
            </w:r>
          </w:p>
        </w:tc>
        <w:tc>
          <w:tcPr>
            <w:tcW w:w="7095" w:type="dxa"/>
          </w:tcPr>
          <w:p w14:paraId="27C360B4"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day-to-day listing of petty cash paid out.</w:t>
            </w:r>
          </w:p>
        </w:tc>
      </w:tr>
      <w:tr w:rsidR="005650D6" w:rsidRPr="005650D6" w14:paraId="4494B9E0" w14:textId="77777777" w:rsidTr="005650D6">
        <w:tc>
          <w:tcPr>
            <w:tcW w:w="2147" w:type="dxa"/>
          </w:tcPr>
          <w:p w14:paraId="76B5C0A8" w14:textId="77777777" w:rsidR="005650D6" w:rsidRPr="005650D6" w:rsidRDefault="005650D6" w:rsidP="0049624D">
            <w:pPr>
              <w:spacing w:after="120"/>
              <w:rPr>
                <w:rFonts w:ascii="Arial" w:hAnsi="Arial"/>
                <w:b/>
                <w:sz w:val="20"/>
                <w:szCs w:val="20"/>
              </w:rPr>
            </w:pPr>
            <w:r w:rsidRPr="005650D6">
              <w:rPr>
                <w:rFonts w:ascii="Arial" w:hAnsi="Arial"/>
                <w:b/>
                <w:sz w:val="20"/>
                <w:szCs w:val="20"/>
              </w:rPr>
              <w:t>Prepayments</w:t>
            </w:r>
          </w:p>
        </w:tc>
        <w:tc>
          <w:tcPr>
            <w:tcW w:w="7095" w:type="dxa"/>
          </w:tcPr>
          <w:p w14:paraId="35ACE332"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Amounts paid in advance at a particular accounting period – e.g. annual insurance premium.</w:t>
            </w:r>
          </w:p>
        </w:tc>
      </w:tr>
      <w:tr w:rsidR="005650D6" w:rsidRPr="005650D6" w14:paraId="7690B570" w14:textId="77777777" w:rsidTr="005650D6">
        <w:tc>
          <w:tcPr>
            <w:tcW w:w="2147" w:type="dxa"/>
          </w:tcPr>
          <w:p w14:paraId="18AB8F82" w14:textId="77777777" w:rsidR="005650D6" w:rsidRPr="005650D6" w:rsidRDefault="005650D6" w:rsidP="0049624D">
            <w:pPr>
              <w:spacing w:after="120"/>
              <w:rPr>
                <w:rFonts w:ascii="Arial" w:hAnsi="Arial"/>
                <w:b/>
                <w:sz w:val="20"/>
                <w:szCs w:val="20"/>
              </w:rPr>
            </w:pPr>
            <w:r w:rsidRPr="005650D6">
              <w:rPr>
                <w:rFonts w:ascii="Arial" w:hAnsi="Arial"/>
                <w:b/>
                <w:sz w:val="20"/>
                <w:szCs w:val="20"/>
              </w:rPr>
              <w:lastRenderedPageBreak/>
              <w:t>Project</w:t>
            </w:r>
          </w:p>
        </w:tc>
        <w:tc>
          <w:tcPr>
            <w:tcW w:w="7095" w:type="dxa"/>
          </w:tcPr>
          <w:p w14:paraId="08AD2C7F" w14:textId="77777777" w:rsidR="005650D6" w:rsidRPr="005650D6" w:rsidRDefault="005650D6" w:rsidP="0049624D">
            <w:pPr>
              <w:rPr>
                <w:rFonts w:ascii="Arial" w:hAnsi="Arial"/>
                <w:color w:val="444444"/>
                <w:sz w:val="20"/>
                <w:szCs w:val="20"/>
              </w:rPr>
            </w:pPr>
            <w:r w:rsidRPr="005650D6">
              <w:rPr>
                <w:rFonts w:ascii="Arial" w:hAnsi="Arial"/>
                <w:color w:val="444444"/>
                <w:sz w:val="20"/>
                <w:szCs w:val="20"/>
              </w:rPr>
              <w:t>A body of work that seeks to achieve a specific goal or outcome for conservation</w:t>
            </w:r>
          </w:p>
        </w:tc>
      </w:tr>
      <w:tr w:rsidR="005650D6" w:rsidRPr="005650D6" w14:paraId="093843A9" w14:textId="77777777" w:rsidTr="005650D6">
        <w:tc>
          <w:tcPr>
            <w:tcW w:w="2147" w:type="dxa"/>
          </w:tcPr>
          <w:p w14:paraId="288D7776" w14:textId="77777777" w:rsidR="005650D6" w:rsidRPr="005650D6" w:rsidRDefault="005650D6" w:rsidP="0049624D">
            <w:pPr>
              <w:spacing w:after="120"/>
              <w:rPr>
                <w:rFonts w:ascii="Arial" w:hAnsi="Arial"/>
                <w:b/>
                <w:sz w:val="20"/>
                <w:szCs w:val="20"/>
              </w:rPr>
            </w:pPr>
            <w:r w:rsidRPr="005650D6">
              <w:rPr>
                <w:rFonts w:ascii="Arial" w:hAnsi="Arial"/>
                <w:b/>
                <w:sz w:val="20"/>
                <w:szCs w:val="20"/>
              </w:rPr>
              <w:t>Reconciliation</w:t>
            </w:r>
          </w:p>
        </w:tc>
        <w:tc>
          <w:tcPr>
            <w:tcW w:w="7095" w:type="dxa"/>
          </w:tcPr>
          <w:p w14:paraId="562CA163"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Checking mechanism which verifies the integrity of different parts of an accounting system. Especially balancing the cash book to the bank statement.</w:t>
            </w:r>
          </w:p>
        </w:tc>
      </w:tr>
      <w:tr w:rsidR="005650D6" w:rsidRPr="005650D6" w14:paraId="6AFC9977" w14:textId="77777777" w:rsidTr="005650D6">
        <w:tc>
          <w:tcPr>
            <w:tcW w:w="2147" w:type="dxa"/>
          </w:tcPr>
          <w:p w14:paraId="4E886510" w14:textId="77777777" w:rsidR="005650D6" w:rsidRPr="005650D6" w:rsidRDefault="005650D6" w:rsidP="0049624D">
            <w:pPr>
              <w:spacing w:after="120"/>
              <w:rPr>
                <w:rFonts w:ascii="Arial" w:hAnsi="Arial"/>
                <w:b/>
                <w:sz w:val="20"/>
                <w:szCs w:val="20"/>
              </w:rPr>
            </w:pPr>
            <w:r w:rsidRPr="005650D6">
              <w:rPr>
                <w:rFonts w:ascii="Arial" w:hAnsi="Arial"/>
                <w:b/>
                <w:sz w:val="20"/>
                <w:szCs w:val="20"/>
              </w:rPr>
              <w:t>Reserves</w:t>
            </w:r>
          </w:p>
        </w:tc>
        <w:tc>
          <w:tcPr>
            <w:tcW w:w="7095" w:type="dxa"/>
          </w:tcPr>
          <w:p w14:paraId="6199F944"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Funds set aside from surpluses produced in previous years.</w:t>
            </w:r>
          </w:p>
        </w:tc>
      </w:tr>
      <w:tr w:rsidR="005650D6" w:rsidRPr="005650D6" w14:paraId="4975B78C" w14:textId="77777777" w:rsidTr="005650D6">
        <w:tc>
          <w:tcPr>
            <w:tcW w:w="2147" w:type="dxa"/>
          </w:tcPr>
          <w:p w14:paraId="77985C6B" w14:textId="77777777" w:rsidR="005650D6" w:rsidRPr="005650D6" w:rsidRDefault="005650D6" w:rsidP="0049624D">
            <w:pPr>
              <w:spacing w:after="120"/>
              <w:rPr>
                <w:rFonts w:ascii="Arial" w:hAnsi="Arial"/>
                <w:b/>
                <w:sz w:val="20"/>
                <w:szCs w:val="20"/>
              </w:rPr>
            </w:pPr>
            <w:r w:rsidRPr="005650D6">
              <w:rPr>
                <w:rFonts w:ascii="Arial" w:hAnsi="Arial"/>
                <w:b/>
                <w:sz w:val="20"/>
                <w:szCs w:val="20"/>
              </w:rPr>
              <w:t>Restricted funds</w:t>
            </w:r>
          </w:p>
        </w:tc>
        <w:tc>
          <w:tcPr>
            <w:tcW w:w="7095" w:type="dxa"/>
          </w:tcPr>
          <w:p w14:paraId="2B1E6E2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Income which has conditions attached to how used, usually with a requirement to report back to the funder.</w:t>
            </w:r>
          </w:p>
        </w:tc>
      </w:tr>
      <w:tr w:rsidR="005650D6" w:rsidRPr="005650D6" w14:paraId="2AAB7277" w14:textId="77777777" w:rsidTr="005650D6">
        <w:tc>
          <w:tcPr>
            <w:tcW w:w="2147" w:type="dxa"/>
          </w:tcPr>
          <w:p w14:paraId="440F51B9" w14:textId="77777777" w:rsidR="005650D6" w:rsidRPr="005650D6" w:rsidRDefault="005650D6" w:rsidP="0049624D">
            <w:pPr>
              <w:spacing w:after="120"/>
              <w:rPr>
                <w:rFonts w:ascii="Arial" w:hAnsi="Arial"/>
                <w:b/>
                <w:sz w:val="20"/>
                <w:szCs w:val="20"/>
              </w:rPr>
            </w:pPr>
            <w:r w:rsidRPr="005650D6">
              <w:rPr>
                <w:rFonts w:ascii="Arial" w:hAnsi="Arial"/>
                <w:b/>
                <w:sz w:val="20"/>
                <w:szCs w:val="20"/>
              </w:rPr>
              <w:t>Signatories</w:t>
            </w:r>
          </w:p>
        </w:tc>
        <w:tc>
          <w:tcPr>
            <w:tcW w:w="7095" w:type="dxa"/>
          </w:tcPr>
          <w:p w14:paraId="1ABEF436"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People who are authorised to sign cheques on behalf of the organisation.</w:t>
            </w:r>
          </w:p>
        </w:tc>
      </w:tr>
      <w:tr w:rsidR="005650D6" w:rsidRPr="005650D6" w14:paraId="5F834031" w14:textId="77777777" w:rsidTr="005650D6">
        <w:tc>
          <w:tcPr>
            <w:tcW w:w="2147" w:type="dxa"/>
          </w:tcPr>
          <w:p w14:paraId="0E531793" w14:textId="77777777" w:rsidR="005650D6" w:rsidRPr="005650D6" w:rsidRDefault="005650D6" w:rsidP="0049624D">
            <w:pPr>
              <w:spacing w:after="120"/>
              <w:rPr>
                <w:rFonts w:ascii="Arial" w:hAnsi="Arial"/>
                <w:b/>
                <w:sz w:val="20"/>
                <w:szCs w:val="20"/>
              </w:rPr>
            </w:pPr>
            <w:r w:rsidRPr="005650D6">
              <w:rPr>
                <w:rFonts w:ascii="Arial" w:hAnsi="Arial"/>
                <w:b/>
                <w:sz w:val="20"/>
                <w:szCs w:val="20"/>
              </w:rPr>
              <w:t>Single Audit</w:t>
            </w:r>
          </w:p>
        </w:tc>
        <w:tc>
          <w:tcPr>
            <w:tcW w:w="7095" w:type="dxa"/>
          </w:tcPr>
          <w:p w14:paraId="24BC1BCD"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 xml:space="preserve">The annual audit required on US statutory funds when the spending threshold is exceeded </w:t>
            </w:r>
          </w:p>
        </w:tc>
      </w:tr>
      <w:tr w:rsidR="005650D6" w:rsidRPr="005650D6" w14:paraId="1AF2288B" w14:textId="77777777" w:rsidTr="005650D6">
        <w:tc>
          <w:tcPr>
            <w:tcW w:w="2147" w:type="dxa"/>
          </w:tcPr>
          <w:p w14:paraId="494284E5" w14:textId="77777777" w:rsidR="005650D6" w:rsidRPr="005650D6" w:rsidRDefault="005650D6" w:rsidP="0049624D">
            <w:pPr>
              <w:spacing w:after="120"/>
              <w:rPr>
                <w:rFonts w:ascii="Arial" w:hAnsi="Arial"/>
                <w:b/>
                <w:sz w:val="20"/>
                <w:szCs w:val="20"/>
              </w:rPr>
            </w:pPr>
            <w:r w:rsidRPr="005650D6">
              <w:rPr>
                <w:rFonts w:ascii="Arial" w:hAnsi="Arial"/>
                <w:b/>
                <w:sz w:val="20"/>
                <w:szCs w:val="20"/>
              </w:rPr>
              <w:t>Sub-grantee</w:t>
            </w:r>
          </w:p>
        </w:tc>
        <w:tc>
          <w:tcPr>
            <w:tcW w:w="7095" w:type="dxa"/>
          </w:tcPr>
          <w:p w14:paraId="17F13104"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An organisation who receives a grant or funding from an intermediary agency (e.g. an international NGO), not directly from the source funder.</w:t>
            </w:r>
          </w:p>
        </w:tc>
      </w:tr>
      <w:tr w:rsidR="005650D6" w:rsidRPr="005650D6" w14:paraId="0B74C4CB" w14:textId="77777777" w:rsidTr="005650D6">
        <w:tc>
          <w:tcPr>
            <w:tcW w:w="2147" w:type="dxa"/>
          </w:tcPr>
          <w:p w14:paraId="570A17EA" w14:textId="77777777" w:rsidR="005650D6" w:rsidRPr="005650D6" w:rsidRDefault="005650D6" w:rsidP="0049624D">
            <w:pPr>
              <w:spacing w:after="120"/>
              <w:rPr>
                <w:rFonts w:ascii="Arial" w:hAnsi="Arial"/>
                <w:b/>
                <w:sz w:val="20"/>
                <w:szCs w:val="20"/>
              </w:rPr>
            </w:pPr>
            <w:r w:rsidRPr="005650D6">
              <w:rPr>
                <w:rFonts w:ascii="Arial" w:hAnsi="Arial"/>
                <w:b/>
                <w:sz w:val="20"/>
                <w:szCs w:val="20"/>
              </w:rPr>
              <w:t>Statement of account</w:t>
            </w:r>
          </w:p>
        </w:tc>
        <w:tc>
          <w:tcPr>
            <w:tcW w:w="7095" w:type="dxa"/>
          </w:tcPr>
          <w:p w14:paraId="3944476C"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report from a supplier, usually produced each month, that shows the current status of a customer’s account. It lists invoices and payments received and any totals outstanding.</w:t>
            </w:r>
          </w:p>
        </w:tc>
      </w:tr>
      <w:tr w:rsidR="005650D6" w:rsidRPr="005650D6" w14:paraId="63FD4E9B" w14:textId="77777777" w:rsidTr="005650D6">
        <w:tc>
          <w:tcPr>
            <w:tcW w:w="2147" w:type="dxa"/>
          </w:tcPr>
          <w:p w14:paraId="19AE48F6" w14:textId="77777777" w:rsidR="005650D6" w:rsidRPr="005650D6" w:rsidRDefault="005650D6" w:rsidP="0049624D">
            <w:pPr>
              <w:spacing w:after="120"/>
              <w:rPr>
                <w:rFonts w:ascii="Arial" w:hAnsi="Arial"/>
                <w:b/>
                <w:sz w:val="20"/>
                <w:szCs w:val="20"/>
              </w:rPr>
            </w:pPr>
            <w:r w:rsidRPr="005650D6">
              <w:rPr>
                <w:rFonts w:ascii="Arial" w:hAnsi="Arial"/>
                <w:b/>
                <w:sz w:val="20"/>
                <w:szCs w:val="20"/>
              </w:rPr>
              <w:t>Supporting document</w:t>
            </w:r>
          </w:p>
        </w:tc>
        <w:tc>
          <w:tcPr>
            <w:tcW w:w="7095" w:type="dxa"/>
          </w:tcPr>
          <w:p w14:paraId="4E31B519"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original documents that describe each transaction. These may include, receipts, invoices, delivery notes, sign sheets etc.</w:t>
            </w:r>
          </w:p>
        </w:tc>
      </w:tr>
      <w:tr w:rsidR="005650D6" w:rsidRPr="005650D6" w14:paraId="73E10E97" w14:textId="77777777" w:rsidTr="005650D6">
        <w:tc>
          <w:tcPr>
            <w:tcW w:w="2147" w:type="dxa"/>
          </w:tcPr>
          <w:p w14:paraId="07BD77F0" w14:textId="77777777" w:rsidR="005650D6" w:rsidRPr="005650D6" w:rsidRDefault="005650D6" w:rsidP="0049624D">
            <w:pPr>
              <w:spacing w:after="120"/>
              <w:rPr>
                <w:rFonts w:ascii="Arial" w:hAnsi="Arial"/>
                <w:b/>
                <w:sz w:val="20"/>
                <w:szCs w:val="20"/>
              </w:rPr>
            </w:pPr>
            <w:r w:rsidRPr="005650D6">
              <w:rPr>
                <w:rFonts w:ascii="Arial" w:hAnsi="Arial"/>
                <w:b/>
                <w:sz w:val="20"/>
                <w:szCs w:val="20"/>
              </w:rPr>
              <w:t>Trial balance</w:t>
            </w:r>
          </w:p>
        </w:tc>
        <w:tc>
          <w:tcPr>
            <w:tcW w:w="7095" w:type="dxa"/>
          </w:tcPr>
          <w:p w14:paraId="0AAEEDAF"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list of debit and credit balances on individual nominal accounts from which an income and expenditure statement is prepared.</w:t>
            </w:r>
          </w:p>
        </w:tc>
      </w:tr>
      <w:tr w:rsidR="005650D6" w:rsidRPr="005650D6" w14:paraId="76FF38F7" w14:textId="77777777" w:rsidTr="005650D6">
        <w:tc>
          <w:tcPr>
            <w:tcW w:w="2147" w:type="dxa"/>
          </w:tcPr>
          <w:p w14:paraId="1BF9A3A7" w14:textId="77777777" w:rsidR="005650D6" w:rsidRPr="005650D6" w:rsidRDefault="005650D6" w:rsidP="0049624D">
            <w:pPr>
              <w:spacing w:after="120"/>
              <w:rPr>
                <w:rFonts w:ascii="Arial" w:hAnsi="Arial"/>
                <w:b/>
                <w:sz w:val="20"/>
                <w:szCs w:val="20"/>
              </w:rPr>
            </w:pPr>
            <w:r w:rsidRPr="005650D6">
              <w:rPr>
                <w:rFonts w:ascii="Arial" w:hAnsi="Arial"/>
                <w:b/>
                <w:sz w:val="20"/>
                <w:szCs w:val="20"/>
              </w:rPr>
              <w:t>Trustee</w:t>
            </w:r>
          </w:p>
        </w:tc>
        <w:tc>
          <w:tcPr>
            <w:tcW w:w="7095" w:type="dxa"/>
          </w:tcPr>
          <w:p w14:paraId="53080D9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member of an NGO’s most senior governing body, who shares overall responsibility for the NGOs work.</w:t>
            </w:r>
          </w:p>
        </w:tc>
      </w:tr>
      <w:tr w:rsidR="005650D6" w:rsidRPr="005650D6" w14:paraId="21B8A0FF" w14:textId="77777777" w:rsidTr="005650D6">
        <w:tc>
          <w:tcPr>
            <w:tcW w:w="2147" w:type="dxa"/>
          </w:tcPr>
          <w:p w14:paraId="38396261" w14:textId="77777777" w:rsidR="005650D6" w:rsidRPr="005650D6" w:rsidRDefault="005650D6" w:rsidP="0049624D">
            <w:pPr>
              <w:spacing w:after="120"/>
              <w:rPr>
                <w:rFonts w:ascii="Arial" w:hAnsi="Arial"/>
                <w:b/>
                <w:sz w:val="20"/>
                <w:szCs w:val="20"/>
              </w:rPr>
            </w:pPr>
            <w:r w:rsidRPr="005650D6">
              <w:rPr>
                <w:rFonts w:ascii="Arial" w:hAnsi="Arial"/>
                <w:b/>
                <w:sz w:val="20"/>
                <w:szCs w:val="20"/>
              </w:rPr>
              <w:t>Unrestricted funds</w:t>
            </w:r>
          </w:p>
        </w:tc>
        <w:tc>
          <w:tcPr>
            <w:tcW w:w="7095" w:type="dxa"/>
          </w:tcPr>
          <w:p w14:paraId="0C7FE674"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Funds held for the general purposes of the organisation, for spending within the stated objectives.</w:t>
            </w:r>
          </w:p>
        </w:tc>
      </w:tr>
      <w:tr w:rsidR="005650D6" w:rsidRPr="005650D6" w14:paraId="0E66E698" w14:textId="77777777" w:rsidTr="005650D6">
        <w:tc>
          <w:tcPr>
            <w:tcW w:w="2147" w:type="dxa"/>
          </w:tcPr>
          <w:p w14:paraId="43051A99" w14:textId="77777777" w:rsidR="005650D6" w:rsidRPr="005650D6" w:rsidRDefault="005650D6" w:rsidP="0049624D">
            <w:pPr>
              <w:spacing w:after="120"/>
              <w:rPr>
                <w:rFonts w:ascii="Arial" w:hAnsi="Arial"/>
                <w:b/>
                <w:sz w:val="20"/>
                <w:szCs w:val="20"/>
              </w:rPr>
            </w:pPr>
            <w:r w:rsidRPr="005650D6">
              <w:rPr>
                <w:rFonts w:ascii="Arial" w:hAnsi="Arial"/>
                <w:b/>
                <w:sz w:val="20"/>
                <w:szCs w:val="20"/>
              </w:rPr>
              <w:t>Variance</w:t>
            </w:r>
          </w:p>
        </w:tc>
        <w:tc>
          <w:tcPr>
            <w:tcW w:w="7095" w:type="dxa"/>
          </w:tcPr>
          <w:p w14:paraId="35DA2FC2"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The difference between the budget and the actual amount of income or expenditure.</w:t>
            </w:r>
          </w:p>
        </w:tc>
      </w:tr>
      <w:tr w:rsidR="005650D6" w:rsidRPr="005650D6" w14:paraId="110B1D46" w14:textId="77777777" w:rsidTr="005650D6">
        <w:tc>
          <w:tcPr>
            <w:tcW w:w="2147" w:type="dxa"/>
          </w:tcPr>
          <w:p w14:paraId="1CA902C7" w14:textId="77777777" w:rsidR="005650D6" w:rsidRPr="005650D6" w:rsidRDefault="005650D6" w:rsidP="0049624D">
            <w:pPr>
              <w:spacing w:after="120"/>
              <w:rPr>
                <w:rFonts w:ascii="Arial" w:hAnsi="Arial"/>
                <w:b/>
                <w:sz w:val="20"/>
                <w:szCs w:val="20"/>
              </w:rPr>
            </w:pPr>
            <w:r w:rsidRPr="005650D6">
              <w:rPr>
                <w:rFonts w:ascii="Arial" w:hAnsi="Arial"/>
                <w:b/>
                <w:sz w:val="20"/>
                <w:szCs w:val="20"/>
              </w:rPr>
              <w:t>Working advance (or Advance)</w:t>
            </w:r>
          </w:p>
        </w:tc>
        <w:tc>
          <w:tcPr>
            <w:tcW w:w="7095" w:type="dxa"/>
          </w:tcPr>
          <w:p w14:paraId="1ADC508E"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sum of money entrusted to someone to spend on behalf of the organisation, which needs to be accounted for.</w:t>
            </w:r>
          </w:p>
        </w:tc>
      </w:tr>
      <w:tr w:rsidR="005650D6" w:rsidRPr="005650D6" w14:paraId="4BA9142F" w14:textId="77777777" w:rsidTr="005650D6">
        <w:tc>
          <w:tcPr>
            <w:tcW w:w="2147" w:type="dxa"/>
          </w:tcPr>
          <w:p w14:paraId="726EB70E" w14:textId="77777777" w:rsidR="005650D6" w:rsidRPr="005650D6" w:rsidRDefault="005650D6" w:rsidP="0049624D">
            <w:pPr>
              <w:spacing w:after="120"/>
              <w:rPr>
                <w:rFonts w:ascii="Arial" w:hAnsi="Arial"/>
                <w:b/>
                <w:sz w:val="20"/>
                <w:szCs w:val="20"/>
              </w:rPr>
            </w:pPr>
            <w:r w:rsidRPr="005650D6">
              <w:rPr>
                <w:rFonts w:ascii="Arial" w:hAnsi="Arial"/>
                <w:b/>
                <w:sz w:val="20"/>
                <w:szCs w:val="20"/>
              </w:rPr>
              <w:t>Year end</w:t>
            </w:r>
          </w:p>
        </w:tc>
        <w:tc>
          <w:tcPr>
            <w:tcW w:w="7095" w:type="dxa"/>
          </w:tcPr>
          <w:p w14:paraId="1C718FDF"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 xml:space="preserve">The cut-off </w:t>
            </w:r>
            <w:proofErr w:type="gramStart"/>
            <w:r w:rsidRPr="005650D6">
              <w:rPr>
                <w:rFonts w:ascii="Arial" w:hAnsi="Arial"/>
                <w:color w:val="000000"/>
                <w:sz w:val="20"/>
                <w:szCs w:val="20"/>
              </w:rPr>
              <w:t>point</w:t>
            </w:r>
            <w:proofErr w:type="gramEnd"/>
            <w:r w:rsidRPr="005650D6">
              <w:rPr>
                <w:rFonts w:ascii="Arial" w:hAnsi="Arial"/>
                <w:color w:val="000000"/>
                <w:sz w:val="20"/>
                <w:szCs w:val="20"/>
              </w:rPr>
              <w:t xml:space="preserve"> for the annual financial accounting period.</w:t>
            </w:r>
          </w:p>
        </w:tc>
      </w:tr>
      <w:tr w:rsidR="005650D6" w:rsidRPr="005650D6" w14:paraId="22E68258" w14:textId="77777777" w:rsidTr="005650D6">
        <w:tc>
          <w:tcPr>
            <w:tcW w:w="2147" w:type="dxa"/>
          </w:tcPr>
          <w:p w14:paraId="3078356D" w14:textId="77777777" w:rsidR="005650D6" w:rsidRPr="005650D6" w:rsidRDefault="005650D6" w:rsidP="0049624D">
            <w:pPr>
              <w:spacing w:after="120"/>
              <w:rPr>
                <w:rFonts w:ascii="Arial" w:hAnsi="Arial"/>
                <w:b/>
                <w:sz w:val="20"/>
                <w:szCs w:val="20"/>
              </w:rPr>
            </w:pPr>
            <w:r w:rsidRPr="005650D6">
              <w:rPr>
                <w:rFonts w:ascii="Arial" w:hAnsi="Arial"/>
                <w:b/>
                <w:sz w:val="20"/>
                <w:szCs w:val="20"/>
              </w:rPr>
              <w:t>Zero based budgeting</w:t>
            </w:r>
          </w:p>
        </w:tc>
        <w:tc>
          <w:tcPr>
            <w:tcW w:w="7095" w:type="dxa"/>
          </w:tcPr>
          <w:p w14:paraId="0EA67516" w14:textId="77777777" w:rsidR="005650D6" w:rsidRPr="005650D6" w:rsidRDefault="005650D6" w:rsidP="0049624D">
            <w:pPr>
              <w:autoSpaceDE w:val="0"/>
              <w:spacing w:after="120"/>
              <w:rPr>
                <w:rFonts w:ascii="Arial" w:hAnsi="Arial"/>
                <w:color w:val="000000"/>
                <w:sz w:val="20"/>
                <w:szCs w:val="20"/>
              </w:rPr>
            </w:pPr>
            <w:r w:rsidRPr="005650D6">
              <w:rPr>
                <w:rFonts w:ascii="Arial" w:hAnsi="Arial"/>
                <w:color w:val="000000"/>
                <w:sz w:val="20"/>
                <w:szCs w:val="20"/>
              </w:rPr>
              <w:t>A method of preparing budgets which involves calculating estimates from scratch, by considering each cost area afresh.</w:t>
            </w:r>
          </w:p>
        </w:tc>
      </w:tr>
    </w:tbl>
    <w:p w14:paraId="00232A09" w14:textId="77777777" w:rsidR="006C57C4" w:rsidRPr="005650D6" w:rsidRDefault="006C57C4">
      <w:pPr>
        <w:rPr>
          <w:rFonts w:ascii="Arial" w:hAnsi="Arial"/>
        </w:rPr>
      </w:pPr>
      <w:bookmarkStart w:id="0" w:name="_GoBack"/>
      <w:bookmarkEnd w:id="0"/>
    </w:p>
    <w:sectPr w:rsidR="006C57C4" w:rsidRPr="005650D6" w:rsidSect="005650D6">
      <w:headerReference w:type="default" r:id="rId9"/>
      <w:pgSz w:w="11906" w:h="16838"/>
      <w:pgMar w:top="217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C623E" w14:textId="77777777" w:rsidR="005650D6" w:rsidRDefault="005650D6" w:rsidP="005650D6">
      <w:r>
        <w:separator/>
      </w:r>
    </w:p>
  </w:endnote>
  <w:endnote w:type="continuationSeparator" w:id="0">
    <w:p w14:paraId="06B20270" w14:textId="77777777" w:rsidR="005650D6" w:rsidRDefault="005650D6" w:rsidP="0056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4F8BC" w14:textId="77777777" w:rsidR="005650D6" w:rsidRDefault="005650D6" w:rsidP="005650D6">
      <w:r>
        <w:separator/>
      </w:r>
    </w:p>
  </w:footnote>
  <w:footnote w:type="continuationSeparator" w:id="0">
    <w:p w14:paraId="0DD52D6A" w14:textId="77777777" w:rsidR="005650D6" w:rsidRDefault="005650D6" w:rsidP="00565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93740" w14:textId="77777777" w:rsidR="005650D6" w:rsidRDefault="005650D6">
    <w:pPr>
      <w:pStyle w:val="Header"/>
    </w:pPr>
    <w:r w:rsidRPr="005650D6">
      <w:rPr>
        <w:rFonts w:ascii="Arial" w:hAnsi="Arial"/>
      </w:rPr>
      <w:t>Good fund management</w:t>
    </w:r>
    <w:r>
      <w:tab/>
    </w:r>
    <w:r>
      <w:tab/>
    </w:r>
    <w:r>
      <w:rPr>
        <w:noProof/>
      </w:rPr>
      <w:drawing>
        <wp:inline distT="0" distB="0" distL="0" distR="0" wp14:anchorId="4082C545" wp14:editId="73D6B384">
          <wp:extent cx="1807210" cy="657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I_logo_standard.png"/>
                  <pic:cNvPicPr/>
                </pic:nvPicPr>
                <pic:blipFill>
                  <a:blip r:embed="rId1">
                    <a:extLst>
                      <a:ext uri="{28A0092B-C50C-407E-A947-70E740481C1C}">
                        <a14:useLocalDpi xmlns:a14="http://schemas.microsoft.com/office/drawing/2010/main" val="0"/>
                      </a:ext>
                    </a:extLst>
                  </a:blip>
                  <a:stretch>
                    <a:fillRect/>
                  </a:stretch>
                </pic:blipFill>
                <pic:spPr>
                  <a:xfrm>
                    <a:off x="0" y="0"/>
                    <a:ext cx="1838153" cy="66919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D6"/>
    <w:rsid w:val="005650D6"/>
    <w:rsid w:val="006C5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CBC9"/>
  <w15:chartTrackingRefBased/>
  <w15:docId w15:val="{26DE7F40-9819-41D2-87CE-7CC65543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50D6"/>
    <w:pPr>
      <w:suppressAutoHyphens/>
      <w:autoSpaceDN w:val="0"/>
      <w:spacing w:after="0" w:line="240" w:lineRule="auto"/>
      <w:textAlignment w:val="baseline"/>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0D6"/>
    <w:pPr>
      <w:contextualSpacing/>
    </w:pPr>
    <w:rPr>
      <w:rFonts w:ascii="Georgia" w:eastAsiaTheme="majorEastAsia" w:hAnsi="Georgia"/>
      <w:spacing w:val="-10"/>
      <w:kern w:val="28"/>
      <w:sz w:val="56"/>
      <w:szCs w:val="56"/>
    </w:rPr>
  </w:style>
  <w:style w:type="character" w:customStyle="1" w:styleId="TitleChar">
    <w:name w:val="Title Char"/>
    <w:basedOn w:val="DefaultParagraphFont"/>
    <w:link w:val="Title"/>
    <w:uiPriority w:val="10"/>
    <w:rsid w:val="005650D6"/>
    <w:rPr>
      <w:rFonts w:ascii="Georgia" w:eastAsiaTheme="majorEastAsia" w:hAnsi="Georgia" w:cs="Arial"/>
      <w:spacing w:val="-10"/>
      <w:kern w:val="28"/>
      <w:sz w:val="56"/>
      <w:szCs w:val="56"/>
    </w:rPr>
  </w:style>
  <w:style w:type="paragraph" w:styleId="Header">
    <w:name w:val="header"/>
    <w:basedOn w:val="Normal"/>
    <w:link w:val="HeaderChar"/>
    <w:uiPriority w:val="99"/>
    <w:unhideWhenUsed/>
    <w:rsid w:val="005650D6"/>
    <w:pPr>
      <w:tabs>
        <w:tab w:val="center" w:pos="4513"/>
        <w:tab w:val="right" w:pos="9026"/>
      </w:tabs>
    </w:pPr>
  </w:style>
  <w:style w:type="character" w:customStyle="1" w:styleId="HeaderChar">
    <w:name w:val="Header Char"/>
    <w:basedOn w:val="DefaultParagraphFont"/>
    <w:link w:val="Header"/>
    <w:uiPriority w:val="99"/>
    <w:rsid w:val="005650D6"/>
    <w:rPr>
      <w:rFonts w:ascii="Calibri" w:eastAsia="Calibri" w:hAnsi="Calibri" w:cs="Arial"/>
    </w:rPr>
  </w:style>
  <w:style w:type="paragraph" w:styleId="Footer">
    <w:name w:val="footer"/>
    <w:basedOn w:val="Normal"/>
    <w:link w:val="FooterChar"/>
    <w:uiPriority w:val="99"/>
    <w:unhideWhenUsed/>
    <w:rsid w:val="005650D6"/>
    <w:pPr>
      <w:tabs>
        <w:tab w:val="center" w:pos="4513"/>
        <w:tab w:val="right" w:pos="9026"/>
      </w:tabs>
    </w:pPr>
  </w:style>
  <w:style w:type="character" w:customStyle="1" w:styleId="FooterChar">
    <w:name w:val="Footer Char"/>
    <w:basedOn w:val="DefaultParagraphFont"/>
    <w:link w:val="Footer"/>
    <w:uiPriority w:val="99"/>
    <w:rsid w:val="005650D6"/>
    <w:rPr>
      <w:rFonts w:ascii="Calibri" w:eastAsia="Calibri" w:hAnsi="Calibri" w:cs="Arial"/>
    </w:rPr>
  </w:style>
  <w:style w:type="table" w:styleId="GridTable1Light-Accent6">
    <w:name w:val="Grid Table 1 Light Accent 6"/>
    <w:basedOn w:val="TableNormal"/>
    <w:uiPriority w:val="46"/>
    <w:rsid w:val="005650D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7C4AE1C7BA24394B37DB1AA74829F" ma:contentTypeVersion="13" ma:contentTypeDescription="Create a new document." ma:contentTypeScope="" ma:versionID="8e7eda7a3c5ae8567d3a9f401542e643">
  <xsd:schema xmlns:xsd="http://www.w3.org/2001/XMLSchema" xmlns:xs="http://www.w3.org/2001/XMLSchema" xmlns:p="http://schemas.microsoft.com/office/2006/metadata/properties" xmlns:ns3="4ddd567c-44bd-47e7-b9ab-6088ef79da8a" xmlns:ns4="bb82e15c-beec-48e1-834c-720aca197989" targetNamespace="http://schemas.microsoft.com/office/2006/metadata/properties" ma:root="true" ma:fieldsID="f2aa7f4a11798b3b7b6778fc87626fb2" ns3:_="" ns4:_="">
    <xsd:import namespace="4ddd567c-44bd-47e7-b9ab-6088ef79da8a"/>
    <xsd:import namespace="bb82e15c-beec-48e1-834c-720aca1979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d567c-44bd-47e7-b9ab-6088ef79d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82e15c-beec-48e1-834c-720aca19798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9784F1-C2BA-49A6-B870-76E6C1828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d567c-44bd-47e7-b9ab-6088ef79da8a"/>
    <ds:schemaRef ds:uri="bb82e15c-beec-48e1-834c-720aca197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88E422-F264-4130-97DB-E68589602E54}">
  <ds:schemaRefs>
    <ds:schemaRef ds:uri="http://schemas.microsoft.com/sharepoint/v3/contenttype/forms"/>
  </ds:schemaRefs>
</ds:datastoreItem>
</file>

<file path=customXml/itemProps3.xml><?xml version="1.0" encoding="utf-8"?>
<ds:datastoreItem xmlns:ds="http://schemas.openxmlformats.org/officeDocument/2006/customXml" ds:itemID="{9361A810-1985-45F1-B682-32FEC351828B}">
  <ds:schemaRefs>
    <ds:schemaRef ds:uri="http://purl.org/dc/terms/"/>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bb82e15c-beec-48e1-834c-720aca197989"/>
    <ds:schemaRef ds:uri="4ddd567c-44bd-47e7-b9ab-6088ef79da8a"/>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Hope</dc:creator>
  <cp:keywords/>
  <dc:description/>
  <cp:lastModifiedBy>Bobbi Hope</cp:lastModifiedBy>
  <cp:revision>1</cp:revision>
  <dcterms:created xsi:type="dcterms:W3CDTF">2022-09-06T10:09:00Z</dcterms:created>
  <dcterms:modified xsi:type="dcterms:W3CDTF">2022-09-06T10:17:00Z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0x010100BE97C4AE1C7BA24394B37DB1AA74829F</vt:lpwstr>
  </property>
</Properties>
</file>