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C2466" w14:textId="77777777">
      <w:pPr>
        <w:rPr>
          <w:rFonts w:ascii="Arial" w:hAnsi="Arial" w:cs="Arial"/>
          <w:sz w:val="22"/>
          <w:u w:val="single"/>
        </w:rPr>
        <w:pStyle w:val="P68B1DB1-Normal1"/>
      </w:pPr>
      <w:r>
        <w:t xml:space="preserve">Salvaguardias sociales: una introducción a los mecanismos de resolución de agravios </w:t>
      </w:r>
    </w:p>
    <w:p w14:paraId="5CB4BA0A" w14:textId="77777777">
      <w:pPr>
        <w:rPr>
          <w:rFonts w:ascii="Arial" w:hAnsi="Arial" w:cs="Arial"/>
          <w:b/>
          <w:sz w:val="28"/>
        </w:rPr>
      </w:pPr>
    </w:p>
    <w:p w14:paraId="10611480" w14:textId="77777777">
      <w:pPr>
        <w:rPr>
          <w:rFonts w:ascii="Arial" w:hAnsi="Arial" w:cs="Arial"/>
          <w:b/>
          <w:sz w:val="28"/>
        </w:rPr>
      </w:pPr>
    </w:p>
    <w:p w14:paraId="3C624F51" w14:textId="76BCE0A5">
      <w:pPr>
        <w:rPr>
          <w:rStyle w:val="Hyperlink"/>
          <w:rFonts w:ascii="Arial" w:hAnsi="Arial" w:cs="Arial"/>
          <w:b/>
          <w:sz w:val="28"/>
        </w:rPr>
      </w:pPr>
      <w:r>
        <w:rPr>
          <w:rFonts w:ascii="Arial" w:hAnsi="Arial" w:cs="Arial"/>
          <w:b/>
          <w:sz w:val="28"/>
        </w:rPr>
        <w:t xml:space="preserve">Consejos para desarrollar un mecanismo de resolución de agravios basado en los pasos de </w:t>
      </w:r>
      <w:hyperlink r:id="rId8" w:history="1">
        <w:r>
          <w:rPr>
            <w:rStyle w:val="Hyperlink"/>
            <w:rFonts w:ascii="Arial" w:hAnsi="Arial" w:cs="Arial"/>
            <w:b/>
            <w:sz w:val="28"/>
          </w:rPr>
          <w:t xml:space="preserve">Mecanismos de resolución de agravios de Fauna &amp; Flora: guía para los gerentes de programas</w:t>
        </w:r>
      </w:hyperlink>
    </w:p>
    <w:p w14:paraId="3871E929" w14:textId="77777777">
      <w:pPr>
        <w:rPr>
          <w:rStyle w:val="Hyperlink"/>
          <w:rFonts w:ascii="Arial" w:hAnsi="Arial" w:cs="Arial"/>
          <w:b/>
          <w:sz w:val="28"/>
        </w:rPr>
      </w:pPr>
    </w:p>
    <w:p w14:paraId="080FD5E7" w14:textId="77777777">
      <w:pPr>
        <w:rPr>
          <w:rStyle w:val="Hyperlink"/>
          <w:rFonts w:ascii="Arial" w:hAnsi="Arial" w:cs="Arial"/>
          <w:b/>
          <w:sz w:val="28"/>
        </w:rPr>
      </w:pPr>
    </w:p>
    <w:p w14:paraId="139E3143" w14:textId="6524E122">
      <w:pPr>
        <w:pStyle w:val="ListParagraph"/>
        <w:numPr>
          <w:ilvl w:val="0"/>
          <w:numId w:val="3"/>
        </w:numPr>
        <w:spacing w:line="276" w:lineRule="auto"/>
        <w:rPr>
          <w:rFonts w:ascii="Arial" w:hAnsi="Arial" w:cs="Arial"/>
          <w:sz w:val="22"/>
        </w:rPr>
      </w:pPr>
      <w:hyperlink w:anchor="Appoint" w:history="1">
        <w:r>
          <w:rPr>
            <w:rStyle w:val="Hyperlink"/>
            <w:rFonts w:ascii="Arial" w:hAnsi="Arial" w:cs="Arial"/>
            <w:sz w:val="22"/>
          </w:rPr>
          <w:t xml:space="preserve">Designar a una o más personas para diseñar el mecanismo</w:t>
        </w:r>
      </w:hyperlink>
    </w:p>
    <w:p w14:paraId="5233320C" w14:textId="0BFC8FC2">
      <w:pPr>
        <w:pStyle w:val="ListParagraph"/>
        <w:numPr>
          <w:ilvl w:val="0"/>
          <w:numId w:val="3"/>
        </w:numPr>
        <w:spacing w:line="276" w:lineRule="auto"/>
        <w:rPr>
          <w:rFonts w:ascii="Arial" w:hAnsi="Arial" w:cs="Arial"/>
          <w:sz w:val="22"/>
        </w:rPr>
      </w:pPr>
      <w:hyperlink w:anchor="Design" w:history="1">
        <w:r>
          <w:rPr>
            <w:rStyle w:val="Hyperlink"/>
            <w:rFonts w:ascii="Arial" w:hAnsi="Arial" w:cs="Arial"/>
            <w:sz w:val="22"/>
          </w:rPr>
          <w:t xml:space="preserve">Diseñar los diferentes elementos del mecanismo</w:t>
        </w:r>
      </w:hyperlink>
    </w:p>
    <w:p w14:paraId="014D70A3" w14:textId="68C6B192">
      <w:pPr>
        <w:pStyle w:val="ListParagraph"/>
        <w:numPr>
          <w:ilvl w:val="0"/>
          <w:numId w:val="3"/>
        </w:numPr>
        <w:spacing w:line="276" w:lineRule="auto"/>
        <w:rPr>
          <w:rFonts w:ascii="Arial" w:hAnsi="Arial" w:cs="Arial"/>
          <w:sz w:val="22"/>
        </w:rPr>
      </w:pPr>
      <w:hyperlink w:anchor="Publicise" w:history="1">
        <w:r>
          <w:rPr>
            <w:rStyle w:val="Hyperlink"/>
            <w:rFonts w:ascii="Arial" w:hAnsi="Arial" w:cs="Arial"/>
            <w:sz w:val="22"/>
          </w:rPr>
          <w:t xml:space="preserve">Dar a conocer el mecanismo acordado</w:t>
        </w:r>
      </w:hyperlink>
    </w:p>
    <w:p w14:paraId="304D33B6" w14:textId="26A27B4E">
      <w:pPr>
        <w:pStyle w:val="ListParagraph"/>
        <w:numPr>
          <w:ilvl w:val="0"/>
          <w:numId w:val="3"/>
        </w:numPr>
        <w:spacing w:line="276" w:lineRule="auto"/>
        <w:rPr>
          <w:rFonts w:ascii="Arial" w:hAnsi="Arial" w:cs="Arial"/>
          <w:sz w:val="22"/>
        </w:rPr>
      </w:pPr>
      <w:hyperlink w:anchor="Receive" w:history="1">
        <w:r>
          <w:rPr>
            <w:rStyle w:val="Hyperlink"/>
            <w:rFonts w:ascii="Arial" w:hAnsi="Arial" w:cs="Arial"/>
            <w:sz w:val="22"/>
          </w:rPr>
          <w:t xml:space="preserve">Recibir y registrar la información sobre agravios</w:t>
        </w:r>
      </w:hyperlink>
    </w:p>
    <w:p w14:paraId="3A82ED80" w14:textId="5AC561B5">
      <w:pPr>
        <w:pStyle w:val="ListParagraph"/>
        <w:numPr>
          <w:ilvl w:val="0"/>
          <w:numId w:val="3"/>
        </w:numPr>
        <w:spacing w:line="276" w:lineRule="auto"/>
        <w:rPr>
          <w:rFonts w:ascii="Arial" w:hAnsi="Arial" w:cs="Arial"/>
          <w:sz w:val="22"/>
        </w:rPr>
      </w:pPr>
      <w:hyperlink w:anchor="Acknowledge" w:history="1">
        <w:r>
          <w:rPr>
            <w:rStyle w:val="Hyperlink"/>
            <w:rFonts w:ascii="Arial" w:hAnsi="Arial" w:cs="Arial"/>
            <w:sz w:val="22"/>
          </w:rPr>
          <w:t xml:space="preserve">Acusar recibo</w:t>
        </w:r>
      </w:hyperlink>
    </w:p>
    <w:p w14:paraId="71D45618" w14:textId="438135B6">
      <w:pPr>
        <w:pStyle w:val="ListParagraph"/>
        <w:numPr>
          <w:ilvl w:val="0"/>
          <w:numId w:val="3"/>
        </w:numPr>
        <w:spacing w:line="276" w:lineRule="auto"/>
        <w:rPr>
          <w:rFonts w:ascii="Arial" w:hAnsi="Arial" w:cs="Arial"/>
          <w:sz w:val="22"/>
        </w:rPr>
      </w:pPr>
      <w:hyperlink w:anchor="Review" w:history="1">
        <w:r>
          <w:rPr>
            <w:rStyle w:val="Hyperlink"/>
            <w:rFonts w:ascii="Arial" w:hAnsi="Arial" w:cs="Arial"/>
            <w:sz w:val="22"/>
          </w:rPr>
          <w:t xml:space="preserve">Revisar el agravio</w:t>
        </w:r>
      </w:hyperlink>
    </w:p>
    <w:p w14:paraId="576D9F67" w14:textId="76D6FDBA">
      <w:pPr>
        <w:pStyle w:val="ListParagraph"/>
        <w:numPr>
          <w:ilvl w:val="0"/>
          <w:numId w:val="3"/>
        </w:numPr>
        <w:spacing w:line="276" w:lineRule="auto"/>
        <w:rPr>
          <w:rFonts w:ascii="Arial" w:hAnsi="Arial" w:cs="Arial"/>
          <w:sz w:val="22"/>
        </w:rPr>
      </w:pPr>
      <w:hyperlink w:anchor="Develop" w:history="1">
        <w:r>
          <w:rPr>
            <w:rStyle w:val="Hyperlink"/>
            <w:rFonts w:ascii="Arial" w:hAnsi="Arial" w:cs="Arial"/>
            <w:sz w:val="22"/>
          </w:rPr>
          <w:t xml:space="preserve">Desarrollar opciones de resolución</w:t>
        </w:r>
      </w:hyperlink>
    </w:p>
    <w:p w14:paraId="4B1C8596" w14:textId="60F37557">
      <w:pPr>
        <w:pStyle w:val="ListParagraph"/>
        <w:numPr>
          <w:ilvl w:val="0"/>
          <w:numId w:val="3"/>
        </w:numPr>
        <w:spacing w:line="276" w:lineRule="auto"/>
        <w:rPr>
          <w:rFonts w:ascii="Arial" w:hAnsi="Arial" w:cs="Arial"/>
          <w:sz w:val="22"/>
        </w:rPr>
      </w:pPr>
      <w:hyperlink w:anchor="Respond" w:history="1">
        <w:r>
          <w:rPr>
            <w:rStyle w:val="Hyperlink"/>
            <w:rFonts w:ascii="Arial" w:hAnsi="Arial" w:cs="Arial"/>
            <w:sz w:val="22"/>
          </w:rPr>
          <w:t xml:space="preserve">Responder al reclamante</w:t>
        </w:r>
      </w:hyperlink>
    </w:p>
    <w:p w14:paraId="73FD61DD" w14:textId="674EACD3">
      <w:pPr>
        <w:pStyle w:val="ListParagraph"/>
        <w:numPr>
          <w:ilvl w:val="0"/>
          <w:numId w:val="3"/>
        </w:numPr>
        <w:spacing w:line="276" w:lineRule="auto"/>
        <w:rPr>
          <w:rFonts w:ascii="Arial" w:hAnsi="Arial" w:cs="Arial"/>
          <w:sz w:val="22"/>
        </w:rPr>
      </w:pPr>
      <w:hyperlink w:anchor="Implement" w:history="1">
        <w:r>
          <w:rPr>
            <w:rStyle w:val="Hyperlink"/>
            <w:rFonts w:ascii="Arial" w:hAnsi="Arial" w:cs="Arial"/>
            <w:sz w:val="22"/>
          </w:rPr>
          <w:t xml:space="preserve">Implementar acciones para resolver el agravio</w:t>
        </w:r>
      </w:hyperlink>
    </w:p>
    <w:p w14:paraId="377CA257" w14:textId="35B62B52">
      <w:pPr>
        <w:pStyle w:val="ListParagraph"/>
        <w:numPr>
          <w:ilvl w:val="0"/>
          <w:numId w:val="3"/>
        </w:numPr>
        <w:spacing w:line="276" w:lineRule="auto"/>
        <w:rPr>
          <w:rFonts w:ascii="Arial" w:hAnsi="Arial" w:cs="Arial"/>
          <w:sz w:val="22"/>
        </w:rPr>
      </w:pPr>
      <w:hyperlink w:anchor="Record" w:history="1">
        <w:r>
          <w:rPr>
            <w:rStyle w:val="Hyperlink"/>
            <w:rFonts w:ascii="Arial" w:hAnsi="Arial" w:cs="Arial"/>
            <w:sz w:val="22"/>
          </w:rPr>
          <w:t xml:space="preserve">Registrar la respuesta y la aprobación del reclamante</w:t>
        </w:r>
      </w:hyperlink>
    </w:p>
    <w:p w14:paraId="44DF57AD" w14:textId="6A1FA32D">
      <w:pPr>
        <w:pStyle w:val="ListParagraph"/>
        <w:numPr>
          <w:ilvl w:val="0"/>
          <w:numId w:val="3"/>
        </w:numPr>
        <w:spacing w:line="276" w:lineRule="auto"/>
        <w:rPr>
          <w:rFonts w:ascii="Arial" w:hAnsi="Arial" w:cs="Arial"/>
          <w:sz w:val="22"/>
        </w:rPr>
      </w:pPr>
      <w:hyperlink w:anchor="Record" w:history="1">
        <w:r>
          <w:rPr>
            <w:rStyle w:val="Hyperlink"/>
            <w:rFonts w:ascii="Arial" w:hAnsi="Arial" w:cs="Arial"/>
            <w:sz w:val="22"/>
          </w:rPr>
          <w:t xml:space="preserve">Supervisar, evaluar y adaptar</w:t>
        </w:r>
      </w:hyperlink>
    </w:p>
    <w:p w14:paraId="086E4634" w14:textId="77777777">
      <w:pPr>
        <w:pStyle w:val="ListParagraph"/>
        <w:spacing w:line="276" w:lineRule="auto"/>
        <w:rPr>
          <w:rFonts w:ascii="Arial" w:hAnsi="Arial" w:cs="Arial"/>
          <w:sz w:val="22"/>
        </w:rPr>
      </w:pPr>
    </w:p>
    <w:p w14:paraId="2A485199" w14:textId="77777777">
      <w:pPr>
        <w:rPr>
          <w:sz w:val="28"/>
        </w:rPr>
      </w:pPr>
    </w:p>
    <w:tbl>
      <w:tblPr>
        <w:tblStyle w:val="TableGrid"/>
        <w:tblpPr w:leftFromText="180" w:rightFromText="180" w:vertAnchor="text" w:tblpY="1"/>
        <w:tblOverlap w:val="never"/>
        <w:tblW w:w="1048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44" w:type="dxa"/>
          <w:left w:w="144" w:type="dxa"/>
          <w:bottom w:w="115" w:type="dxa"/>
          <w:right w:w="115" w:type="dxa"/>
        </w:tblCellMar>
        <w:tblLook w:val="04A0" w:firstRow="1" w:lastRow="0" w:firstColumn="1" w:lastColumn="0" w:noHBand="0" w:noVBand="1"/>
      </w:tblPr>
      <w:tblGrid>
        <w:gridCol w:w="3416"/>
        <w:gridCol w:w="7069"/>
      </w:tblGrid>
      <w:tr w14:paraId="298A8877" w14:textId="19DAF9EB">
        <w:trPr>
          <w:trHeight w:val="320"/>
        </w:trPr>
        <w:tc>
          <w:tcPr>
            <w:tcW w:w="3416" w:type="dxa"/>
            <w:shd w:val="clear" w:color="auto" w:fill="BF8F00" w:themeFill="accent4" w:themeFillShade="BF"/>
          </w:tcPr>
          <w:p w14:paraId="22168DC1" w14:textId="7D469672">
            <w:pPr>
              <w:rPr>
                <w:rFonts w:ascii="Arial" w:hAnsi="Arial" w:cs="Arial"/>
                <w:b/>
                <w:color w:val="FFFFFF" w:themeColor="background1"/>
              </w:rPr>
              <w:pStyle w:val="P68B1DB1-Normal2"/>
            </w:pPr>
            <w:r>
              <w:t>Pasos</w:t>
            </w:r>
          </w:p>
        </w:tc>
        <w:tc>
          <w:tcPr>
            <w:tcW w:w="7069" w:type="dxa"/>
            <w:shd w:val="clear" w:color="auto" w:fill="ED7D31" w:themeFill="accent2"/>
          </w:tcPr>
          <w:p w14:paraId="5648D9F0" w14:textId="48BFC0A0">
            <w:pPr>
              <w:rPr>
                <w:rFonts w:ascii="Arial" w:hAnsi="Arial" w:cs="Arial"/>
                <w:b/>
                <w:color w:val="FFFFFF" w:themeColor="background1"/>
              </w:rPr>
              <w:pStyle w:val="P68B1DB1-Normal2"/>
            </w:pPr>
            <w:r>
              <w:t>Consejos</w:t>
            </w:r>
          </w:p>
        </w:tc>
      </w:tr>
      <w:tr w14:paraId="7831CE98" w14:textId="5A160B55">
        <w:trPr>
          <w:trHeight w:val="320"/>
        </w:trPr>
        <w:tc>
          <w:tcPr>
            <w:tcW w:w="3416" w:type="dxa"/>
            <w:tcBorders>
              <w:bottom w:val="single" w:sz="12" w:space="0" w:color="auto"/>
            </w:tcBorders>
          </w:tcPr>
          <w:p w14:paraId="62AE111D" w14:textId="1B3CA2CA">
            <w:pPr>
              <w:widowControl w:val="0"/>
              <w:autoSpaceDE w:val="0"/>
              <w:autoSpaceDN w:val="0"/>
              <w:adjustRightInd w:val="0"/>
              <w:spacing w:after="120" w:line="276" w:lineRule="auto"/>
              <w:rPr>
                <w:rFonts w:ascii="Arial" w:hAnsi="Arial" w:cs="Arial" w:eastAsia="Calibri"/>
                <w:sz w:val="22"/>
              </w:rPr>
              <w:pStyle w:val="P68B1DB1-Normal3"/>
            </w:pPr>
            <w:r>
              <w:rPr>
                <w:b/>
                <w:color w:val="BF8F00" w:themeColor="accent4" w:themeShade="BF"/>
              </w:rPr>
              <w:t xml:space="preserve">1. </w:t>
            </w:r>
            <w:bookmarkStart w:id="0" w:name="Appoint"/>
            <w:r>
              <w:rPr>
                <w:b/>
                <w:color w:val="BF8F00" w:themeColor="accent4" w:themeShade="BF"/>
              </w:rPr>
              <w:t xml:space="preserve">Designar a una o más personas</w:t>
            </w:r>
            <w:r>
              <w:rPr>
                <w:color w:val="BF8F00" w:themeColor="accent4" w:themeShade="BF"/>
              </w:rPr>
              <w:t xml:space="preserve"> </w:t>
            </w:r>
            <w:bookmarkEnd w:id="0"/>
            <w:r>
              <w:t xml:space="preserve">responsables de dirigir el diseño del mecanismo</w:t>
            </w:r>
          </w:p>
        </w:tc>
        <w:tc>
          <w:tcPr>
            <w:tcW w:w="7069" w:type="dxa"/>
            <w:tcBorders>
              <w:bottom w:val="single" w:sz="12" w:space="0" w:color="auto"/>
            </w:tcBorders>
          </w:tcPr>
          <w:p w14:paraId="4AD361C6" w14:textId="4EEC7591">
            <w:pPr>
              <w:rPr>
                <w:rFonts w:ascii="Arial" w:hAnsi="Arial" w:cs="Arial"/>
                <w:sz w:val="22"/>
              </w:rPr>
              <w:pStyle w:val="P68B1DB1-Normal4"/>
            </w:pPr>
            <w:r>
              <w:t xml:space="preserve">Forme un equipo compuesto por personal de la ONG ejecutora, socios u otras organizaciones que trabajen en la tierra/el mar, cuando corresponda. Asegúrese de que este equipo tenga el mandato de desarrollar un mecanismo de resolución de agravios para un proyecto/fondo en particular o para un terreno/entorno marino más amplio.</w:t>
            </w:r>
          </w:p>
        </w:tc>
      </w:tr>
      <w:tr w14:paraId="39911DB0" w14:textId="79D186B0">
        <w:trPr>
          <w:trHeight w:val="320"/>
        </w:trPr>
        <w:tc>
          <w:tcPr>
            <w:tcW w:w="3416" w:type="dxa"/>
            <w:tcBorders>
              <w:top w:val="single" w:sz="12" w:space="0" w:color="auto"/>
            </w:tcBorders>
          </w:tcPr>
          <w:p w14:paraId="1E4F991E" w14:textId="6067209A">
            <w:pPr>
              <w:widowControl w:val="0"/>
              <w:autoSpaceDE w:val="0"/>
              <w:autoSpaceDN w:val="0"/>
              <w:adjustRightInd w:val="0"/>
              <w:spacing w:line="276" w:lineRule="auto"/>
              <w:rPr>
                <w:rFonts w:ascii="Arial" w:hAnsi="Arial" w:cs="Arial" w:eastAsia="Calibri"/>
                <w:sz w:val="22"/>
              </w:rPr>
              <w:pStyle w:val="P68B1DB1-Normal3"/>
            </w:pPr>
            <w:r>
              <w:rPr>
                <w:b/>
                <w:color w:val="BF8F00" w:themeColor="accent4" w:themeShade="BF"/>
              </w:rPr>
              <w:t xml:space="preserve">2. </w:t>
            </w:r>
            <w:bookmarkStart w:id="1" w:name="Design"/>
            <w:r>
              <w:rPr>
                <w:b/>
                <w:color w:val="BF8F00" w:themeColor="accent4" w:themeShade="BF"/>
              </w:rPr>
              <w:t>Diseñar</w:t>
            </w:r>
            <w:bookmarkEnd w:id="1"/>
            <w:r>
              <w:rPr>
                <w:color w:val="BF8F00" w:themeColor="accent4" w:themeShade="BF"/>
              </w:rPr>
              <w:t xml:space="preserve"> </w:t>
            </w:r>
            <w:r>
              <w:t xml:space="preserve">el mecanismo con el aporte y el acuerdo de las partes interesadas, incluidas las organizaciones asociadas, abordando los puntos a), b) y c) a continuación:</w:t>
            </w:r>
          </w:p>
        </w:tc>
        <w:tc>
          <w:tcPr>
            <w:tcW w:w="7069" w:type="dxa"/>
            <w:tcBorders>
              <w:top w:val="single" w:sz="12" w:space="0" w:color="auto"/>
            </w:tcBorders>
          </w:tcPr>
          <w:p w14:paraId="398EDDA7" w14:textId="4288839B">
            <w:pPr>
              <w:rPr>
                <w:rFonts w:ascii="Arial" w:hAnsi="Arial" w:cs="Arial"/>
                <w:sz w:val="22"/>
              </w:rPr>
              <w:pStyle w:val="P68B1DB1-Normal4"/>
            </w:pPr>
            <w:r>
              <w:rPr>
                <w:b/>
                <w:color w:val="ED7D31" w:themeColor="accent2"/>
              </w:rPr>
              <w:t xml:space="preserve">Identifique a las partes interesadas</w:t>
            </w:r>
            <w:r>
              <w:rPr>
                <w:color w:val="ED7D31" w:themeColor="accent2"/>
              </w:rPr>
              <w:t xml:space="preserve"> </w:t>
            </w:r>
            <w:r>
              <w:t xml:space="preserve">a las que se consultará en el diseño del mecanismo de resolución de agravios. Estas deben incluir a los usuarios potenciales del mecanismo de </w:t>
            </w:r>
            <w:r>
              <w:rPr>
                <w:b/>
                <w:color w:val="ED7D31" w:themeColor="accent2"/>
              </w:rPr>
              <w:t xml:space="preserve">las comunidades locales</w:t>
            </w:r>
            <w:r>
              <w:t xml:space="preserve">. Asegúrese de involucrar a diferentes grupos de </w:t>
            </w:r>
            <w:r>
              <w:rPr>
                <w:b/>
                <w:color w:val="ED7D31" w:themeColor="accent2"/>
              </w:rPr>
              <w:t xml:space="preserve">hombres y mujeres</w:t>
            </w:r>
            <w:r>
              <w:t xml:space="preserve"> que tendrán diferentes ideas sobre cómo debería ser y funcionar el mecanismo en su contexto particular.</w:t>
            </w:r>
          </w:p>
          <w:p w14:paraId="314CBCB8" w14:textId="38DA234A">
            <w:pPr>
              <w:rPr>
                <w:rFonts w:ascii="Arial" w:hAnsi="Arial" w:cs="Arial"/>
                <w:sz w:val="22"/>
              </w:rPr>
            </w:pPr>
          </w:p>
          <w:p w14:paraId="6EB1D216" w14:textId="26E893F8">
            <w:pPr>
              <w:rPr>
                <w:rFonts w:ascii="Arial" w:hAnsi="Arial" w:cs="Arial"/>
                <w:sz w:val="22"/>
              </w:rPr>
              <w:pStyle w:val="P68B1DB1-Normal4"/>
            </w:pPr>
            <w:r>
              <w:t xml:space="preserve">Reúnase con las partes interesadas, presente la idea general del mecanismo de resolución de agravios y su importancia, aclare cualquier duda que las personas puedan tener e intente comprender sus expectativas. Utilice estas reuniones para recopilar información de las partes interesadas sobre los parámetros clave de diseño descritos en los puntos a), b) y c). </w:t>
            </w:r>
          </w:p>
        </w:tc>
      </w:tr>
      <w:tr w14:paraId="11340332" w14:textId="1E10A3D9">
        <w:trPr>
          <w:trHeight w:val="320"/>
        </w:trPr>
        <w:tc>
          <w:tcPr>
            <w:tcW w:w="3416" w:type="dxa"/>
          </w:tcPr>
          <w:p w14:paraId="74ADCEF9" w14:textId="498B8AB4">
            <w:pPr>
              <w:autoSpaceDE w:val="0"/>
              <w:autoSpaceDN w:val="0"/>
              <w:adjustRightInd w:val="0"/>
              <w:spacing w:line="276" w:lineRule="auto"/>
              <w:rPr>
                <w:rFonts w:ascii="Arial" w:hAnsi="Arial" w:cs="Arial" w:eastAsia="Calibri"/>
                <w:sz w:val="22"/>
              </w:rPr>
              <w:pStyle w:val="P68B1DB1-Normal3"/>
            </w:pPr>
            <w:r>
              <w:t xml:space="preserve">a) Qué constituye un agravio</w:t>
            </w:r>
          </w:p>
          <w:p w14:paraId="44CE6BBB" w14:textId="701A530A">
            <w:pPr>
              <w:spacing w:after="120"/>
              <w:rPr>
                <w:rFonts w:ascii="Times" w:hAnsi="Times" w:cs="Times New Roman" w:eastAsia="Times New Roman"/>
                <w:sz w:val="20"/>
              </w:rPr>
            </w:pPr>
          </w:p>
        </w:tc>
        <w:tc>
          <w:tcPr>
            <w:tcW w:w="7069" w:type="dxa"/>
          </w:tcPr>
          <w:p w14:paraId="37FBC9C6" w14:textId="77777777">
            <w:pPr>
              <w:rPr>
                <w:rFonts w:ascii="Arial" w:hAnsi="Arial" w:cs="Arial"/>
                <w:sz w:val="22"/>
              </w:rPr>
              <w:pStyle w:val="P68B1DB1-Normal4"/>
            </w:pPr>
            <w:r>
              <w:t xml:space="preserve">Acuerde con las partes interesadas qué tipo de problemas están dentro y fuera de lo que el alcance del mecanismo de resolución de agravios puede resolver. A menudo, esto se conoce como «</w:t>
            </w:r>
            <w:r>
              <w:rPr>
                <w:b/>
                <w:color w:val="ED7D31" w:themeColor="accent2"/>
              </w:rPr>
              <w:t xml:space="preserve">criterios de idoneidad</w:t>
            </w:r>
            <w:r>
              <w:rPr>
                <w:color w:val="ED7D31" w:themeColor="accent2"/>
              </w:rPr>
              <w:t xml:space="preserve"> </w:t>
            </w:r>
            <w:r>
              <w:t xml:space="preserve">para agravios».</w:t>
            </w:r>
          </w:p>
          <w:p w14:paraId="227E9A2B" w14:textId="77777777">
            <w:pPr>
              <w:rPr>
                <w:rFonts w:ascii="Arial" w:hAnsi="Arial" w:cs="Arial"/>
                <w:sz w:val="22"/>
              </w:rPr>
            </w:pPr>
          </w:p>
          <w:p w14:paraId="652A5938" w14:textId="603EC946">
            <w:pPr>
              <w:rPr>
                <w:rFonts w:ascii="Arial" w:hAnsi="Arial" w:cs="Arial"/>
                <w:sz w:val="22"/>
              </w:rPr>
              <w:pStyle w:val="P68B1DB1-Normal4"/>
            </w:pPr>
            <w:r>
              <w:t xml:space="preserve">Como regla general, un mecanismo de resolución de agravios se ocupará de las inquietudes o quejas planteadas por las partes interesadas locales o sus representantes sobre el impacto negativo o el impacto potencial de las actividades de conservación apoyadas por proyectos u organizaciones específicos dentro de un área geográfica bien definida. </w:t>
            </w:r>
          </w:p>
          <w:p w14:paraId="07A1BB12" w14:textId="77777777">
            <w:pPr>
              <w:rPr>
                <w:rFonts w:ascii="Arial" w:hAnsi="Arial" w:cs="Arial"/>
                <w:sz w:val="22"/>
              </w:rPr>
            </w:pPr>
          </w:p>
          <w:p w14:paraId="3E07B8B4" w14:textId="12097839">
            <w:pPr>
              <w:rPr>
                <w:rFonts w:ascii="Arial" w:hAnsi="Arial" w:cs="Arial"/>
                <w:sz w:val="22"/>
              </w:rPr>
            </w:pPr>
            <w:hyperlink r:id="rId9" w:history="1">
              <w:r>
                <w:rPr>
                  <w:rStyle w:val="Hyperlink"/>
                  <w:rFonts w:ascii="Arial" w:hAnsi="Arial" w:cs="Arial"/>
                  <w:sz w:val="22"/>
                </w:rPr>
                <w:t xml:space="preserve">Siga el enlace para obtener ejemplos de problemas dentro y fuera del alcance del mecanismo de resolución de agravios</w:t>
              </w:r>
            </w:hyperlink>
            <w:r>
              <w:rPr>
                <w:rStyle w:val="Hyperlink"/>
                <w:rFonts w:ascii="Arial" w:hAnsi="Arial" w:cs="Arial"/>
                <w:sz w:val="22"/>
              </w:rPr>
              <w:t>.</w:t>
            </w:r>
          </w:p>
        </w:tc>
      </w:tr>
      <w:tr w14:paraId="42CF8E29" w14:textId="77777777">
        <w:trPr>
          <w:trHeight w:val="320"/>
        </w:trPr>
        <w:tc>
          <w:tcPr>
            <w:tcW w:w="3416" w:type="dxa"/>
          </w:tcPr>
          <w:p w14:paraId="3918C857" w14:textId="4E017964">
            <w:pPr>
              <w:autoSpaceDE w:val="0"/>
              <w:autoSpaceDN w:val="0"/>
              <w:adjustRightInd w:val="0"/>
              <w:spacing w:line="276" w:lineRule="auto"/>
              <w:rPr>
                <w:rFonts w:ascii="Arial" w:hAnsi="Arial" w:cs="Arial" w:eastAsia="Calibri"/>
                <w:sz w:val="22"/>
              </w:rPr>
              <w:pStyle w:val="P68B1DB1-Normal3"/>
            </w:pPr>
            <w:r>
              <w:t xml:space="preserve">b) Cómo se puede informar de los agravios</w:t>
            </w:r>
          </w:p>
        </w:tc>
        <w:tc>
          <w:tcPr>
            <w:tcW w:w="7069" w:type="dxa"/>
          </w:tcPr>
          <w:p w14:paraId="490DFCD2" w14:textId="28908AC5">
            <w:pPr>
              <w:rPr>
                <w:rFonts w:ascii="Arial" w:hAnsi="Arial" w:cs="Arial"/>
                <w:sz w:val="22"/>
              </w:rPr>
              <w:pStyle w:val="P68B1DB1-Normal4"/>
            </w:pPr>
            <w:r>
              <w:t xml:space="preserve">Establezca con las partes interesadas los </w:t>
            </w:r>
            <w:r>
              <w:rPr>
                <w:b/>
                <w:color w:val="ED7D31" w:themeColor="accent2"/>
              </w:rPr>
              <w:t xml:space="preserve">canales </w:t>
            </w:r>
            <w:r>
              <w:t xml:space="preserve">a través de los cuales se puede informar de los agravios, asegurándose de que todos puedan acceder al mecanismo. Estos pueden incluir líneas telefónicas directas, correos electrónicos, cartas, buzones de sugerencias, así como informar al personal del proyecto o a miembros de confianza de la comunidad. Por lo general, se necesitan varios canales. </w:t>
            </w:r>
          </w:p>
          <w:p w14:paraId="434433CE" w14:textId="77777777">
            <w:pPr>
              <w:rPr>
                <w:rFonts w:ascii="Arial" w:hAnsi="Arial" w:cs="Arial"/>
                <w:sz w:val="22"/>
              </w:rPr>
            </w:pPr>
          </w:p>
          <w:p w14:paraId="6290D0E6" w14:textId="52E474C3">
            <w:pPr>
              <w:rPr>
                <w:rFonts w:ascii="Arial" w:hAnsi="Arial" w:cs="Arial"/>
                <w:sz w:val="22"/>
              </w:rPr>
              <w:pStyle w:val="P68B1DB1-Normal4"/>
            </w:pPr>
            <w:r>
              <w:t xml:space="preserve">Asegúrese de que los canales para informar de los agravios aborden </w:t>
            </w:r>
            <w:r>
              <w:rPr>
                <w:b/>
                <w:color w:val="ED7D31" w:themeColor="accent2"/>
              </w:rPr>
              <w:t xml:space="preserve">las barreras de acceso</w:t>
            </w:r>
            <w:r>
              <w:t>,</w:t>
            </w:r>
            <w:r>
              <w:rPr>
                <w:color w:val="ED7D31" w:themeColor="accent2"/>
              </w:rPr>
              <w:t xml:space="preserve"> </w:t>
            </w:r>
            <w:r>
              <w:t xml:space="preserve">como la alfabetización, el idioma, las normas de género y la ubicación. Es posible que deba proporcionar opciones para la presentación oral de agravios, traducir materiales a los idiomas locales pertinentes, designar puntos focales con los que las mujeres se sientan cómodas para presentar una reclamación, hacer uso de las instituciones comunitarias tradicionales para recibir denuncias sobre agravios u organizar visitas periódicas a áreas remotas para recopilar información sobre agravios. </w:t>
            </w:r>
          </w:p>
          <w:p w14:paraId="1AD75852" w14:textId="5264103D">
            <w:pPr>
              <w:rPr>
                <w:rFonts w:ascii="Arial" w:hAnsi="Arial" w:cs="Arial"/>
                <w:sz w:val="22"/>
              </w:rPr>
            </w:pPr>
          </w:p>
          <w:p w14:paraId="5989EFDC" w14:textId="64DC6FF9">
            <w:pPr>
              <w:rPr>
                <w:rFonts w:ascii="Arial" w:hAnsi="Arial" w:cs="Arial"/>
                <w:sz w:val="22"/>
              </w:rPr>
            </w:pPr>
            <w:r>
              <w:rPr>
                <w:rFonts w:ascii="Arial" w:hAnsi="Arial" w:cs="Arial"/>
                <w:sz w:val="22"/>
              </w:rPr>
              <w:t xml:space="preserve">Cree un </w:t>
            </w:r>
            <w:r>
              <w:rPr>
                <w:rFonts w:ascii="Arial" w:hAnsi="Arial" w:cs="Arial"/>
                <w:b/>
                <w:color w:val="ED7D31" w:themeColor="accent2"/>
                <w:sz w:val="22"/>
              </w:rPr>
              <w:t xml:space="preserve">formulario de notificación de agravios</w:t>
            </w:r>
            <w:r>
              <w:rPr>
                <w:rFonts w:ascii="Arial" w:hAnsi="Arial" w:cs="Arial"/>
                <w:color w:val="ED7D31" w:themeColor="accent2"/>
                <w:sz w:val="22"/>
              </w:rPr>
              <w:t xml:space="preserve"> </w:t>
            </w:r>
            <w:r>
              <w:rPr>
                <w:rFonts w:ascii="Arial" w:hAnsi="Arial" w:cs="Arial"/>
                <w:sz w:val="22"/>
              </w:rPr>
              <w:t>(</w:t>
            </w:r>
            <w:hyperlink r:id="rId10">
              <w:r>
                <w:rPr>
                  <w:rStyle w:val="Hyperlink"/>
                  <w:rFonts w:ascii="Arial" w:hAnsi="Arial" w:cs="Arial"/>
                  <w:sz w:val="22"/>
                </w:rPr>
                <w:t xml:space="preserve">consulte la plantilla aquí</w:t>
              </w:r>
            </w:hyperlink>
            <w:r>
              <w:rPr>
                <w:rFonts w:ascii="Arial" w:hAnsi="Arial" w:cs="Arial"/>
                <w:sz w:val="22"/>
              </w:rPr>
              <w:t xml:space="preserve">) en el que los reclamantes puedan incluir detalles del problema (quién, qué, cuándo) junto con sus datos de contacto. Asegúrese de que el formulario esté disponible en los idiomas locales cuando sea pertinente y brinde asistencia a las personas con dificultades para leer y escribir.</w:t>
            </w:r>
          </w:p>
          <w:p w14:paraId="3CE4EF62" w14:textId="77777777">
            <w:pPr>
              <w:rPr>
                <w:rFonts w:ascii="Arial" w:hAnsi="Arial" w:cs="Arial"/>
                <w:sz w:val="22"/>
              </w:rPr>
            </w:pPr>
          </w:p>
          <w:p w14:paraId="06CA86CE" w14:textId="05739F8F">
            <w:pPr>
              <w:rPr>
                <w:rFonts w:ascii="Arial" w:hAnsi="Arial" w:cs="Arial"/>
                <w:sz w:val="22"/>
              </w:rPr>
              <w:pStyle w:val="P68B1DB1-Normal4"/>
            </w:pPr>
            <w:r>
              <w:t xml:space="preserve">Los reclamantes deben tener la seguridad de que la información que proporcionan se tratará </w:t>
            </w:r>
            <w:r>
              <w:rPr>
                <w:b/>
                <w:color w:val="ED7D31" w:themeColor="accent2"/>
              </w:rPr>
              <w:t xml:space="preserve">de forma confidencial</w:t>
            </w:r>
            <w:r>
              <w:t xml:space="preserve">. También debe quedar claro que </w:t>
            </w:r>
            <w:r>
              <w:rPr>
                <w:b/>
                <w:color w:val="ED7D31" w:themeColor="accent2"/>
              </w:rPr>
              <w:t xml:space="preserve">no se enfrentarán a represalias</w:t>
            </w:r>
            <w:r>
              <w:rPr>
                <w:color w:val="ED7D31" w:themeColor="accent2"/>
              </w:rPr>
              <w:t xml:space="preserve"> </w:t>
            </w:r>
            <w:r>
              <w:t xml:space="preserve">por informar de un agravio. </w:t>
            </w:r>
          </w:p>
        </w:tc>
      </w:tr>
      <w:tr w14:paraId="07FA95DE" w14:textId="77777777">
        <w:trPr>
          <w:trHeight w:val="320"/>
        </w:trPr>
        <w:tc>
          <w:tcPr>
            <w:tcW w:w="3416" w:type="dxa"/>
            <w:tcBorders>
              <w:bottom w:val="single" w:sz="12" w:space="0" w:color="auto"/>
            </w:tcBorders>
          </w:tcPr>
          <w:p w14:paraId="27C36DB6" w14:textId="629A0E4B">
            <w:pPr>
              <w:autoSpaceDE w:val="0"/>
              <w:autoSpaceDN w:val="0"/>
              <w:adjustRightInd w:val="0"/>
              <w:spacing w:after="120" w:line="276" w:lineRule="auto"/>
              <w:rPr>
                <w:rFonts w:ascii="Arial" w:hAnsi="Arial" w:cs="Arial" w:eastAsia="Calibri"/>
                <w:sz w:val="22"/>
              </w:rPr>
              <w:pStyle w:val="P68B1DB1-Normal3"/>
            </w:pPr>
            <w:r>
              <w:t xml:space="preserve">c) Qué sucederá al recibir información de un agravio, incluidos los plazos para las respuestas</w:t>
            </w:r>
          </w:p>
          <w:p w14:paraId="621ABCCD" w14:textId="77777777">
            <w:pPr>
              <w:autoSpaceDE w:val="0"/>
              <w:autoSpaceDN w:val="0"/>
              <w:adjustRightInd w:val="0"/>
              <w:spacing w:line="276" w:lineRule="auto"/>
              <w:rPr>
                <w:rFonts w:ascii="Arial" w:hAnsi="Arial" w:cs="Arial" w:eastAsia="Calibri"/>
                <w:sz w:val="22"/>
              </w:rPr>
            </w:pPr>
          </w:p>
        </w:tc>
        <w:tc>
          <w:tcPr>
            <w:tcW w:w="7069" w:type="dxa"/>
            <w:tcBorders>
              <w:bottom w:val="single" w:sz="12" w:space="0" w:color="auto"/>
            </w:tcBorders>
          </w:tcPr>
          <w:p w14:paraId="27498607" w14:textId="341F9E65">
            <w:pPr>
              <w:rPr>
                <w:rFonts w:ascii="Arial" w:hAnsi="Arial" w:cs="Arial"/>
                <w:sz w:val="22"/>
              </w:rPr>
              <w:pStyle w:val="P68B1DB1-Normal4"/>
            </w:pPr>
            <w:r>
              <w:t xml:space="preserve">Debe desarrollar enfoques para resolver los agravios que sean </w:t>
            </w:r>
            <w:r>
              <w:rPr>
                <w:b/>
                <w:color w:val="ED7D31" w:themeColor="accent2"/>
              </w:rPr>
              <w:t xml:space="preserve">aceptables para las partes interesadas</w:t>
            </w:r>
            <w:r>
              <w:rPr>
                <w:color w:val="ED7D31" w:themeColor="accent2"/>
              </w:rPr>
              <w:t xml:space="preserve"> </w:t>
            </w:r>
            <w:r>
              <w:t xml:space="preserve">y </w:t>
            </w:r>
            <w:r>
              <w:rPr>
                <w:b/>
                <w:color w:val="ED7D31" w:themeColor="accent2"/>
              </w:rPr>
              <w:t xml:space="preserve">culturalmente apropiadas</w:t>
            </w:r>
            <w:r>
              <w:t xml:space="preserve">. Discuta con los miembros de la comunidad la mejor manera de resolver los agravios en relación con las actividades apoyadas por el proyecto/programa. Pregunte cómo se resuelven normalmente los conflictos en las comunidades locales y plantéese integrar los mecanismos de resolución de conflictos existentes en los procedimientos para recopilar y resolver los agravios relacionados con el proyecto.</w:t>
            </w:r>
          </w:p>
          <w:p w14:paraId="463A1570" w14:textId="77777777">
            <w:pPr>
              <w:rPr>
                <w:rFonts w:ascii="Arial" w:hAnsi="Arial" w:cs="Arial"/>
                <w:sz w:val="22"/>
              </w:rPr>
            </w:pPr>
          </w:p>
          <w:p w14:paraId="48919158" w14:textId="0BAF0FC1">
            <w:pPr>
              <w:rPr>
                <w:rFonts w:ascii="Arial" w:hAnsi="Arial" w:cs="Arial"/>
                <w:sz w:val="22"/>
              </w:rPr>
              <w:pStyle w:val="P68B1DB1-Normal4"/>
            </w:pPr>
            <w:r>
              <w:t xml:space="preserve">Asegúrese de que los pasos en los procedimientos de resolución de agravios sean claros y fáciles de seguir y que todos puedan entenderlos. Defina y acuerde con las partes interesadas </w:t>
            </w:r>
            <w:r>
              <w:rPr>
                <w:b/>
                <w:color w:val="ED7D31" w:themeColor="accent2"/>
              </w:rPr>
              <w:t xml:space="preserve">plazos claros</w:t>
            </w:r>
            <w:r>
              <w:rPr>
                <w:color w:val="ED7D31" w:themeColor="accent2"/>
              </w:rPr>
              <w:t xml:space="preserve"> </w:t>
            </w:r>
            <w:r>
              <w:t xml:space="preserve">para reconocer (consulte el paso 5) y responder a los agravios (paso 8).</w:t>
            </w:r>
          </w:p>
          <w:p w14:paraId="099EEF6B" w14:textId="31538F7F">
            <w:pPr>
              <w:rPr>
                <w:rFonts w:ascii="Arial" w:hAnsi="Arial" w:cs="Arial"/>
                <w:sz w:val="22"/>
              </w:rPr>
            </w:pPr>
          </w:p>
          <w:p w14:paraId="36C9EA87" w14:textId="78D86D22">
            <w:pPr>
              <w:rPr>
                <w:rFonts w:ascii="Arial" w:hAnsi="Arial" w:cs="Arial"/>
                <w:sz w:val="22"/>
              </w:rPr>
            </w:pPr>
            <w:r>
              <w:rPr>
                <w:rFonts w:ascii="Arial" w:hAnsi="Arial" w:cs="Arial"/>
                <w:sz w:val="22"/>
              </w:rPr>
              <w:t xml:space="preserve">Una vez que haya elaborado con las partes interesadas locales los criterios de idoneidad, los canales para recibir información sobre agravios y el proceso para revisarlos y resolverlos, puede adaptar </w:t>
            </w:r>
            <w:hyperlink r:id="rId11" w:history="1">
              <w:r>
                <w:rPr>
                  <w:rStyle w:val="Hyperlink"/>
                  <w:rFonts w:ascii="Arial" w:hAnsi="Arial" w:cs="Arial"/>
                  <w:sz w:val="22"/>
                </w:rPr>
                <w:t xml:space="preserve">esta plantilla</w:t>
              </w:r>
            </w:hyperlink>
            <w:r>
              <w:rPr>
                <w:rFonts w:ascii="Arial" w:hAnsi="Arial" w:cs="Arial"/>
                <w:b/>
                <w:sz w:val="22"/>
              </w:rPr>
              <w:t xml:space="preserve"> </w:t>
            </w:r>
            <w:r>
              <w:rPr>
                <w:rFonts w:ascii="Arial" w:hAnsi="Arial" w:cs="Arial"/>
                <w:sz w:val="22"/>
              </w:rPr>
              <w:t xml:space="preserve">para desarrollar su </w:t>
            </w:r>
            <w:r>
              <w:rPr>
                <w:rFonts w:ascii="Arial" w:hAnsi="Arial" w:cs="Arial"/>
                <w:b/>
                <w:color w:val="ED7D31" w:themeColor="accent2"/>
                <w:sz w:val="22"/>
              </w:rPr>
              <w:t xml:space="preserve">manual del mecanismo de resolución de agravios o el procedimiento operativo estándar</w:t>
            </w:r>
            <w:r>
              <w:rPr>
                <w:rFonts w:ascii="Arial" w:hAnsi="Arial" w:cs="Arial"/>
                <w:sz w:val="22"/>
              </w:rPr>
              <w:t xml:space="preserve">. Modifique las funciones y responsabilidades, los canales de presentación de agravios y el flujo de trabajo desde la presentación hasta la resolución del agravio, de acuerdo con lo que acordó con las partes interesadas locales.</w:t>
            </w:r>
          </w:p>
        </w:tc>
      </w:tr>
      <w:tr w14:paraId="3912933B" w14:textId="77777777">
        <w:trPr>
          <w:trHeight w:val="320"/>
        </w:trPr>
        <w:tc>
          <w:tcPr>
            <w:tcW w:w="3416" w:type="dxa"/>
            <w:tcBorders>
              <w:top w:val="single" w:sz="12" w:space="0" w:color="auto"/>
              <w:bottom w:val="single" w:sz="12" w:space="0" w:color="auto"/>
            </w:tcBorders>
          </w:tcPr>
          <w:p w14:paraId="27F1173D" w14:textId="39819DAF">
            <w:pPr>
              <w:rPr>
                <w:rFonts w:ascii="Arial" w:hAnsi="Arial" w:cs="Arial" w:eastAsia="Calibri"/>
                <w:sz w:val="22"/>
              </w:rPr>
              <w:pStyle w:val="P68B1DB1-Normal4"/>
            </w:pPr>
            <w:r>
              <w:t xml:space="preserve">3. </w:t>
            </w:r>
            <w:bookmarkStart w:id="2" w:name="Publicise"/>
            <w:r>
              <w:rPr>
                <w:b/>
                <w:color w:val="BF8F00" w:themeColor="accent4" w:themeShade="BF"/>
              </w:rPr>
              <w:t xml:space="preserve">Dar a conocer </w:t>
            </w:r>
            <w:bookmarkEnd w:id="2"/>
            <w:r>
              <w:t xml:space="preserve">el mecanismo acordado a través de los canales de comunicación apropiados a escala local </w:t>
            </w:r>
          </w:p>
        </w:tc>
        <w:tc>
          <w:tcPr>
            <w:tcW w:w="7069" w:type="dxa"/>
            <w:tcBorders>
              <w:top w:val="single" w:sz="12" w:space="0" w:color="auto"/>
              <w:bottom w:val="single" w:sz="12" w:space="0" w:color="auto"/>
            </w:tcBorders>
          </w:tcPr>
          <w:p w14:paraId="4FEDC918" w14:textId="4610E29B">
            <w:pPr>
              <w:rPr>
                <w:rFonts w:ascii="Arial" w:hAnsi="Arial" w:cs="Arial"/>
                <w:sz w:val="22"/>
              </w:rPr>
              <w:pStyle w:val="P68B1DB1-Normal4"/>
            </w:pPr>
            <w:r>
              <w:t xml:space="preserve">Pregunte a los miembros de la comunidad cuáles serían las mejores maneras de </w:t>
            </w:r>
            <w:r>
              <w:rPr>
                <w:b/>
                <w:color w:val="ED7D31" w:themeColor="accent2"/>
              </w:rPr>
              <w:t xml:space="preserve">crear conciencia</w:t>
            </w:r>
            <w:r>
              <w:t xml:space="preserve"> sobre la existencia y el funcionamiento del mecanismo de resolución de agravios en sus comunidades (por ejemplo, reuniones comunitarias y tablones de anuncios, radio, redes sociales, etc.)</w:t>
            </w:r>
          </w:p>
          <w:p w14:paraId="26EE9CD2" w14:textId="77777777">
            <w:pPr>
              <w:rPr>
                <w:rFonts w:ascii="Arial" w:hAnsi="Arial" w:cs="Arial"/>
                <w:sz w:val="22"/>
              </w:rPr>
            </w:pPr>
          </w:p>
          <w:p w14:paraId="4822C808" w14:textId="2ACA7DE5">
            <w:pPr>
              <w:rPr>
                <w:rFonts w:ascii="Arial" w:hAnsi="Arial" w:cs="Arial"/>
                <w:sz w:val="22"/>
              </w:rPr>
              <w:pStyle w:val="P68B1DB1-Normal4"/>
            </w:pPr>
            <w:r>
              <w:t xml:space="preserve">Asegúrese de que </w:t>
            </w:r>
            <w:r>
              <w:rPr>
                <w:b/>
                <w:color w:val="ED7D31" w:themeColor="accent2"/>
              </w:rPr>
              <w:t xml:space="preserve">todas las personas</w:t>
            </w:r>
            <w:r>
              <w:t xml:space="preserve"> de las comunidades locales afectadas por el proyecto/programa </w:t>
            </w:r>
            <w:r>
              <w:rPr>
                <w:b/>
                <w:color w:val="ED7D31" w:themeColor="accent2"/>
              </w:rPr>
              <w:t xml:space="preserve">conozcan el mecanismo de resolución de agravios</w:t>
            </w:r>
            <w:r>
              <w:rPr>
                <w:color w:val="ED7D31" w:themeColor="accent2"/>
              </w:rPr>
              <w:t xml:space="preserve"> </w:t>
            </w:r>
            <w:r>
              <w:t xml:space="preserve">y </w:t>
            </w:r>
            <w:r>
              <w:rPr>
                <w:b/>
                <w:color w:val="ED7D31" w:themeColor="accent2"/>
              </w:rPr>
              <w:t xml:space="preserve">sepan cómo informar de una preocupación/reclamación</w:t>
            </w:r>
            <w:r>
              <w:t xml:space="preserve">. Deberá explicar en un lenguaje sencillo y de manera culturalmente apropiada cómo funciona el mecanismo de resolución de agravios. </w:t>
            </w:r>
          </w:p>
          <w:p w14:paraId="0D171FAB" w14:textId="77777777">
            <w:pPr>
              <w:rPr>
                <w:rFonts w:ascii="Arial" w:hAnsi="Arial" w:cs="Arial"/>
                <w:sz w:val="22"/>
              </w:rPr>
            </w:pPr>
          </w:p>
          <w:p w14:paraId="6715346F" w14:textId="3C6554B9">
            <w:pPr>
              <w:rPr>
                <w:rFonts w:ascii="Arial" w:hAnsi="Arial" w:cs="Arial"/>
                <w:sz w:val="22"/>
              </w:rPr>
              <w:pStyle w:val="P68B1DB1-Normal4"/>
            </w:pPr>
            <w:r>
              <w:t xml:space="preserve">Asegúrese de que su estrategia de concienciación tenga en cuenta y aborde </w:t>
            </w:r>
            <w:r>
              <w:rPr>
                <w:b/>
                <w:color w:val="ED7D31" w:themeColor="accent2"/>
              </w:rPr>
              <w:t xml:space="preserve">las barreras pertinentes a escala local para acceder a la información</w:t>
            </w:r>
            <w:r>
              <w:t>,</w:t>
            </w:r>
            <w:r>
              <w:rPr>
                <w:color w:val="ED7D31" w:themeColor="accent2"/>
              </w:rPr>
              <w:t xml:space="preserve"> </w:t>
            </w:r>
            <w:r>
              <w:t xml:space="preserve">como la alfabetización, el idioma y la ubicación.</w:t>
            </w:r>
          </w:p>
        </w:tc>
      </w:tr>
      <w:tr w14:paraId="785002C4" w14:textId="77777777">
        <w:trPr>
          <w:trHeight w:val="320"/>
        </w:trPr>
        <w:tc>
          <w:tcPr>
            <w:tcW w:w="3416" w:type="dxa"/>
            <w:tcBorders>
              <w:top w:val="single" w:sz="12" w:space="0" w:color="auto"/>
              <w:bottom w:val="single" w:sz="12" w:space="0" w:color="auto"/>
            </w:tcBorders>
          </w:tcPr>
          <w:p w14:paraId="2F3555DE" w14:textId="77777777">
            <w:pPr>
              <w:autoSpaceDE w:val="0"/>
              <w:autoSpaceDN w:val="0"/>
              <w:adjustRightInd w:val="0"/>
              <w:spacing w:line="276" w:lineRule="auto"/>
              <w:rPr>
                <w:rFonts w:ascii="Arial" w:hAnsi="Arial" w:cs="Arial" w:eastAsia="Calibri"/>
                <w:sz w:val="22"/>
              </w:rPr>
              <w:pStyle w:val="P68B1DB1-Normal3"/>
            </w:pPr>
            <w:r>
              <w:t xml:space="preserve">4. </w:t>
            </w:r>
            <w:bookmarkStart w:id="3" w:name="Receive"/>
            <w:r>
              <w:rPr>
                <w:b/>
                <w:color w:val="BF8F00" w:themeColor="accent4" w:themeShade="BF"/>
              </w:rPr>
              <w:t xml:space="preserve">Recibir </w:t>
            </w:r>
            <w:r>
              <w:t xml:space="preserve">y </w:t>
            </w:r>
            <w:r>
              <w:rPr>
                <w:b/>
                <w:color w:val="BF8F00" w:themeColor="accent4" w:themeShade="BF"/>
              </w:rPr>
              <w:t>registrar</w:t>
            </w:r>
            <w:r>
              <w:t xml:space="preserve"> </w:t>
            </w:r>
            <w:bookmarkEnd w:id="3"/>
          </w:p>
          <w:p w14:paraId="5C393B31" w14:textId="1E5EA038">
            <w:pPr>
              <w:autoSpaceDE w:val="0"/>
              <w:autoSpaceDN w:val="0"/>
              <w:adjustRightInd w:val="0"/>
              <w:spacing w:line="276" w:lineRule="auto"/>
              <w:rPr>
                <w:rFonts w:ascii="Arial" w:hAnsi="Arial" w:cs="Arial" w:eastAsia="Calibri"/>
                <w:sz w:val="22"/>
              </w:rPr>
              <w:pStyle w:val="P68B1DB1-Normal3"/>
            </w:pPr>
            <w:r>
              <w:t xml:space="preserve">los agravios en un registro de agravios</w:t>
            </w:r>
          </w:p>
        </w:tc>
        <w:tc>
          <w:tcPr>
            <w:tcW w:w="7069" w:type="dxa"/>
            <w:tcBorders>
              <w:top w:val="single" w:sz="12" w:space="0" w:color="auto"/>
              <w:bottom w:val="single" w:sz="12" w:space="0" w:color="auto"/>
            </w:tcBorders>
          </w:tcPr>
          <w:p w14:paraId="7118AD7A" w14:textId="0D2306D9">
            <w:pPr>
              <w:rPr>
                <w:rFonts w:ascii="Arial" w:hAnsi="Arial" w:cs="Arial"/>
                <w:sz w:val="22"/>
              </w:rPr>
              <w:pStyle w:val="P68B1DB1-Normal4"/>
            </w:pPr>
            <w:r>
              <w:rPr>
                <w:color w:val="000000" w:themeColor="text1"/>
              </w:rPr>
              <w:t xml:space="preserve">Designe un </w:t>
            </w:r>
            <w:r>
              <w:rPr>
                <w:b/>
                <w:color w:val="ED7D31" w:themeColor="accent2"/>
              </w:rPr>
              <w:t xml:space="preserve">punto focal para resolución de agravios</w:t>
            </w:r>
            <w:r>
              <w:rPr>
                <w:color w:val="ED7D31" w:themeColor="accent2"/>
              </w:rPr>
              <w:t xml:space="preserve"> </w:t>
            </w:r>
            <w:r>
              <w:t xml:space="preserve">responsable de la coordinación/gestión general del mecanismo de resolución de agravios, incluida la recepción, el registro, la clasificación y la asignación de los agravios al canal de resolución apropiado. </w:t>
            </w:r>
          </w:p>
          <w:p w14:paraId="327A331E" w14:textId="77777777">
            <w:pPr>
              <w:rPr>
                <w:rFonts w:ascii="Arial" w:hAnsi="Arial" w:cs="Arial"/>
                <w:sz w:val="22"/>
              </w:rPr>
            </w:pPr>
          </w:p>
          <w:p w14:paraId="0AB59BCC" w14:textId="63713D7F">
            <w:pPr>
              <w:rPr>
                <w:rFonts w:ascii="Arial" w:hAnsi="Arial" w:cs="Arial"/>
                <w:sz w:val="22"/>
              </w:rPr>
            </w:pPr>
            <w:r>
              <w:rPr>
                <w:rFonts w:ascii="Arial" w:hAnsi="Arial" w:cs="Arial"/>
                <w:sz w:val="22"/>
              </w:rPr>
              <w:t xml:space="preserve">Cree un</w:t>
            </w:r>
            <w:r>
              <w:rPr>
                <w:rFonts w:ascii="Arial" w:hAnsi="Arial" w:cs="Arial"/>
                <w:b/>
                <w:sz w:val="22"/>
              </w:rPr>
              <w:t xml:space="preserve"> </w:t>
            </w:r>
            <w:r>
              <w:rPr>
                <w:rFonts w:ascii="Arial" w:hAnsi="Arial" w:cs="Arial"/>
                <w:b/>
                <w:color w:val="ED7D31" w:themeColor="accent2"/>
                <w:sz w:val="22"/>
              </w:rPr>
              <w:t xml:space="preserve">registro de agravios</w:t>
            </w:r>
            <w:r>
              <w:rPr>
                <w:rFonts w:ascii="Arial" w:hAnsi="Arial" w:cs="Arial"/>
                <w:color w:val="ED7D31" w:themeColor="accent2"/>
                <w:sz w:val="22"/>
              </w:rPr>
              <w:t xml:space="preserve"> </w:t>
            </w:r>
            <w:r>
              <w:rPr>
                <w:rFonts w:ascii="Arial" w:hAnsi="Arial" w:cs="Arial"/>
                <w:sz w:val="22"/>
              </w:rPr>
              <w:t xml:space="preserve">para documentar los agravios y su resolución. Esto facilita la gestión sistemática de los agravios y la presentación de agravios a las partes interesadas. El registro puede ser una simple hoja de cálculo. </w:t>
            </w:r>
            <w:hyperlink r:id="rId12" w:history="1">
              <w:r>
                <w:rPr>
                  <w:rStyle w:val="Hyperlink"/>
                  <w:rFonts w:ascii="Arial" w:hAnsi="Arial" w:cs="Arial"/>
                  <w:sz w:val="22"/>
                </w:rPr>
                <w:t xml:space="preserve">Siga este enlace para obtener una plantilla que pueda adaptar a sus necesidades específicas.</w:t>
              </w:r>
            </w:hyperlink>
            <w:r>
              <w:rPr>
                <w:rFonts w:ascii="Arial" w:hAnsi="Arial" w:cs="Arial"/>
                <w:sz w:val="22"/>
              </w:rPr>
              <w:t xml:space="preserve"> </w:t>
            </w:r>
          </w:p>
          <w:p w14:paraId="07640D10" w14:textId="77777777">
            <w:pPr>
              <w:rPr>
                <w:rFonts w:ascii="Arial" w:hAnsi="Arial" w:cs="Arial"/>
                <w:sz w:val="22"/>
              </w:rPr>
            </w:pPr>
          </w:p>
          <w:p w14:paraId="61B47A9D" w14:textId="421AD338">
            <w:pPr>
              <w:rPr>
                <w:rFonts w:ascii="Arial" w:hAnsi="Arial" w:cs="Arial"/>
                <w:sz w:val="22"/>
              </w:rPr>
              <w:pStyle w:val="P68B1DB1-Normal4"/>
            </w:pPr>
            <w:r>
              <w:t xml:space="preserve">Tenga en cuenta que </w:t>
            </w:r>
            <w:r>
              <w:rPr>
                <w:b/>
                <w:color w:val="ED7D31" w:themeColor="accent2"/>
              </w:rPr>
              <w:t xml:space="preserve">todos los agravios de los que se informe deben registrarse</w:t>
            </w:r>
            <w:r>
              <w:t xml:space="preserve">, independientemente de si son aptos para ser resueltas por el mecanismo de resolución de agravios o no. </w:t>
            </w:r>
          </w:p>
          <w:p w14:paraId="4B34A5A8" w14:textId="77777777">
            <w:pPr>
              <w:rPr>
                <w:rFonts w:ascii="Arial" w:hAnsi="Arial" w:cs="Arial"/>
                <w:sz w:val="22"/>
              </w:rPr>
            </w:pPr>
          </w:p>
          <w:p w14:paraId="7B8DB361" w14:textId="3C5D4192">
            <w:pPr>
              <w:rPr>
                <w:rFonts w:ascii="Arial" w:hAnsi="Arial" w:cs="Arial"/>
                <w:sz w:val="22"/>
              </w:rPr>
              <w:pStyle w:val="P68B1DB1-Normal4"/>
            </w:pPr>
            <w:r>
              <w:t xml:space="preserve">El acceso al registro de agravios debe limitarse a la persona de contacto del mecanismo de resolución de agravios y a otro personal importante (por ejemplo, el director del proyecto, el director nacional o el director del programa) para </w:t>
            </w:r>
            <w:r>
              <w:rPr>
                <w:b/>
                <w:color w:val="ED7D31" w:themeColor="accent2"/>
              </w:rPr>
              <w:t xml:space="preserve">garantizar la discreción y la confidencialidad</w:t>
            </w:r>
            <w:r>
              <w:rPr>
                <w:color w:val="ED7D31" w:themeColor="accent2"/>
              </w:rPr>
              <w:t xml:space="preserve"> </w:t>
            </w:r>
            <w:r>
              <w:t xml:space="preserve">en la gestión de los agravios. </w:t>
            </w:r>
          </w:p>
          <w:p w14:paraId="20BF13DC" w14:textId="77777777">
            <w:pPr>
              <w:rPr>
                <w:rFonts w:ascii="Arial" w:hAnsi="Arial" w:cs="Arial"/>
                <w:sz w:val="22"/>
              </w:rPr>
            </w:pPr>
          </w:p>
          <w:p w14:paraId="1AA0AAD5" w14:textId="7361FF16">
            <w:pPr>
              <w:rPr>
                <w:rFonts w:ascii="Arial" w:hAnsi="Arial" w:cs="Arial"/>
                <w:sz w:val="22"/>
              </w:rPr>
            </w:pPr>
            <w:r>
              <w:rPr>
                <w:rFonts w:ascii="Arial" w:hAnsi="Arial" w:cs="Arial"/>
                <w:sz w:val="22"/>
              </w:rPr>
              <w:t xml:space="preserve">Asegúrese de que los datos recopilados como parte del mecanismo de resolución de agravios cumplan con </w:t>
            </w:r>
            <w:hyperlink r:id="rId13" w:history="1">
              <w:r>
                <w:rPr>
                  <w:rStyle w:val="Hyperlink"/>
                  <w:rFonts w:ascii="Arial" w:hAnsi="Arial" w:cs="Arial"/>
                  <w:sz w:val="22"/>
                </w:rPr>
                <w:t xml:space="preserve">la política de protección de datos</w:t>
              </w:r>
            </w:hyperlink>
            <w:r>
              <w:rPr>
                <w:rFonts w:ascii="Arial" w:hAnsi="Arial" w:cs="Arial"/>
                <w:sz w:val="22"/>
              </w:rPr>
              <w:t xml:space="preserve"> y </w:t>
            </w:r>
            <w:hyperlink r:id="rId14" w:history="1">
              <w:r>
                <w:rPr>
                  <w:rStyle w:val="Hyperlink"/>
                  <w:rFonts w:ascii="Arial" w:hAnsi="Arial" w:cs="Arial"/>
                  <w:sz w:val="22"/>
                </w:rPr>
                <w:t xml:space="preserve">la política y los procedimientos de gestión y retención de datos</w:t>
              </w:r>
            </w:hyperlink>
            <w:r>
              <w:rPr>
                <w:rFonts w:ascii="Arial" w:hAnsi="Arial" w:cs="Arial"/>
                <w:sz w:val="22"/>
              </w:rPr>
              <w:t xml:space="preserve"> de Fauna &amp; Flora, así como con la legislación nacional aplicable en el país del proyecto. Como mínimo, </w:t>
            </w:r>
            <w:r>
              <w:rPr>
                <w:rFonts w:ascii="Arial" w:hAnsi="Arial" w:cs="Arial"/>
                <w:b/>
                <w:color w:val="ED7D31" w:themeColor="accent2"/>
                <w:sz w:val="22"/>
              </w:rPr>
              <w:t xml:space="preserve">debe asegurarse de que los datos se almacenen de forma segura</w:t>
            </w:r>
            <w:r>
              <w:rPr>
                <w:rFonts w:ascii="Arial" w:hAnsi="Arial" w:cs="Arial"/>
                <w:color w:val="ED7D31" w:themeColor="accent2"/>
                <w:sz w:val="22"/>
              </w:rPr>
              <w:t xml:space="preserve"> </w:t>
            </w:r>
            <w:r>
              <w:rPr>
                <w:rFonts w:ascii="Arial" w:hAnsi="Arial" w:cs="Arial"/>
                <w:sz w:val="22"/>
              </w:rPr>
              <w:t xml:space="preserve">y solo sean accesibles para las personas involucradas en el registro, la revisión y la resolución de agravios. </w:t>
            </w:r>
          </w:p>
        </w:tc>
      </w:tr>
      <w:tr w14:paraId="00BEC56A" w14:textId="77777777">
        <w:trPr>
          <w:trHeight w:val="320"/>
        </w:trPr>
        <w:tc>
          <w:tcPr>
            <w:tcW w:w="3416" w:type="dxa"/>
            <w:tcBorders>
              <w:top w:val="single" w:sz="12" w:space="0" w:color="auto"/>
              <w:bottom w:val="single" w:sz="12" w:space="0" w:color="auto"/>
            </w:tcBorders>
          </w:tcPr>
          <w:p w14:paraId="50420D44" w14:textId="483343FF">
            <w:pPr>
              <w:autoSpaceDE w:val="0"/>
              <w:autoSpaceDN w:val="0"/>
              <w:adjustRightInd w:val="0"/>
              <w:spacing w:line="276" w:lineRule="auto"/>
              <w:rPr>
                <w:rFonts w:ascii="Arial" w:hAnsi="Arial" w:cs="Arial" w:eastAsia="Calibri"/>
                <w:sz w:val="22"/>
              </w:rPr>
              <w:pStyle w:val="P68B1DB1-Normal3"/>
            </w:pPr>
            <w:r>
              <w:t>5.</w:t>
            </w:r>
            <w:bookmarkStart w:id="4" w:name="Acknowledge"/>
            <w:r>
              <w:t xml:space="preserve"> </w:t>
            </w:r>
            <w:r>
              <w:rPr>
                <w:b/>
                <w:color w:val="BF8F00" w:themeColor="accent4" w:themeShade="BF"/>
              </w:rPr>
              <w:t xml:space="preserve">Acusar recibo</w:t>
            </w:r>
            <w:r>
              <w:t xml:space="preserve"> </w:t>
            </w:r>
            <w:bookmarkEnd w:id="4"/>
            <w:r>
              <w:t xml:space="preserve">ante el reclamante a través de su método de comunicación preferido</w:t>
            </w:r>
          </w:p>
        </w:tc>
        <w:tc>
          <w:tcPr>
            <w:tcW w:w="7069" w:type="dxa"/>
            <w:tcBorders>
              <w:top w:val="single" w:sz="12" w:space="0" w:color="auto"/>
              <w:bottom w:val="single" w:sz="12" w:space="0" w:color="auto"/>
            </w:tcBorders>
          </w:tcPr>
          <w:p w14:paraId="1391D2F3" w14:textId="414DB0DB">
            <w:pPr>
              <w:rPr>
                <w:rFonts w:ascii="Arial" w:hAnsi="Arial" w:cs="Arial"/>
                <w:sz w:val="22"/>
              </w:rPr>
              <w:pStyle w:val="P68B1DB1-Normal4"/>
            </w:pPr>
            <w:r>
              <w:t xml:space="preserve">Esto puede consistir, por ejemplo, en una reunión personal de seguimiento, una llamada telefónica, un correo electrónico o una carta (según corresponda) y debe hacerse dentro de un plazo razonable. Por lo general, </w:t>
            </w:r>
            <w:r>
              <w:rPr>
                <w:b/>
                <w:color w:val="ED7D31" w:themeColor="accent2"/>
              </w:rPr>
              <w:t xml:space="preserve">debe confirmarse la recepción de la denuncia del agravio en un plazo de entre 5 y 10 días a partir de su recepción</w:t>
            </w:r>
            <w:r>
              <w:t xml:space="preserve">. </w:t>
            </w:r>
            <w:r>
              <w:rPr>
                <w:color w:val="000000"/>
              </w:rPr>
              <w:t xml:space="preserve">El acuse de recibo debe especificar lo que el reclamante puede esperar del proceso, incluido un plazo claro para recibir una respuesta. </w:t>
            </w:r>
          </w:p>
          <w:p w14:paraId="07458EE6" w14:textId="77777777">
            <w:pPr>
              <w:rPr>
                <w:rFonts w:ascii="Arial" w:hAnsi="Arial" w:cs="Arial"/>
                <w:sz w:val="22"/>
              </w:rPr>
            </w:pPr>
          </w:p>
          <w:p w14:paraId="1103D467" w14:textId="66D6342C">
            <w:pPr>
              <w:rPr>
                <w:rFonts w:ascii="Arial" w:hAnsi="Arial" w:cs="Arial"/>
                <w:sz w:val="22"/>
              </w:rPr>
              <w:pStyle w:val="P68B1DB1-Normal4"/>
            </w:pPr>
            <w:r>
              <w:t xml:space="preserve">Baraje la posibilidad de crear una carta sencilla y personalizable para que el punto focal para agravios la utilice al acusar recibo del agravio y contenga la información anterior (</w:t>
            </w:r>
            <w:r>
              <w:rPr>
                <w:b/>
                <w:color w:val="ED7D31" w:themeColor="accent2"/>
              </w:rPr>
              <w:t xml:space="preserve">qué esperar y el plazo para recibir una respuesta</w:t>
            </w:r>
            <w:r>
              <w:t xml:space="preserve">). </w:t>
            </w:r>
          </w:p>
        </w:tc>
      </w:tr>
      <w:tr w14:paraId="01CABC75" w14:textId="77777777">
        <w:trPr>
          <w:trHeight w:val="320"/>
        </w:trPr>
        <w:tc>
          <w:tcPr>
            <w:tcW w:w="3416" w:type="dxa"/>
            <w:tcBorders>
              <w:top w:val="single" w:sz="12" w:space="0" w:color="auto"/>
            </w:tcBorders>
          </w:tcPr>
          <w:p w14:paraId="6E3F2FB8" w14:textId="00D846F1">
            <w:pPr>
              <w:autoSpaceDE w:val="0"/>
              <w:autoSpaceDN w:val="0"/>
              <w:adjustRightInd w:val="0"/>
              <w:spacing w:line="276" w:lineRule="auto"/>
              <w:rPr>
                <w:rFonts w:ascii="Arial" w:hAnsi="Arial" w:cs="Arial" w:eastAsia="Calibri"/>
                <w:sz w:val="22"/>
              </w:rPr>
              <w:pStyle w:val="P68B1DB1-Normal3"/>
            </w:pPr>
            <w:r>
              <w:t xml:space="preserve">6. </w:t>
            </w:r>
            <w:bookmarkStart w:id="5" w:name="Review"/>
            <w:r>
              <w:rPr>
                <w:b/>
                <w:color w:val="BF8F00" w:themeColor="accent4" w:themeShade="BF"/>
              </w:rPr>
              <w:t>Revisar</w:t>
            </w:r>
            <w:bookmarkEnd w:id="5"/>
            <w:r>
              <w:rPr>
                <w:b/>
                <w:color w:val="BF8F00" w:themeColor="accent4" w:themeShade="BF"/>
              </w:rPr>
              <w:t xml:space="preserve"> </w:t>
            </w:r>
            <w:r>
              <w:t xml:space="preserve">el agravio para determinar si es apto, clasificarlo según el problema planteado o el nivel de riesgo/impacto (bajo/alto) y asignarlo a la persona adecuada para su posterior investigación/resolución</w:t>
            </w:r>
          </w:p>
        </w:tc>
        <w:tc>
          <w:tcPr>
            <w:tcW w:w="7069" w:type="dxa"/>
            <w:tcBorders>
              <w:top w:val="single" w:sz="12" w:space="0" w:color="auto"/>
            </w:tcBorders>
          </w:tcPr>
          <w:p w14:paraId="2166A2DA" w14:textId="5FDE5829">
            <w:pPr>
              <w:rPr>
                <w:rFonts w:ascii="Arial" w:hAnsi="Arial" w:cs="Arial"/>
                <w:sz w:val="22"/>
              </w:rPr>
              <w:pStyle w:val="P68B1DB1-Normal4"/>
            </w:pPr>
            <w:r>
              <w:t xml:space="preserve">Una vez recibida la información, el punto focal a cargo de la coordinación/gestión del mecanismo de resolución de agravios evaluará el agravio para </w:t>
            </w:r>
            <w:r>
              <w:rPr>
                <w:b/>
                <w:color w:val="ED7D31" w:themeColor="accent2"/>
              </w:rPr>
              <w:t xml:space="preserve">determinar su idoneidad</w:t>
            </w:r>
            <w:r>
              <w:rPr>
                <w:color w:val="ED7D31" w:themeColor="accent2"/>
              </w:rPr>
              <w:t xml:space="preserve"> </w:t>
            </w:r>
            <w:r>
              <w:t xml:space="preserve">de acuerdo con los criterios desarrollados con las partes interesadas en 2.a).</w:t>
            </w:r>
          </w:p>
          <w:p w14:paraId="765BC7DF" w14:textId="77777777">
            <w:pPr>
              <w:rPr>
                <w:rFonts w:ascii="Arial" w:hAnsi="Arial" w:cs="Arial"/>
                <w:sz w:val="22"/>
              </w:rPr>
            </w:pPr>
          </w:p>
          <w:p w14:paraId="4655A754" w14:textId="6158B65D">
            <w:pPr>
              <w:rPr>
                <w:rFonts w:ascii="Arial" w:hAnsi="Arial" w:cs="Arial"/>
                <w:sz w:val="22"/>
              </w:rPr>
              <w:pStyle w:val="P68B1DB1-Normal4"/>
            </w:pPr>
            <w:r>
              <w:rPr>
                <w:b/>
                <w:color w:val="ED7D31" w:themeColor="accent2"/>
              </w:rPr>
              <w:t xml:space="preserve">Clasifique los agravios</w:t>
            </w:r>
            <w:r>
              <w:rPr>
                <w:color w:val="ED7D31" w:themeColor="accent2"/>
              </w:rPr>
              <w:t xml:space="preserve"> </w:t>
            </w:r>
            <w:r>
              <w:t xml:space="preserve">según el tipo de problema planteado, su nivel o su riesgo/impacto. Esto ayudará a asignar el agravio a la persona o personas encargadas de resolverlo. </w:t>
            </w:r>
          </w:p>
          <w:p w14:paraId="1244A251" w14:textId="77777777">
            <w:pPr>
              <w:rPr>
                <w:rFonts w:ascii="Arial" w:hAnsi="Arial" w:cs="Arial"/>
                <w:sz w:val="22"/>
              </w:rPr>
            </w:pPr>
          </w:p>
          <w:p w14:paraId="091696B0" w14:textId="7AD53F5A">
            <w:pPr>
              <w:rPr>
                <w:rFonts w:ascii="Arial" w:hAnsi="Arial" w:cs="Arial"/>
                <w:sz w:val="22"/>
              </w:rPr>
              <w:pStyle w:val="P68B1DB1-Normal4"/>
            </w:pPr>
            <w:r>
              <w:rPr>
                <w:b/>
                <w:color w:val="ED7D31" w:themeColor="accent2"/>
              </w:rPr>
              <w:t xml:space="preserve">Desarrolle una orientación clara sobre a quién asignar el agravio para su resolución</w:t>
            </w:r>
            <w:r>
              <w:rPr>
                <w:color w:val="ED7D31" w:themeColor="accent2"/>
              </w:rPr>
              <w:t xml:space="preserve"> </w:t>
            </w:r>
            <w:r>
              <w:t xml:space="preserve">de acuerdo con criterios claros; por ejemplo, con respecto al tipo de problema planteado, su nivel o su riesgo/impacto. Esto implicará decidir los problemas que el equipo del proyecto puede resolver localmente o que deben </w:t>
            </w:r>
            <w:r>
              <w:rPr>
                <w:b/>
                <w:color w:val="ED7D31" w:themeColor="accent2"/>
              </w:rPr>
              <w:t xml:space="preserve">elevarse a otras instancias</w:t>
            </w:r>
            <w:r>
              <w:t xml:space="preserve"> (por ejemplo, al director nacional, al director del programa o al mediador externo independiente). </w:t>
            </w:r>
          </w:p>
        </w:tc>
      </w:tr>
      <w:tr w14:paraId="56AB6B91" w14:textId="77777777">
        <w:trPr>
          <w:trHeight w:val="320"/>
        </w:trPr>
        <w:tc>
          <w:tcPr>
            <w:tcW w:w="3416" w:type="dxa"/>
            <w:tcBorders>
              <w:top w:val="single" w:sz="12" w:space="0" w:color="auto"/>
              <w:bottom w:val="single" w:sz="12" w:space="0" w:color="auto"/>
            </w:tcBorders>
          </w:tcPr>
          <w:p w14:paraId="32AA6DDF" w14:textId="2F6354FF">
            <w:pPr>
              <w:autoSpaceDE w:val="0"/>
              <w:autoSpaceDN w:val="0"/>
              <w:adjustRightInd w:val="0"/>
              <w:spacing w:line="276" w:lineRule="auto"/>
              <w:rPr>
                <w:rFonts w:ascii="Arial" w:hAnsi="Arial" w:cs="Arial" w:eastAsia="Calibri"/>
                <w:sz w:val="22"/>
              </w:rPr>
              <w:pStyle w:val="P68B1DB1-Normal5"/>
            </w:pPr>
            <w:r>
              <w:rPr>
                <w:sz w:val="22"/>
              </w:rPr>
              <w:t xml:space="preserve">7. </w:t>
            </w:r>
            <w:bookmarkStart w:id="6" w:name="Develop"/>
            <w:r>
              <w:rPr>
                <w:b/>
                <w:color w:val="BF8F00" w:themeColor="accent4" w:themeShade="BF"/>
                <w:sz w:val="22"/>
              </w:rPr>
              <w:t>Desarrollar</w:t>
            </w:r>
            <w:bookmarkEnd w:id="6"/>
            <w:r>
              <w:rPr>
                <w:b/>
                <w:color w:val="BF8F00" w:themeColor="accent4" w:themeShade="BF"/>
                <w:sz w:val="22"/>
              </w:rPr>
              <w:t xml:space="preserve"> una</w:t>
            </w:r>
            <w:r>
              <w:rPr>
                <w:b/>
                <w:color w:val="BF8F00" w:themeColor="accent4" w:themeShade="BF"/>
              </w:rPr>
              <w:t xml:space="preserve"> </w:t>
            </w:r>
            <w:r>
              <w:rPr>
                <w:b/>
                <w:color w:val="BF8F00" w:themeColor="accent4" w:themeShade="BF"/>
                <w:sz w:val="22"/>
              </w:rPr>
              <w:t xml:space="preserve">resolución </w:t>
            </w:r>
            <w:r>
              <w:rPr>
                <w:sz w:val="22"/>
              </w:rPr>
              <w:t xml:space="preserve">adecuada al agravio y al contexto</w:t>
            </w:r>
          </w:p>
        </w:tc>
        <w:tc>
          <w:tcPr>
            <w:tcW w:w="7069" w:type="dxa"/>
            <w:tcBorders>
              <w:top w:val="single" w:sz="12" w:space="0" w:color="auto"/>
              <w:bottom w:val="single" w:sz="12" w:space="0" w:color="auto"/>
            </w:tcBorders>
          </w:tcPr>
          <w:p w14:paraId="4F45D801" w14:textId="6597CA67">
            <w:pPr>
              <w:rPr>
                <w:rFonts w:ascii="Arial" w:hAnsi="Arial" w:cs="Arial"/>
                <w:sz w:val="22"/>
              </w:rPr>
              <w:pStyle w:val="P68B1DB1-Normal4"/>
            </w:pPr>
            <w:r>
              <w:t xml:space="preserve">Asegúrese de que las personas u organismos asignados para resolver el agravio </w:t>
            </w:r>
            <w:r>
              <w:rPr>
                <w:b/>
                <w:color w:val="ED7D31" w:themeColor="accent2"/>
              </w:rPr>
              <w:t xml:space="preserve">estén facultados </w:t>
            </w:r>
            <w:r>
              <w:t xml:space="preserve">para hacerlo. Deben tener la capacidad de tomar decisiones sobre cómo investigar el agravio, interactuar con el reclamante para identificar una resolución aceptable y solicitar la opinión de personal o expertos adicionales si es necesario.</w:t>
            </w:r>
          </w:p>
        </w:tc>
      </w:tr>
      <w:tr w14:paraId="20D1D709" w14:textId="77777777">
        <w:trPr>
          <w:trHeight w:val="320"/>
        </w:trPr>
        <w:tc>
          <w:tcPr>
            <w:tcW w:w="3416" w:type="dxa"/>
            <w:tcBorders>
              <w:top w:val="single" w:sz="12" w:space="0" w:color="auto"/>
              <w:bottom w:val="single" w:sz="12" w:space="0" w:color="auto"/>
            </w:tcBorders>
          </w:tcPr>
          <w:p w14:paraId="0C5664F2" w14:textId="77E59F2E">
            <w:pPr>
              <w:autoSpaceDE w:val="0"/>
              <w:autoSpaceDN w:val="0"/>
              <w:adjustRightInd w:val="0"/>
              <w:spacing w:line="276" w:lineRule="auto"/>
              <w:rPr>
                <w:rFonts w:ascii="Arial" w:hAnsi="Arial" w:cs="Arial" w:eastAsia="Calibri"/>
                <w:sz w:val="22"/>
              </w:rPr>
              <w:pStyle w:val="P68B1DB1-Normal3"/>
            </w:pPr>
            <w:r>
              <w:t xml:space="preserve">8. </w:t>
            </w:r>
            <w:bookmarkStart w:id="7" w:name="Respond"/>
            <w:r>
              <w:rPr>
                <w:b/>
                <w:color w:val="BF8F00" w:themeColor="accent4" w:themeShade="BF"/>
              </w:rPr>
              <w:t>Responder</w:t>
            </w:r>
            <w:r>
              <w:t xml:space="preserve"> </w:t>
            </w:r>
            <w:bookmarkEnd w:id="7"/>
            <w:r>
              <w:t xml:space="preserve">al reclamante con detalles de las opciones de resolución</w:t>
            </w:r>
          </w:p>
        </w:tc>
        <w:tc>
          <w:tcPr>
            <w:tcW w:w="7069" w:type="dxa"/>
            <w:tcBorders>
              <w:top w:val="single" w:sz="12" w:space="0" w:color="auto"/>
              <w:bottom w:val="single" w:sz="12" w:space="0" w:color="auto"/>
            </w:tcBorders>
          </w:tcPr>
          <w:p w14:paraId="696B4F0F" w14:textId="28D1161C">
            <w:pPr>
              <w:rPr>
                <w:rFonts w:ascii="Arial" w:hAnsi="Arial" w:cs="Arial"/>
                <w:sz w:val="22"/>
              </w:rPr>
              <w:pStyle w:val="P68B1DB1-Normal4"/>
            </w:pPr>
            <w:r>
              <w:t xml:space="preserve">Asegúrese de que los detalles de la resolución proporcionados al reclamante estén </w:t>
            </w:r>
            <w:r>
              <w:rPr>
                <w:b/>
                <w:color w:val="ED7D31" w:themeColor="accent2"/>
              </w:rPr>
              <w:t xml:space="preserve">documentados en el registro de agravios. </w:t>
            </w:r>
            <w:r>
              <w:t xml:space="preserve">Incluya información sobre cómo se investigó el agravio, el razonamiento en que se basa la resolución encontrada para el problema planteado y la documentación de apoyo pertinente (por ejemplo, actas de reuniones y conversaciones, copias de cartas, correos electrónicos, pruebas del impacto/problema).</w:t>
            </w:r>
          </w:p>
        </w:tc>
      </w:tr>
      <w:tr w14:paraId="45A3A7CD" w14:textId="77777777">
        <w:trPr>
          <w:trHeight w:val="320"/>
        </w:trPr>
        <w:tc>
          <w:tcPr>
            <w:tcW w:w="3416" w:type="dxa"/>
            <w:tcBorders>
              <w:top w:val="single" w:sz="12" w:space="0" w:color="auto"/>
              <w:bottom w:val="single" w:sz="12" w:space="0" w:color="auto"/>
            </w:tcBorders>
          </w:tcPr>
          <w:p w14:paraId="0E7B6C95" w14:textId="00F1A899">
            <w:pPr>
              <w:autoSpaceDE w:val="0"/>
              <w:autoSpaceDN w:val="0"/>
              <w:adjustRightInd w:val="0"/>
              <w:spacing w:line="276" w:lineRule="auto"/>
              <w:rPr>
                <w:rFonts w:ascii="Arial" w:hAnsi="Arial" w:cs="Arial" w:eastAsia="Calibri"/>
                <w:sz w:val="22"/>
              </w:rPr>
              <w:pStyle w:val="P68B1DB1-Normal3"/>
            </w:pPr>
            <w:r>
              <w:t xml:space="preserve">9. </w:t>
            </w:r>
            <w:bookmarkStart w:id="8" w:name="Implement"/>
            <w:r>
              <w:rPr>
                <w:b/>
                <w:color w:val="BF8F00" w:themeColor="accent4" w:themeShade="BF"/>
              </w:rPr>
              <w:t xml:space="preserve">Implementar </w:t>
            </w:r>
            <w:bookmarkEnd w:id="8"/>
            <w:r>
              <w:rPr>
                <w:b/>
                <w:color w:val="BF8F00" w:themeColor="accent4" w:themeShade="BF"/>
              </w:rPr>
              <w:t>acciones</w:t>
            </w:r>
            <w:r>
              <w:rPr>
                <w:color w:val="BF8F00" w:themeColor="accent4" w:themeShade="BF"/>
              </w:rPr>
              <w:t xml:space="preserve"> </w:t>
            </w:r>
            <w:r>
              <w:t xml:space="preserve">para resolver el agravio y registrarlas en el registro de agravios</w:t>
            </w:r>
          </w:p>
        </w:tc>
        <w:tc>
          <w:tcPr>
            <w:tcW w:w="7069" w:type="dxa"/>
            <w:vMerge w:val="restart"/>
            <w:tcBorders>
              <w:top w:val="single" w:sz="12" w:space="0" w:color="auto"/>
            </w:tcBorders>
            <w:vAlign w:val="center"/>
          </w:tcPr>
          <w:p w14:paraId="300151D8" w14:textId="4C925863">
            <w:pPr>
              <w:rPr>
                <w:rFonts w:ascii="Arial" w:hAnsi="Arial" w:cs="Arial"/>
                <w:sz w:val="22"/>
              </w:rPr>
              <w:pStyle w:val="P68B1DB1-Normal6"/>
            </w:pPr>
            <w:r>
              <w:rPr>
                <w:color w:val="000000"/>
              </w:rPr>
              <w:t xml:space="preserve">Especifique un </w:t>
            </w:r>
            <w:r>
              <w:rPr>
                <w:b/>
                <w:color w:val="ED7D31" w:themeColor="accent2"/>
              </w:rPr>
              <w:t xml:space="preserve">proceso de apelación</w:t>
            </w:r>
            <w:r>
              <w:rPr>
                <w:color w:val="ED7D31" w:themeColor="accent2"/>
              </w:rPr>
              <w:t xml:space="preserve"> </w:t>
            </w:r>
            <w:r>
              <w:rPr>
                <w:color w:val="000000"/>
              </w:rPr>
              <w:t xml:space="preserve">para cuando el reclamante no esté satisfecho con la resolución propuesta o su implementación. </w:t>
            </w:r>
          </w:p>
        </w:tc>
      </w:tr>
      <w:tr w14:paraId="1AEB21B1" w14:textId="77777777">
        <w:trPr>
          <w:trHeight w:val="320"/>
        </w:trPr>
        <w:tc>
          <w:tcPr>
            <w:tcW w:w="3416" w:type="dxa"/>
            <w:tcBorders>
              <w:top w:val="single" w:sz="12" w:space="0" w:color="auto"/>
            </w:tcBorders>
          </w:tcPr>
          <w:p w14:paraId="5FCE2FBA" w14:textId="421AA9D6">
            <w:pPr>
              <w:autoSpaceDE w:val="0"/>
              <w:autoSpaceDN w:val="0"/>
              <w:adjustRightInd w:val="0"/>
              <w:spacing w:line="276" w:lineRule="auto"/>
              <w:rPr>
                <w:rFonts w:ascii="Arial" w:hAnsi="Arial" w:cs="Arial" w:eastAsia="Calibri"/>
                <w:sz w:val="22"/>
              </w:rPr>
              <w:pStyle w:val="P68B1DB1-Normal3"/>
            </w:pPr>
            <w:r>
              <w:t>10.</w:t>
            </w:r>
            <w:r>
              <w:rPr>
                <w:b/>
                <w:color w:val="BF8F00" w:themeColor="accent4" w:themeShade="BF"/>
              </w:rPr>
              <w:t xml:space="preserve"> </w:t>
            </w:r>
            <w:bookmarkStart w:id="9" w:name="Record"/>
            <w:r>
              <w:rPr>
                <w:b/>
                <w:color w:val="BF8F00" w:themeColor="accent4" w:themeShade="BF"/>
              </w:rPr>
              <w:t>Registrar</w:t>
            </w:r>
            <w:bookmarkEnd w:id="9"/>
            <w:r>
              <w:rPr>
                <w:color w:val="BF8F00" w:themeColor="accent4" w:themeShade="BF"/>
              </w:rPr>
              <w:t xml:space="preserve"> </w:t>
            </w:r>
            <w:r>
              <w:t xml:space="preserve">la respuesta del reclamante en el registro y </w:t>
            </w:r>
            <w:r>
              <w:rPr>
                <w:b/>
                <w:color w:val="BF8F00" w:themeColor="accent4" w:themeShade="BF"/>
              </w:rPr>
              <w:t xml:space="preserve">finalizar la resolución del agravio</w:t>
            </w:r>
            <w:r>
              <w:rPr>
                <w:color w:val="806000" w:themeColor="accent4" w:themeShade="80"/>
              </w:rPr>
              <w:t xml:space="preserve"> </w:t>
            </w:r>
            <w:r>
              <w:t xml:space="preserve">una vez resuelto a satisfacción mutua</w:t>
            </w:r>
          </w:p>
        </w:tc>
        <w:tc>
          <w:tcPr>
            <w:tcW w:w="7069" w:type="dxa"/>
            <w:vMerge/>
          </w:tcPr>
          <w:p w14:paraId="0409E584" w14:textId="0BEE07C6">
            <w:pPr>
              <w:rPr>
                <w:rFonts w:ascii="Arial" w:hAnsi="Arial" w:cs="Arial"/>
                <w:sz w:val="22"/>
              </w:rPr>
            </w:pPr>
          </w:p>
        </w:tc>
      </w:tr>
      <w:tr w14:paraId="2EEEF981" w14:textId="77777777">
        <w:trPr>
          <w:trHeight w:val="320"/>
        </w:trPr>
        <w:tc>
          <w:tcPr>
            <w:tcW w:w="3416" w:type="dxa"/>
            <w:tcBorders>
              <w:top w:val="single" w:sz="12" w:space="0" w:color="auto"/>
              <w:bottom w:val="thinThickSmallGap" w:sz="24" w:space="0" w:color="auto"/>
            </w:tcBorders>
          </w:tcPr>
          <w:p w14:paraId="46B8AC9C" w14:textId="49CB6709">
            <w:pPr>
              <w:autoSpaceDE w:val="0"/>
              <w:autoSpaceDN w:val="0"/>
              <w:adjustRightInd w:val="0"/>
              <w:spacing w:line="276" w:lineRule="auto"/>
              <w:rPr>
                <w:rFonts w:ascii="Arial" w:hAnsi="Arial" w:cs="Arial" w:eastAsia="Calibri"/>
                <w:sz w:val="22"/>
              </w:rPr>
              <w:pStyle w:val="P68B1DB1-Normal3"/>
            </w:pPr>
            <w:r>
              <w:t xml:space="preserve">11. </w:t>
            </w:r>
            <w:bookmarkStart w:id="10" w:name="Monitor"/>
            <w:r>
              <w:rPr>
                <w:b/>
                <w:color w:val="BF8F00" w:themeColor="accent4" w:themeShade="BF"/>
              </w:rPr>
              <w:t>Supervisar</w:t>
            </w:r>
            <w:bookmarkEnd w:id="10"/>
            <w:r>
              <w:t xml:space="preserve">, </w:t>
            </w:r>
            <w:r>
              <w:rPr>
                <w:b/>
                <w:color w:val="BF8F00" w:themeColor="accent4" w:themeShade="BF"/>
              </w:rPr>
              <w:t>evaluar</w:t>
            </w:r>
            <w:r>
              <w:t xml:space="preserve"> y, si es necesario, </w:t>
            </w:r>
            <w:r>
              <w:rPr>
                <w:b/>
                <w:color w:val="BF8F00" w:themeColor="accent4" w:themeShade="BF"/>
              </w:rPr>
              <w:t>adaptar</w:t>
            </w:r>
            <w:r>
              <w:t xml:space="preserve"> el mecanismo, incluida la revisión anual con las comunidades afectadas y otras partes interesadas locales</w:t>
            </w:r>
          </w:p>
        </w:tc>
        <w:tc>
          <w:tcPr>
            <w:tcW w:w="7069" w:type="dxa"/>
            <w:tcBorders>
              <w:top w:val="single" w:sz="12" w:space="0" w:color="auto"/>
              <w:bottom w:val="thinThickSmallGap" w:sz="24" w:space="0" w:color="auto"/>
            </w:tcBorders>
          </w:tcPr>
          <w:p w14:paraId="57747000" w14:textId="5F68B37A">
            <w:pPr>
              <w:rPr>
                <w:rFonts w:ascii="Arial" w:hAnsi="Arial" w:cs="Arial" w:eastAsia="Calibri"/>
                <w:sz w:val="22"/>
              </w:rPr>
              <w:pStyle w:val="P68B1DB1-Normal3"/>
            </w:pPr>
            <w:r>
              <w:t xml:space="preserve">El mecanismo debe </w:t>
            </w:r>
            <w:r>
              <w:rPr>
                <w:b/>
                <w:color w:val="ED7D31" w:themeColor="accent2"/>
              </w:rPr>
              <w:t xml:space="preserve">revisarse con las partes interesadas locales</w:t>
            </w:r>
            <w:r>
              <w:rPr>
                <w:color w:val="ED7D31" w:themeColor="accent2"/>
              </w:rPr>
              <w:t xml:space="preserve"> </w:t>
            </w:r>
            <w:r>
              <w:t xml:space="preserve">después de seis meses tras la primera implementación y, posteriormente, con regularidad (por ejemplo, anualmente) para garantizar que sea adecuado para su propósito. </w:t>
            </w:r>
          </w:p>
          <w:p w14:paraId="09016515" w14:textId="77777777">
            <w:pPr>
              <w:rPr>
                <w:rFonts w:ascii="Arial" w:hAnsi="Arial" w:cs="Arial" w:eastAsia="Calibri"/>
                <w:sz w:val="22"/>
              </w:rPr>
            </w:pPr>
          </w:p>
          <w:p w14:paraId="3C607ECD" w14:textId="77777777">
            <w:pPr>
              <w:rPr>
                <w:rFonts w:ascii="Arial" w:hAnsi="Arial" w:cs="Arial" w:eastAsia="Calibri"/>
                <w:sz w:val="22"/>
              </w:rPr>
              <w:pStyle w:val="P68B1DB1-Normal3"/>
            </w:pPr>
            <w:r>
              <w:t xml:space="preserve">Si no se han registrado y abordado agravios, esto no debe tomarse como evidencia de que no hay problemas. Deberá </w:t>
            </w:r>
            <w:r>
              <w:rPr>
                <w:b/>
                <w:color w:val="ED7D31" w:themeColor="accent2"/>
              </w:rPr>
              <w:t xml:space="preserve">verificar que las partes interesadas locales comprenden y confían en el mecanismo</w:t>
            </w:r>
            <w:r>
              <w:t xml:space="preserve"> y que no haya problemas que impidan el acceso. </w:t>
            </w:r>
          </w:p>
          <w:p w14:paraId="15178CA1" w14:textId="77777777">
            <w:pPr>
              <w:rPr>
                <w:rFonts w:ascii="Arial" w:hAnsi="Arial" w:cs="Arial" w:eastAsia="Calibri"/>
                <w:sz w:val="22"/>
              </w:rPr>
            </w:pPr>
          </w:p>
          <w:p w14:paraId="77D6EF98" w14:textId="61074422">
            <w:pPr>
              <w:rPr>
                <w:rFonts w:ascii="Arial" w:hAnsi="Arial" w:cs="Arial" w:eastAsia="Calibri"/>
                <w:sz w:val="22"/>
              </w:rPr>
              <w:pStyle w:val="P68B1DB1-Normal3"/>
            </w:pPr>
            <w:r>
              <w:t xml:space="preserve">Asegúrese de que haya una </w:t>
            </w:r>
            <w:r>
              <w:rPr>
                <w:b/>
                <w:color w:val="ED7D31" w:themeColor="accent2"/>
              </w:rPr>
              <w:t xml:space="preserve">evaluación periódica</w:t>
            </w:r>
            <w:r>
              <w:rPr>
                <w:color w:val="ED7D31" w:themeColor="accent2"/>
              </w:rPr>
              <w:t xml:space="preserve"> </w:t>
            </w:r>
            <w:r>
              <w:t xml:space="preserve">de los tipos de agravios de los que se ha informado, los tiempos de respuesta, las ofertas de resolución y la aceptación y los agravios resueltos frente a los apelados. Algunos donantes exigen el seguimiento y la presentación de informes del mecanismo de resolución de agravios.</w:t>
            </w:r>
          </w:p>
          <w:p w14:paraId="61D9AD19" w14:textId="77777777">
            <w:pPr>
              <w:rPr>
                <w:rFonts w:ascii="Arial" w:hAnsi="Arial" w:cs="Arial" w:eastAsia="Calibri"/>
                <w:sz w:val="22"/>
              </w:rPr>
            </w:pPr>
          </w:p>
          <w:p w14:paraId="6B292BB9" w14:textId="0B8F896E">
            <w:pPr>
              <w:rPr>
                <w:rFonts w:ascii="Arial" w:hAnsi="Arial" w:cs="Arial" w:eastAsia="Calibri"/>
                <w:sz w:val="22"/>
              </w:rPr>
            </w:pPr>
            <w:r>
              <w:rPr>
                <w:rFonts w:ascii="Arial" w:hAnsi="Arial" w:cs="Arial" w:eastAsia="Calibri"/>
                <w:sz w:val="22"/>
              </w:rPr>
              <w:t xml:space="preserve">También es una buena práctica </w:t>
            </w:r>
            <w:r>
              <w:rPr>
                <w:rFonts w:ascii="Arial" w:hAnsi="Arial" w:cs="Arial" w:eastAsia="Calibri"/>
                <w:b/>
                <w:color w:val="ED7D31" w:themeColor="accent2"/>
                <w:sz w:val="22"/>
              </w:rPr>
              <w:t xml:space="preserve">informar periódicamente a las partes interesadas locales</w:t>
            </w:r>
            <w:r>
              <w:rPr>
                <w:rFonts w:ascii="Arial" w:hAnsi="Arial" w:cs="Arial" w:eastAsia="Calibri"/>
                <w:sz w:val="22"/>
              </w:rPr>
              <w:t>,</w:t>
            </w:r>
            <w:r>
              <w:rPr>
                <w:rFonts w:ascii="Arial" w:hAnsi="Arial" w:cs="Arial" w:eastAsia="Calibri"/>
                <w:color w:val="ED7D31" w:themeColor="accent2"/>
                <w:sz w:val="22"/>
              </w:rPr>
              <w:t xml:space="preserve"> </w:t>
            </w:r>
            <w:r>
              <w:rPr>
                <w:rFonts w:ascii="Arial" w:hAnsi="Arial" w:cs="Arial" w:eastAsia="Calibri"/>
                <w:sz w:val="22"/>
              </w:rPr>
              <w:t xml:space="preserve">de manera que se tenga en cuenta la necesidad de discreción y confidencialidad en la gestión de los agravios. Puede encontrar </w:t>
            </w:r>
            <w:hyperlink r:id="rId15" w:history="1">
              <w:r>
                <w:rPr>
                  <w:rStyle w:val="Hyperlink"/>
                  <w:rFonts w:ascii="Arial" w:hAnsi="Arial" w:cs="Arial" w:eastAsia="Calibri"/>
                  <w:sz w:val="22"/>
                </w:rPr>
                <w:t>aquí</w:t>
              </w:r>
            </w:hyperlink>
            <w:r>
              <w:rPr>
                <w:rFonts w:ascii="Arial" w:hAnsi="Arial" w:cs="Arial" w:eastAsia="Calibri"/>
                <w:sz w:val="22"/>
              </w:rPr>
              <w:t xml:space="preserve"> una lista de indicadores básicos comúnmente utilizados para hacer un seguimiento y evaluar la efectividad de los mecanismos de resolución de agravios. </w:t>
            </w:r>
          </w:p>
          <w:p w14:paraId="53ED4007" w14:textId="77777777">
            <w:pPr>
              <w:rPr>
                <w:rFonts w:ascii="Arial" w:hAnsi="Arial" w:cs="Arial" w:eastAsia="Calibri"/>
                <w:sz w:val="22"/>
              </w:rPr>
            </w:pPr>
          </w:p>
          <w:p w14:paraId="35C2A847" w14:textId="166818F9">
            <w:pPr>
              <w:rPr>
                <w:rFonts w:ascii="Arial" w:hAnsi="Arial" w:cs="Arial" w:eastAsia="Calibri"/>
                <w:sz w:val="22"/>
              </w:rPr>
              <w:pStyle w:val="P68B1DB1-Normal3"/>
            </w:pPr>
            <w:r>
              <w:t xml:space="preserve">Desarrolle formas de garantizar que el seguimiento y la evaluación se incorporen al </w:t>
            </w:r>
            <w:r>
              <w:rPr>
                <w:b/>
                <w:color w:val="ED7D31" w:themeColor="accent2"/>
              </w:rPr>
              <w:t xml:space="preserve">aprendizaje y la gestión adaptativa</w:t>
            </w:r>
            <w:r>
              <w:t xml:space="preserve">; por ejemplo, haciendo recomendaciones sobre las acciones necesarias para prevenir o limitar la repetición de agravios. Esto implicará </w:t>
            </w:r>
            <w:r>
              <w:rPr>
                <w:b/>
                <w:color w:val="ED7D31" w:themeColor="accent2"/>
              </w:rPr>
              <w:t xml:space="preserve">valoraciones periódicas</w:t>
            </w:r>
            <w:r>
              <w:rPr>
                <w:color w:val="ED7D31" w:themeColor="accent2"/>
              </w:rPr>
              <w:t xml:space="preserve"> </w:t>
            </w:r>
            <w:r>
              <w:t xml:space="preserve">para el grueso del equipo del proyecto y la inclusión en las revisiones del proyecto. </w:t>
            </w:r>
          </w:p>
        </w:tc>
      </w:tr>
    </w:tbl>
    <w:p w14:paraId="1ECC52A9" w14:textId="3CDAA17F">
      <w:r>
        <w:br w:type="textWrapping" w:clear="all"/>
      </w:r>
    </w:p>
    <w:sectPr>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3DDF" w14:textId="77777777">
      <w:r>
        <w:separator/>
      </w:r>
    </w:p>
  </w:endnote>
  <w:endnote w:type="continuationSeparator" w:id="0">
    <w:p w14:paraId="10745A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357774"/>
      <w:docPartObj>
        <w:docPartGallery w:val="Page Numbers (Bottom of Page)"/>
        <w:docPartUnique/>
      </w:docPartObj>
    </w:sdtPr>
    <w:sdtEndPr>
      <w:rPr>
        <w:noProof/>
      </w:rPr>
    </w:sdtEndPr>
    <w:sdtContent>
      <w:p w14:paraId="66C92DB9" w14:textId="4D7D6681">
        <w:pPr>
          <w:pStyle w:val="Footer"/>
          <w:jc w:val="center"/>
        </w:pPr>
        <w:r>
          <w:fldChar w:fldCharType="begin"/>
        </w:r>
        <w:r>
          <w:instrText xml:space="preserve"> PAGE   \* MERGEFORMAT </w:instrText>
        </w:r>
        <w:r>
          <w:fldChar w:fldCharType="separate"/>
        </w:r>
        <w:r>
          <w:rPr/>
          <w:t>2</w:t>
        </w:r>
        <w:r>
          <w:rPr/>
          <w:fldChar w:fldCharType="end"/>
        </w:r>
      </w:p>
    </w:sdtContent>
  </w:sdt>
  <w:p w14:paraId="022B8B1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8FA87" w14:textId="77777777">
      <w:r>
        <w:separator/>
      </w:r>
    </w:p>
  </w:footnote>
  <w:footnote w:type="continuationSeparator" w:id="0">
    <w:p w14:paraId="05AF9F4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31C0"/>
    <w:multiLevelType w:val="hybridMultilevel"/>
    <w:tmpl w:val="7E7A7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D57E5C"/>
    <w:multiLevelType w:val="hybridMultilevel"/>
    <w:tmpl w:val="E48EE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FA0604"/>
    <w:multiLevelType w:val="hybridMultilevel"/>
    <w:tmpl w:val="C19859E6"/>
    <w:lvl w:ilvl="0" w:tplc="46F8E54C">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6E"/>
    <w:rsid w:val="0000138D"/>
    <w:rsid w:val="00004531"/>
    <w:rsid w:val="00006F0B"/>
    <w:rsid w:val="00007780"/>
    <w:rsid w:val="00021557"/>
    <w:rsid w:val="00021725"/>
    <w:rsid w:val="0003615B"/>
    <w:rsid w:val="00041582"/>
    <w:rsid w:val="0004258C"/>
    <w:rsid w:val="00044AFD"/>
    <w:rsid w:val="0005740F"/>
    <w:rsid w:val="000609AF"/>
    <w:rsid w:val="0007117A"/>
    <w:rsid w:val="00071775"/>
    <w:rsid w:val="00075144"/>
    <w:rsid w:val="0009567D"/>
    <w:rsid w:val="00096366"/>
    <w:rsid w:val="000A4352"/>
    <w:rsid w:val="000A44F7"/>
    <w:rsid w:val="000A4F3F"/>
    <w:rsid w:val="000A6CA4"/>
    <w:rsid w:val="000B21C4"/>
    <w:rsid w:val="000B3767"/>
    <w:rsid w:val="000B57CF"/>
    <w:rsid w:val="000B72D3"/>
    <w:rsid w:val="000B7629"/>
    <w:rsid w:val="000C5014"/>
    <w:rsid w:val="000C7C9E"/>
    <w:rsid w:val="000D2225"/>
    <w:rsid w:val="000D24D2"/>
    <w:rsid w:val="000D2565"/>
    <w:rsid w:val="000D2EFB"/>
    <w:rsid w:val="000D60CF"/>
    <w:rsid w:val="000D7BDE"/>
    <w:rsid w:val="000E32FB"/>
    <w:rsid w:val="000E5913"/>
    <w:rsid w:val="000F25FE"/>
    <w:rsid w:val="00106985"/>
    <w:rsid w:val="00106EA9"/>
    <w:rsid w:val="00111ADD"/>
    <w:rsid w:val="00112F04"/>
    <w:rsid w:val="001141DD"/>
    <w:rsid w:val="00114A4D"/>
    <w:rsid w:val="00123A86"/>
    <w:rsid w:val="00124B83"/>
    <w:rsid w:val="001259BA"/>
    <w:rsid w:val="00127DC1"/>
    <w:rsid w:val="00132F06"/>
    <w:rsid w:val="00137A4F"/>
    <w:rsid w:val="00140EFC"/>
    <w:rsid w:val="001420B6"/>
    <w:rsid w:val="00146401"/>
    <w:rsid w:val="00147685"/>
    <w:rsid w:val="00151F70"/>
    <w:rsid w:val="00153E34"/>
    <w:rsid w:val="00156D17"/>
    <w:rsid w:val="00171932"/>
    <w:rsid w:val="001726C3"/>
    <w:rsid w:val="0017359E"/>
    <w:rsid w:val="00181FCC"/>
    <w:rsid w:val="0018425E"/>
    <w:rsid w:val="00190B88"/>
    <w:rsid w:val="00191AF0"/>
    <w:rsid w:val="001A3FC3"/>
    <w:rsid w:val="001B3343"/>
    <w:rsid w:val="001B3FAC"/>
    <w:rsid w:val="001B4CD9"/>
    <w:rsid w:val="001C1354"/>
    <w:rsid w:val="001C1CC2"/>
    <w:rsid w:val="001C7B11"/>
    <w:rsid w:val="001D00A3"/>
    <w:rsid w:val="001D69CD"/>
    <w:rsid w:val="001D75CC"/>
    <w:rsid w:val="001E1EB4"/>
    <w:rsid w:val="001F0453"/>
    <w:rsid w:val="001F5F98"/>
    <w:rsid w:val="001F7EA0"/>
    <w:rsid w:val="002005E9"/>
    <w:rsid w:val="0020271B"/>
    <w:rsid w:val="0020298A"/>
    <w:rsid w:val="00202CF8"/>
    <w:rsid w:val="00210F1B"/>
    <w:rsid w:val="00223B03"/>
    <w:rsid w:val="00231E7F"/>
    <w:rsid w:val="00232518"/>
    <w:rsid w:val="00234D44"/>
    <w:rsid w:val="002377BF"/>
    <w:rsid w:val="00241D60"/>
    <w:rsid w:val="00256CA2"/>
    <w:rsid w:val="00262643"/>
    <w:rsid w:val="00270F52"/>
    <w:rsid w:val="00272118"/>
    <w:rsid w:val="00272520"/>
    <w:rsid w:val="00274271"/>
    <w:rsid w:val="002761D6"/>
    <w:rsid w:val="00280D44"/>
    <w:rsid w:val="002825D8"/>
    <w:rsid w:val="00284E47"/>
    <w:rsid w:val="002958E9"/>
    <w:rsid w:val="00296016"/>
    <w:rsid w:val="002A0C6C"/>
    <w:rsid w:val="002A1A06"/>
    <w:rsid w:val="002A2501"/>
    <w:rsid w:val="002A3683"/>
    <w:rsid w:val="002A41BF"/>
    <w:rsid w:val="002A6493"/>
    <w:rsid w:val="002A78D5"/>
    <w:rsid w:val="002B2DF5"/>
    <w:rsid w:val="002B5873"/>
    <w:rsid w:val="002B7ABA"/>
    <w:rsid w:val="002C26DD"/>
    <w:rsid w:val="002C2D23"/>
    <w:rsid w:val="002C39C2"/>
    <w:rsid w:val="002D0130"/>
    <w:rsid w:val="002D4E26"/>
    <w:rsid w:val="002E323C"/>
    <w:rsid w:val="002E7226"/>
    <w:rsid w:val="002F583A"/>
    <w:rsid w:val="0030007D"/>
    <w:rsid w:val="00300827"/>
    <w:rsid w:val="003026A7"/>
    <w:rsid w:val="0030275B"/>
    <w:rsid w:val="003042C3"/>
    <w:rsid w:val="003061D4"/>
    <w:rsid w:val="00306DED"/>
    <w:rsid w:val="00312069"/>
    <w:rsid w:val="00312B84"/>
    <w:rsid w:val="00321A5C"/>
    <w:rsid w:val="00324DAE"/>
    <w:rsid w:val="00326FA6"/>
    <w:rsid w:val="00327511"/>
    <w:rsid w:val="00331CD7"/>
    <w:rsid w:val="00332D95"/>
    <w:rsid w:val="00333C12"/>
    <w:rsid w:val="003368C6"/>
    <w:rsid w:val="003409E0"/>
    <w:rsid w:val="00341B2B"/>
    <w:rsid w:val="00346DAC"/>
    <w:rsid w:val="003516F1"/>
    <w:rsid w:val="00353E4E"/>
    <w:rsid w:val="0035501E"/>
    <w:rsid w:val="00356622"/>
    <w:rsid w:val="003609E1"/>
    <w:rsid w:val="00363553"/>
    <w:rsid w:val="0036501A"/>
    <w:rsid w:val="00372D47"/>
    <w:rsid w:val="003822C9"/>
    <w:rsid w:val="003836BE"/>
    <w:rsid w:val="0039064F"/>
    <w:rsid w:val="0039261C"/>
    <w:rsid w:val="00394206"/>
    <w:rsid w:val="003945EE"/>
    <w:rsid w:val="003A19B2"/>
    <w:rsid w:val="003A47F5"/>
    <w:rsid w:val="003B067D"/>
    <w:rsid w:val="003B379A"/>
    <w:rsid w:val="003B7B65"/>
    <w:rsid w:val="003D3C31"/>
    <w:rsid w:val="003E53E2"/>
    <w:rsid w:val="003E564F"/>
    <w:rsid w:val="003F022C"/>
    <w:rsid w:val="003F5066"/>
    <w:rsid w:val="003F5547"/>
    <w:rsid w:val="003F59D8"/>
    <w:rsid w:val="003F6510"/>
    <w:rsid w:val="00401A3E"/>
    <w:rsid w:val="00406DC5"/>
    <w:rsid w:val="00410F9C"/>
    <w:rsid w:val="004136B3"/>
    <w:rsid w:val="004152FB"/>
    <w:rsid w:val="004209CF"/>
    <w:rsid w:val="0042360B"/>
    <w:rsid w:val="004266FE"/>
    <w:rsid w:val="00427412"/>
    <w:rsid w:val="00431823"/>
    <w:rsid w:val="00434E87"/>
    <w:rsid w:val="00436E9F"/>
    <w:rsid w:val="004427FF"/>
    <w:rsid w:val="004429F1"/>
    <w:rsid w:val="00443704"/>
    <w:rsid w:val="00444A90"/>
    <w:rsid w:val="0044593F"/>
    <w:rsid w:val="004478F0"/>
    <w:rsid w:val="0045433A"/>
    <w:rsid w:val="00455BB3"/>
    <w:rsid w:val="00457CD9"/>
    <w:rsid w:val="00462A4C"/>
    <w:rsid w:val="0046358B"/>
    <w:rsid w:val="00473ACB"/>
    <w:rsid w:val="0048241B"/>
    <w:rsid w:val="004868CF"/>
    <w:rsid w:val="004943DF"/>
    <w:rsid w:val="004A0477"/>
    <w:rsid w:val="004A1B24"/>
    <w:rsid w:val="004A480A"/>
    <w:rsid w:val="004A50C3"/>
    <w:rsid w:val="004A7C3F"/>
    <w:rsid w:val="004B0349"/>
    <w:rsid w:val="004B1A75"/>
    <w:rsid w:val="004B44A4"/>
    <w:rsid w:val="004B6476"/>
    <w:rsid w:val="004C6233"/>
    <w:rsid w:val="004C6570"/>
    <w:rsid w:val="004C6753"/>
    <w:rsid w:val="004D00B6"/>
    <w:rsid w:val="004D6840"/>
    <w:rsid w:val="004E0FE2"/>
    <w:rsid w:val="004E17F6"/>
    <w:rsid w:val="004E74E3"/>
    <w:rsid w:val="004F18E0"/>
    <w:rsid w:val="004F1C2B"/>
    <w:rsid w:val="004F56C6"/>
    <w:rsid w:val="004F6DEF"/>
    <w:rsid w:val="00500336"/>
    <w:rsid w:val="00510859"/>
    <w:rsid w:val="005117B7"/>
    <w:rsid w:val="00513491"/>
    <w:rsid w:val="00513D13"/>
    <w:rsid w:val="00513EF7"/>
    <w:rsid w:val="00517057"/>
    <w:rsid w:val="0052444D"/>
    <w:rsid w:val="005301D9"/>
    <w:rsid w:val="00534133"/>
    <w:rsid w:val="00537D3E"/>
    <w:rsid w:val="00545792"/>
    <w:rsid w:val="00546F68"/>
    <w:rsid w:val="00551D1F"/>
    <w:rsid w:val="005536D8"/>
    <w:rsid w:val="00554366"/>
    <w:rsid w:val="005566A0"/>
    <w:rsid w:val="00556EA2"/>
    <w:rsid w:val="00563D22"/>
    <w:rsid w:val="005643AD"/>
    <w:rsid w:val="00576B7B"/>
    <w:rsid w:val="005771EE"/>
    <w:rsid w:val="00577528"/>
    <w:rsid w:val="005849E1"/>
    <w:rsid w:val="00585605"/>
    <w:rsid w:val="00594380"/>
    <w:rsid w:val="00595117"/>
    <w:rsid w:val="005963B9"/>
    <w:rsid w:val="005A01D6"/>
    <w:rsid w:val="005B27AD"/>
    <w:rsid w:val="005B47A9"/>
    <w:rsid w:val="005B6026"/>
    <w:rsid w:val="005B787B"/>
    <w:rsid w:val="005C140C"/>
    <w:rsid w:val="005C5413"/>
    <w:rsid w:val="005C55FC"/>
    <w:rsid w:val="005C6821"/>
    <w:rsid w:val="005C6F58"/>
    <w:rsid w:val="005D1C8A"/>
    <w:rsid w:val="005D2A18"/>
    <w:rsid w:val="005D4171"/>
    <w:rsid w:val="005D71BE"/>
    <w:rsid w:val="005E6429"/>
    <w:rsid w:val="005F0E60"/>
    <w:rsid w:val="005F204D"/>
    <w:rsid w:val="005F52AD"/>
    <w:rsid w:val="00603F67"/>
    <w:rsid w:val="00604408"/>
    <w:rsid w:val="00610E62"/>
    <w:rsid w:val="006140CE"/>
    <w:rsid w:val="006145FA"/>
    <w:rsid w:val="00623737"/>
    <w:rsid w:val="00624BB7"/>
    <w:rsid w:val="0064557F"/>
    <w:rsid w:val="0064725E"/>
    <w:rsid w:val="0065047B"/>
    <w:rsid w:val="006512F4"/>
    <w:rsid w:val="00652171"/>
    <w:rsid w:val="00656D2B"/>
    <w:rsid w:val="00660E81"/>
    <w:rsid w:val="00673FF9"/>
    <w:rsid w:val="006749AD"/>
    <w:rsid w:val="00675374"/>
    <w:rsid w:val="00677408"/>
    <w:rsid w:val="00683F1B"/>
    <w:rsid w:val="00684DA2"/>
    <w:rsid w:val="006854D2"/>
    <w:rsid w:val="0069051D"/>
    <w:rsid w:val="00690602"/>
    <w:rsid w:val="00691117"/>
    <w:rsid w:val="006923D8"/>
    <w:rsid w:val="00693C24"/>
    <w:rsid w:val="006A2231"/>
    <w:rsid w:val="006A2788"/>
    <w:rsid w:val="006A4546"/>
    <w:rsid w:val="006B0CEC"/>
    <w:rsid w:val="006C4146"/>
    <w:rsid w:val="006E6BDE"/>
    <w:rsid w:val="006F0C90"/>
    <w:rsid w:val="006F0F52"/>
    <w:rsid w:val="006F7D3B"/>
    <w:rsid w:val="007022BB"/>
    <w:rsid w:val="00714EE4"/>
    <w:rsid w:val="00717BBD"/>
    <w:rsid w:val="00721F4E"/>
    <w:rsid w:val="00727975"/>
    <w:rsid w:val="007312EF"/>
    <w:rsid w:val="00734587"/>
    <w:rsid w:val="007377B4"/>
    <w:rsid w:val="00740179"/>
    <w:rsid w:val="0074082B"/>
    <w:rsid w:val="00740F6A"/>
    <w:rsid w:val="007450A3"/>
    <w:rsid w:val="00753570"/>
    <w:rsid w:val="007545AD"/>
    <w:rsid w:val="00756942"/>
    <w:rsid w:val="00766080"/>
    <w:rsid w:val="0077075E"/>
    <w:rsid w:val="00771CBA"/>
    <w:rsid w:val="00775DA0"/>
    <w:rsid w:val="00777800"/>
    <w:rsid w:val="00781248"/>
    <w:rsid w:val="00790F9A"/>
    <w:rsid w:val="007A1052"/>
    <w:rsid w:val="007A305A"/>
    <w:rsid w:val="007A3CBC"/>
    <w:rsid w:val="007B1703"/>
    <w:rsid w:val="007B28FA"/>
    <w:rsid w:val="007B3D2F"/>
    <w:rsid w:val="007B749F"/>
    <w:rsid w:val="007C3C60"/>
    <w:rsid w:val="007C454A"/>
    <w:rsid w:val="007E369A"/>
    <w:rsid w:val="007E483A"/>
    <w:rsid w:val="007F0BAB"/>
    <w:rsid w:val="007F4B71"/>
    <w:rsid w:val="007F5444"/>
    <w:rsid w:val="007F73D2"/>
    <w:rsid w:val="007F7655"/>
    <w:rsid w:val="00805C75"/>
    <w:rsid w:val="00812CEE"/>
    <w:rsid w:val="00812E86"/>
    <w:rsid w:val="00816459"/>
    <w:rsid w:val="00820503"/>
    <w:rsid w:val="00833C0F"/>
    <w:rsid w:val="0083510E"/>
    <w:rsid w:val="00835E25"/>
    <w:rsid w:val="00840384"/>
    <w:rsid w:val="008404A1"/>
    <w:rsid w:val="00842577"/>
    <w:rsid w:val="00847998"/>
    <w:rsid w:val="008526CF"/>
    <w:rsid w:val="008601E9"/>
    <w:rsid w:val="00860557"/>
    <w:rsid w:val="008651E1"/>
    <w:rsid w:val="00867BF7"/>
    <w:rsid w:val="00870E2D"/>
    <w:rsid w:val="00876D51"/>
    <w:rsid w:val="00891496"/>
    <w:rsid w:val="00891801"/>
    <w:rsid w:val="00891D91"/>
    <w:rsid w:val="00891E35"/>
    <w:rsid w:val="00897466"/>
    <w:rsid w:val="008A179B"/>
    <w:rsid w:val="008A42FE"/>
    <w:rsid w:val="008A4F4F"/>
    <w:rsid w:val="008A57FA"/>
    <w:rsid w:val="008A7272"/>
    <w:rsid w:val="008B08FE"/>
    <w:rsid w:val="008B426E"/>
    <w:rsid w:val="008C1CF9"/>
    <w:rsid w:val="008C65BF"/>
    <w:rsid w:val="008D11D6"/>
    <w:rsid w:val="008E0649"/>
    <w:rsid w:val="008E4AF3"/>
    <w:rsid w:val="008F2A59"/>
    <w:rsid w:val="008F2EB1"/>
    <w:rsid w:val="008F44A1"/>
    <w:rsid w:val="008F4E06"/>
    <w:rsid w:val="008F554E"/>
    <w:rsid w:val="008F5F8F"/>
    <w:rsid w:val="00900F42"/>
    <w:rsid w:val="009062BD"/>
    <w:rsid w:val="009106F6"/>
    <w:rsid w:val="009111A0"/>
    <w:rsid w:val="009111EE"/>
    <w:rsid w:val="00920A81"/>
    <w:rsid w:val="009229CE"/>
    <w:rsid w:val="0092614A"/>
    <w:rsid w:val="00934A9E"/>
    <w:rsid w:val="00937E4D"/>
    <w:rsid w:val="00953ABC"/>
    <w:rsid w:val="0095459C"/>
    <w:rsid w:val="00956C3A"/>
    <w:rsid w:val="009630F1"/>
    <w:rsid w:val="00966CE4"/>
    <w:rsid w:val="00970ACC"/>
    <w:rsid w:val="009754CB"/>
    <w:rsid w:val="00977B58"/>
    <w:rsid w:val="0098096D"/>
    <w:rsid w:val="009823C3"/>
    <w:rsid w:val="00986B72"/>
    <w:rsid w:val="009945EE"/>
    <w:rsid w:val="009A4F3A"/>
    <w:rsid w:val="009B2135"/>
    <w:rsid w:val="009B7B31"/>
    <w:rsid w:val="009C1B54"/>
    <w:rsid w:val="009C7E93"/>
    <w:rsid w:val="009D488A"/>
    <w:rsid w:val="009D49CE"/>
    <w:rsid w:val="009E2AB7"/>
    <w:rsid w:val="009E40CA"/>
    <w:rsid w:val="009F0B62"/>
    <w:rsid w:val="009F1F18"/>
    <w:rsid w:val="009F2C57"/>
    <w:rsid w:val="009F4559"/>
    <w:rsid w:val="00A03B72"/>
    <w:rsid w:val="00A20942"/>
    <w:rsid w:val="00A20954"/>
    <w:rsid w:val="00A24BF2"/>
    <w:rsid w:val="00A2511D"/>
    <w:rsid w:val="00A33DB4"/>
    <w:rsid w:val="00A34F9A"/>
    <w:rsid w:val="00A453C6"/>
    <w:rsid w:val="00A477ED"/>
    <w:rsid w:val="00A60291"/>
    <w:rsid w:val="00A62A5C"/>
    <w:rsid w:val="00A6378A"/>
    <w:rsid w:val="00A64247"/>
    <w:rsid w:val="00A67806"/>
    <w:rsid w:val="00A7527E"/>
    <w:rsid w:val="00A92E56"/>
    <w:rsid w:val="00A931D8"/>
    <w:rsid w:val="00A95F1B"/>
    <w:rsid w:val="00AA2D76"/>
    <w:rsid w:val="00AA3B33"/>
    <w:rsid w:val="00AA61A8"/>
    <w:rsid w:val="00AB3212"/>
    <w:rsid w:val="00AB50C9"/>
    <w:rsid w:val="00AB63D8"/>
    <w:rsid w:val="00AB732F"/>
    <w:rsid w:val="00AC4C22"/>
    <w:rsid w:val="00AC6BE4"/>
    <w:rsid w:val="00AD1F04"/>
    <w:rsid w:val="00AF3147"/>
    <w:rsid w:val="00AF5BCD"/>
    <w:rsid w:val="00B01817"/>
    <w:rsid w:val="00B01B5A"/>
    <w:rsid w:val="00B22FF8"/>
    <w:rsid w:val="00B23853"/>
    <w:rsid w:val="00B23A0E"/>
    <w:rsid w:val="00B25A14"/>
    <w:rsid w:val="00B32E31"/>
    <w:rsid w:val="00B32F85"/>
    <w:rsid w:val="00B33A88"/>
    <w:rsid w:val="00B376EA"/>
    <w:rsid w:val="00B4034A"/>
    <w:rsid w:val="00B44700"/>
    <w:rsid w:val="00B538BD"/>
    <w:rsid w:val="00B657B9"/>
    <w:rsid w:val="00B7287B"/>
    <w:rsid w:val="00B73E9E"/>
    <w:rsid w:val="00B7650B"/>
    <w:rsid w:val="00B765EF"/>
    <w:rsid w:val="00B82EDA"/>
    <w:rsid w:val="00B9274D"/>
    <w:rsid w:val="00B94A5E"/>
    <w:rsid w:val="00B94C07"/>
    <w:rsid w:val="00B9615D"/>
    <w:rsid w:val="00B962A6"/>
    <w:rsid w:val="00BA277B"/>
    <w:rsid w:val="00BA43CF"/>
    <w:rsid w:val="00BA6FE4"/>
    <w:rsid w:val="00BB1641"/>
    <w:rsid w:val="00BB6622"/>
    <w:rsid w:val="00BC18FA"/>
    <w:rsid w:val="00BC3B43"/>
    <w:rsid w:val="00BC49CD"/>
    <w:rsid w:val="00BC501A"/>
    <w:rsid w:val="00BC639A"/>
    <w:rsid w:val="00BD4672"/>
    <w:rsid w:val="00BD5996"/>
    <w:rsid w:val="00BD6FD9"/>
    <w:rsid w:val="00BD75C0"/>
    <w:rsid w:val="00BE02DA"/>
    <w:rsid w:val="00BE23E0"/>
    <w:rsid w:val="00BE3870"/>
    <w:rsid w:val="00BF3FCC"/>
    <w:rsid w:val="00BF478D"/>
    <w:rsid w:val="00C03884"/>
    <w:rsid w:val="00C043F1"/>
    <w:rsid w:val="00C07F04"/>
    <w:rsid w:val="00C10F6F"/>
    <w:rsid w:val="00C11594"/>
    <w:rsid w:val="00C1250D"/>
    <w:rsid w:val="00C15CA2"/>
    <w:rsid w:val="00C20990"/>
    <w:rsid w:val="00C2221C"/>
    <w:rsid w:val="00C2475C"/>
    <w:rsid w:val="00C24C72"/>
    <w:rsid w:val="00C259CE"/>
    <w:rsid w:val="00C2604D"/>
    <w:rsid w:val="00C26C08"/>
    <w:rsid w:val="00C2711C"/>
    <w:rsid w:val="00C30085"/>
    <w:rsid w:val="00C400AE"/>
    <w:rsid w:val="00C46EAD"/>
    <w:rsid w:val="00C50AB5"/>
    <w:rsid w:val="00C52D7B"/>
    <w:rsid w:val="00C53C34"/>
    <w:rsid w:val="00C5505A"/>
    <w:rsid w:val="00C57CBD"/>
    <w:rsid w:val="00C73648"/>
    <w:rsid w:val="00C77353"/>
    <w:rsid w:val="00C80A1D"/>
    <w:rsid w:val="00C829E4"/>
    <w:rsid w:val="00C85266"/>
    <w:rsid w:val="00C85437"/>
    <w:rsid w:val="00C9033E"/>
    <w:rsid w:val="00C94ECF"/>
    <w:rsid w:val="00C95167"/>
    <w:rsid w:val="00C95D0E"/>
    <w:rsid w:val="00CA10FE"/>
    <w:rsid w:val="00CA2695"/>
    <w:rsid w:val="00CA656C"/>
    <w:rsid w:val="00CA67D9"/>
    <w:rsid w:val="00CA7970"/>
    <w:rsid w:val="00CB5029"/>
    <w:rsid w:val="00CB5A13"/>
    <w:rsid w:val="00CB5D11"/>
    <w:rsid w:val="00CB7D51"/>
    <w:rsid w:val="00CC0C02"/>
    <w:rsid w:val="00CC2AE0"/>
    <w:rsid w:val="00CC40B6"/>
    <w:rsid w:val="00CC64C5"/>
    <w:rsid w:val="00CD333A"/>
    <w:rsid w:val="00CE113A"/>
    <w:rsid w:val="00CE364D"/>
    <w:rsid w:val="00CE7FF9"/>
    <w:rsid w:val="00CF2748"/>
    <w:rsid w:val="00CF4997"/>
    <w:rsid w:val="00D03B17"/>
    <w:rsid w:val="00D137E5"/>
    <w:rsid w:val="00D216E6"/>
    <w:rsid w:val="00D21DC1"/>
    <w:rsid w:val="00D35167"/>
    <w:rsid w:val="00D41554"/>
    <w:rsid w:val="00D42599"/>
    <w:rsid w:val="00D42AC7"/>
    <w:rsid w:val="00D4443D"/>
    <w:rsid w:val="00D47CB4"/>
    <w:rsid w:val="00D50B0E"/>
    <w:rsid w:val="00D53284"/>
    <w:rsid w:val="00D55A92"/>
    <w:rsid w:val="00D56056"/>
    <w:rsid w:val="00D5766C"/>
    <w:rsid w:val="00D65867"/>
    <w:rsid w:val="00D8671A"/>
    <w:rsid w:val="00D91C0B"/>
    <w:rsid w:val="00D95202"/>
    <w:rsid w:val="00DA19CC"/>
    <w:rsid w:val="00DA23ED"/>
    <w:rsid w:val="00DA4DF9"/>
    <w:rsid w:val="00DA6649"/>
    <w:rsid w:val="00DB019D"/>
    <w:rsid w:val="00DB18F5"/>
    <w:rsid w:val="00DB681D"/>
    <w:rsid w:val="00DB73E3"/>
    <w:rsid w:val="00DD10C7"/>
    <w:rsid w:val="00DD4849"/>
    <w:rsid w:val="00DE1B7E"/>
    <w:rsid w:val="00DE6350"/>
    <w:rsid w:val="00DF2B48"/>
    <w:rsid w:val="00DF4E55"/>
    <w:rsid w:val="00E0013C"/>
    <w:rsid w:val="00E059DD"/>
    <w:rsid w:val="00E227A5"/>
    <w:rsid w:val="00E245F0"/>
    <w:rsid w:val="00E2631C"/>
    <w:rsid w:val="00E30D67"/>
    <w:rsid w:val="00E3660D"/>
    <w:rsid w:val="00E40B07"/>
    <w:rsid w:val="00E47AAF"/>
    <w:rsid w:val="00E521D8"/>
    <w:rsid w:val="00E550D9"/>
    <w:rsid w:val="00E60293"/>
    <w:rsid w:val="00E6164C"/>
    <w:rsid w:val="00E71199"/>
    <w:rsid w:val="00E735D4"/>
    <w:rsid w:val="00E77B3D"/>
    <w:rsid w:val="00E85838"/>
    <w:rsid w:val="00E8680E"/>
    <w:rsid w:val="00E962A5"/>
    <w:rsid w:val="00EA3941"/>
    <w:rsid w:val="00EA4A11"/>
    <w:rsid w:val="00EA5ADA"/>
    <w:rsid w:val="00EB0D23"/>
    <w:rsid w:val="00EB1464"/>
    <w:rsid w:val="00EB5A3B"/>
    <w:rsid w:val="00EC107E"/>
    <w:rsid w:val="00EC20E6"/>
    <w:rsid w:val="00EC59F5"/>
    <w:rsid w:val="00EC5C8B"/>
    <w:rsid w:val="00EC6CCD"/>
    <w:rsid w:val="00ED27B8"/>
    <w:rsid w:val="00ED537E"/>
    <w:rsid w:val="00ED5959"/>
    <w:rsid w:val="00ED7167"/>
    <w:rsid w:val="00EE1B7A"/>
    <w:rsid w:val="00EE6F73"/>
    <w:rsid w:val="00EE7881"/>
    <w:rsid w:val="00EE7FAB"/>
    <w:rsid w:val="00EF0469"/>
    <w:rsid w:val="00EF130A"/>
    <w:rsid w:val="00EF39C6"/>
    <w:rsid w:val="00EF54B4"/>
    <w:rsid w:val="00EF6B84"/>
    <w:rsid w:val="00F0001E"/>
    <w:rsid w:val="00F00791"/>
    <w:rsid w:val="00F12338"/>
    <w:rsid w:val="00F12559"/>
    <w:rsid w:val="00F20165"/>
    <w:rsid w:val="00F20743"/>
    <w:rsid w:val="00F2128B"/>
    <w:rsid w:val="00F232AC"/>
    <w:rsid w:val="00F23810"/>
    <w:rsid w:val="00F269B7"/>
    <w:rsid w:val="00F314AB"/>
    <w:rsid w:val="00F33DEF"/>
    <w:rsid w:val="00F419D5"/>
    <w:rsid w:val="00F42FA0"/>
    <w:rsid w:val="00F50797"/>
    <w:rsid w:val="00F53E0A"/>
    <w:rsid w:val="00F56CB8"/>
    <w:rsid w:val="00F57BF3"/>
    <w:rsid w:val="00F60EF0"/>
    <w:rsid w:val="00F6370F"/>
    <w:rsid w:val="00F64392"/>
    <w:rsid w:val="00F66744"/>
    <w:rsid w:val="00F667EA"/>
    <w:rsid w:val="00F8319F"/>
    <w:rsid w:val="00F832FE"/>
    <w:rsid w:val="00F8634D"/>
    <w:rsid w:val="00F96F56"/>
    <w:rsid w:val="00F9764F"/>
    <w:rsid w:val="00FA7247"/>
    <w:rsid w:val="00FB6291"/>
    <w:rsid w:val="00FC0742"/>
    <w:rsid w:val="00FC155A"/>
    <w:rsid w:val="00FD2FBA"/>
    <w:rsid w:val="00FE027F"/>
    <w:rsid w:val="00FE2264"/>
    <w:rsid w:val="00FF3AC2"/>
    <w:rsid w:val="17FCA3E8"/>
    <w:rsid w:val="249DEAB6"/>
    <w:rsid w:val="2A2059B3"/>
    <w:rsid w:val="3D760BC5"/>
    <w:rsid w:val="3E220AAA"/>
    <w:rsid w:val="43C828DD"/>
    <w:rsid w:val="737BB9C2"/>
    <w:rsid w:val="77FA2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04B9"/>
  <w15:chartTrackingRefBased/>
  <w15:docId w15:val="{5DCE709D-C78A-4C11-A374-41402E91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rPr>
    </w:r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26E"/>
    <w:pPr>
      <w:spacing w:after="0" w:line="240" w:lineRule="auto"/>
    </w:pPr>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26E"/>
    <w:pPr>
      <w:spacing w:after="0" w:line="240" w:lineRule="auto"/>
    </w:pPr>
    <w:rPr>
      <w:rFonts w:eastAsiaTheme="minorEastAs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26E"/>
    <w:pPr>
      <w:ind w:left="720"/>
      <w:contextualSpacing/>
    </w:pPr>
  </w:style>
  <w:style w:type="character" w:styleId="Hyperlink">
    <w:name w:val="Hyperlink"/>
    <w:basedOn w:val="DefaultParagraphFont"/>
    <w:uiPriority w:val="99"/>
    <w:unhideWhenUsed/>
    <w:rsid w:val="00517057"/>
    <w:rPr>
      <w:color w:val="0563C1" w:themeColor="hyperlink"/>
      <w:u w:val="single"/>
    </w:rPr>
  </w:style>
  <w:style w:type="character" w:styleId="UnresolvedMention">
    <w:name w:val="Unresolved Mention"/>
    <w:basedOn w:val="DefaultParagraphFont"/>
    <w:uiPriority w:val="99"/>
    <w:semiHidden/>
    <w:unhideWhenUsed/>
    <w:rsid w:val="00517057"/>
    <w:rPr>
      <w:color w:val="605E5C"/>
      <w:shd w:val="clear" w:color="auto" w:fill="E1DFDD"/>
    </w:rPr>
  </w:style>
  <w:style w:type="character" w:styleId="FollowedHyperlink">
    <w:name w:val="FollowedHyperlink"/>
    <w:basedOn w:val="DefaultParagraphFont"/>
    <w:uiPriority w:val="99"/>
    <w:semiHidden/>
    <w:unhideWhenUsed/>
    <w:rsid w:val="004868CF"/>
    <w:rPr>
      <w:color w:val="954F72" w:themeColor="followedHyperlink"/>
      <w:u w:val="single"/>
    </w:rPr>
  </w:style>
  <w:style w:type="paragraph" w:styleId="Header">
    <w:name w:val="header"/>
    <w:basedOn w:val="Normal"/>
    <w:link w:val="HeaderChar"/>
    <w:uiPriority w:val="99"/>
    <w:unhideWhenUsed/>
    <w:rsid w:val="00CB5029"/>
    <w:pPr>
      <w:tabs>
        <w:tab w:val="center" w:pos="4513"/>
        <w:tab w:val="right" w:pos="9026"/>
      </w:tabs>
    </w:pPr>
  </w:style>
  <w:style w:type="character" w:customStyle="1" w:styleId="HeaderChar">
    <w:name w:val="Header Char"/>
    <w:basedOn w:val="DefaultParagraphFont"/>
    <w:link w:val="Header"/>
    <w:uiPriority w:val="99"/>
    <w:rsid w:val="00CB5029"/>
    <w:rPr>
      <w:rFonts w:eastAsiaTheme="minorEastAsia"/>
      <w:sz w:val="24"/>
    </w:rPr>
  </w:style>
  <w:style w:type="paragraph" w:styleId="Footer">
    <w:name w:val="footer"/>
    <w:basedOn w:val="Normal"/>
    <w:link w:val="FooterChar"/>
    <w:uiPriority w:val="99"/>
    <w:unhideWhenUsed/>
    <w:rsid w:val="00CB5029"/>
    <w:pPr>
      <w:tabs>
        <w:tab w:val="center" w:pos="4513"/>
        <w:tab w:val="right" w:pos="9026"/>
      </w:tabs>
    </w:pPr>
  </w:style>
  <w:style w:type="character" w:customStyle="1" w:styleId="FooterChar">
    <w:name w:val="Footer Char"/>
    <w:basedOn w:val="DefaultParagraphFont"/>
    <w:link w:val="Footer"/>
    <w:uiPriority w:val="99"/>
    <w:rsid w:val="00CB5029"/>
    <w:rPr>
      <w:rFonts w:eastAsiaTheme="minorEastAsia"/>
      <w:sz w:val="24"/>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eastAsiaTheme="minorEastAsia"/>
      <w:sz w:val="20"/>
    </w:rPr>
  </w:style>
  <w:style w:type="character" w:styleId="CommentReference">
    <w:name w:val="annotation reference"/>
    <w:basedOn w:val="DefaultParagraphFont"/>
    <w:uiPriority w:val="99"/>
    <w:semiHidden/>
    <w:unhideWhenUsed/>
    <w:rPr>
      <w:sz w:val="16"/>
    </w:rPr>
  </w:style>
  <w:style w:type="paragraph" w:styleId="CommentSubject">
    <w:name w:val="annotation subject"/>
    <w:basedOn w:val="CommentText"/>
    <w:next w:val="CommentText"/>
    <w:link w:val="CommentSubjectChar"/>
    <w:uiPriority w:val="99"/>
    <w:semiHidden/>
    <w:unhideWhenUsed/>
    <w:rsid w:val="00835E25"/>
    <w:rPr>
      <w:b/>
    </w:rPr>
  </w:style>
  <w:style w:type="character" w:customStyle="1" w:styleId="CommentSubjectChar">
    <w:name w:val="Comment Subject Char"/>
    <w:basedOn w:val="CommentTextChar"/>
    <w:link w:val="CommentSubject"/>
    <w:uiPriority w:val="99"/>
    <w:semiHidden/>
    <w:rsid w:val="00835E25"/>
    <w:rPr>
      <w:rFonts w:eastAsiaTheme="minorEastAsia"/>
      <w:b/>
      <w:sz w:val="20"/>
    </w:rPr>
  </w:style>
  <w:style w:type="paragraph" w:styleId="P68B1DB1-Normal1">
    <w:name w:val="P68B1DB1-Normal1"/>
    <w:basedOn w:val="Normal"/>
    <w:rPr>
      <w:rFonts w:ascii="Arial" w:hAnsi="Arial" w:cs="Arial"/>
      <w:sz w:val="22"/>
      <w:u w:val="single"/>
    </w:rPr>
  </w:style>
  <w:style w:type="paragraph" w:styleId="P68B1DB1-Normal2">
    <w:name w:val="P68B1DB1-Normal2"/>
    <w:basedOn w:val="Normal"/>
    <w:rPr>
      <w:rFonts w:ascii="Arial" w:hAnsi="Arial" w:cs="Arial"/>
      <w:b/>
      <w:color w:val="FFFFFF" w:themeColor="background1"/>
    </w:rPr>
  </w:style>
  <w:style w:type="paragraph" w:styleId="P68B1DB1-Normal3">
    <w:name w:val="P68B1DB1-Normal3"/>
    <w:basedOn w:val="Normal"/>
    <w:rPr>
      <w:rFonts w:ascii="Arial" w:hAnsi="Arial" w:cs="Arial" w:eastAsia="Calibri"/>
      <w:sz w:val="22"/>
    </w:rPr>
  </w:style>
  <w:style w:type="paragraph" w:styleId="P68B1DB1-Normal4">
    <w:name w:val="P68B1DB1-Normal4"/>
    <w:basedOn w:val="Normal"/>
    <w:rPr>
      <w:rFonts w:ascii="Arial" w:hAnsi="Arial" w:cs="Arial"/>
      <w:sz w:val="22"/>
    </w:rPr>
  </w:style>
  <w:style w:type="paragraph" w:styleId="P68B1DB1-Normal5">
    <w:name w:val="P68B1DB1-Normal5"/>
    <w:basedOn w:val="Normal"/>
    <w:rPr>
      <w:rFonts w:ascii="Arial" w:hAnsi="Arial" w:cs="Arial" w:eastAsia="Calibri"/>
    </w:rPr>
  </w:style>
  <w:style w:type="paragraph" w:styleId="P68B1DB1-Normal6">
    <w:name w:val="P68B1DB1-Normal6"/>
    <w:basedOn w:val="Normal"/>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ionline.sharepoint.com/:b:/r/sites/leadership/livelihoods/Resources/Stakeholder%20Engagement/Guidance%20on%20Grievance%20Mechanisms.pdf?csf=1&amp;web=1&amp;e=IOgyPc" TargetMode="External"/><Relationship Id="rId13" Type="http://schemas.openxmlformats.org/officeDocument/2006/relationships/hyperlink" Target="https://ffionline.sharepoint.com/:b:/r/governance/Shared%20Documents/P+Ps/Data%20Protection%20Policy.pdf?csf=1&amp;web=1&amp;e=csrHd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fionline-my.sharepoint.com/personal/ffimangrove_fauna-flora_org/Documents/Root/Training%20course%20materials/Grievance%20Mechanisms/Grievance%20Mechanism%20Register%20-%20Log%20Template.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fionline-my.sharepoint.com/:w:/r/personal/ffimangrove_fauna-flora_org/Documents/Root/Training%20course%20materials/Grievance%20Mechanisms/Example%20Grievance%20Mechanism%20Manual%20-%20Standard%20Operating%20Procedure.docx?d=wb1b9ae7712914fdb9bf62bc9bc763876&amp;csf=1&amp;web=1&amp;e=5fxPLB" TargetMode="External"/><Relationship Id="rId5" Type="http://schemas.openxmlformats.org/officeDocument/2006/relationships/webSettings" Target="webSettings.xml"/><Relationship Id="rId15" Type="http://schemas.openxmlformats.org/officeDocument/2006/relationships/hyperlink" Target="https://ffionline-my.sharepoint.com/personal/ffimangrove_fauna-flora_org/Documents/Root/Training%20course%20materials/Grievance%20Mechanisms/Grievance%20Mechanism%20common%20M&amp;E%20indicators.docx" TargetMode="External"/><Relationship Id="rId10" Type="http://schemas.openxmlformats.org/officeDocument/2006/relationships/hyperlink" Target="https://ffionline-my.sharepoint.com/:w:/r/personal/ffimangrove_fauna-flora_org/Documents/Root/Training%20course%20materials/Grievance%20Mechanisms/Example%20template%20for%20public%20grievance%20form.docx?d=wbe1d57a479724935a7a3d1d5a4d7aaf4&amp;csf=1&amp;web=1&amp;e=LvH3ml" TargetMode="External"/><Relationship Id="rId4" Type="http://schemas.openxmlformats.org/officeDocument/2006/relationships/settings" Target="settings.xml"/><Relationship Id="rId9" Type="http://schemas.openxmlformats.org/officeDocument/2006/relationships/hyperlink" Target="https://ffionline-my.sharepoint.com/:w:/r/personal/ffimangrove_fauna-flora_org/Documents/Root/Training%20course%20materials/Grievance%20Mechanisms/Examples%20of%20issues%20within%20and%20outside%20the%20scope%20of%20the%20grievance%20mechanism.docx?d=w29dc148f17144d848aefa54f9e05dbf8&amp;csf=1&amp;web=1&amp;e=YkfTPs" TargetMode="External"/><Relationship Id="rId14" Type="http://schemas.openxmlformats.org/officeDocument/2006/relationships/hyperlink" Target="https://ffionline.sharepoint.com/:b:/r/governance/Shared%20Documents/P+Ps/Data%20Management%20%26%20Retention%20Policy.pdf?csf=1&amp;web=1&amp;e=P6253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E8571-491C-4927-B4A3-183CF4D9B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Fauna &amp; Flora International</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Rosendo</dc:creator>
  <cp:keywords/>
  <dc:description/>
  <cp:lastModifiedBy>Bobbi Hope</cp:lastModifiedBy>
  <cp:revision>94</cp:revision>
  <dcterms:created xsi:type="dcterms:W3CDTF">2023-03-10T16:32:00Z</dcterms:created>
  <dcterms:modified xsi:type="dcterms:W3CDTF">2023-03-23T16:54:00Z</dcterms:modified>
</cp:coreProperties>
</file>