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color w:val="1F4E79"/>
          <w:sz w:val="38"/>
        </w:rPr>
        <w:t>Module 1: Dataset discovery, acquisition, and quality control</w:t>
      </w:r>
    </w:p>
    <w:p>
      <w:pPr>
        <w:spacing w:after="200"/>
      </w:pPr>
      <w:r>
        <w:rPr>
          <w:color w:val="444444"/>
          <w:sz w:val="19"/>
        </w:rPr>
        <w:t>Instructional time: 45 min. Bloom: Remember, Understand, Apply. Notebook: notebooks/01_discovery_and_qc.ipynb</w:t>
      </w:r>
    </w:p>
    <w:p>
      <w:pPr>
        <w:pBdr>
          <w:bottom w:val="single" w:sz="12" w:color="1F4E79"/>
        </w:pBdr>
      </w:pPr>
    </w:p>
    <w:p>
      <w:pPr>
        <w:pStyle w:val="Heading1"/>
      </w:pPr>
      <w:r>
        <w:rPr>
          <w:color w:val="1F4E79"/>
        </w:rPr>
        <w:t>1. Overview</w:t>
      </w:r>
    </w:p>
    <w:p>
      <w:pPr>
        <w:spacing w:after="140"/>
      </w:pPr>
      <w:r>
        <w:rPr>
          <w:sz w:val="21"/>
        </w:rPr>
        <w:t>Module 1 is the entry point to the CFDE lung transcriptomics course. It covers how the required datasets are identified and retrieved, how a local copy is verified against the expected inventory, and how single-nucleus quality control and preprocessing are applied so that four HuBMAP lung donors are ready for integration in Module 2.</w:t>
      </w:r>
    </w:p>
    <w:p>
      <w:pPr>
        <w:spacing w:after="140"/>
      </w:pPr>
      <w:r>
        <w:rPr>
          <w:b/>
          <w:sz w:val="21"/>
        </w:rPr>
        <w:t>Learning objectives.</w:t>
      </w:r>
      <w:r>
        <w:rPr>
          <w:sz w:val="21"/>
        </w:rPr>
        <w:t xml:space="preserve"> After this module you will be able to:</w:t>
      </w:r>
    </w:p>
    <w:p>
      <w:pPr>
        <w:pStyle w:val="ListBullet"/>
        <w:spacing w:after="40"/>
      </w:pPr>
      <w:r>
        <w:rPr>
          <w:sz w:val="21"/>
        </w:rPr>
        <w:t>Use the CFDE discovery surfaces to locate lung datasets across Common Fund resources, and explain how the discovery layer relates to the DCC portals that serve the files.</w:t>
      </w:r>
    </w:p>
    <w:p>
      <w:pPr>
        <w:pStyle w:val="ListBullet"/>
        <w:spacing w:after="40"/>
      </w:pPr>
      <w:r>
        <w:rPr>
          <w:sz w:val="21"/>
        </w:rPr>
        <w:t>Resolve a HuBMAP dataset record to a downloadable release, and cite the correct record for it.</w:t>
      </w:r>
    </w:p>
    <w:p>
      <w:pPr>
        <w:pStyle w:val="ListBullet"/>
        <w:spacing w:after="40"/>
      </w:pPr>
      <w:r>
        <w:rPr>
          <w:sz w:val="21"/>
        </w:rPr>
        <w:t>Confirm that a local copy of the cohort is complete before analysis begins.</w:t>
      </w:r>
    </w:p>
    <w:p>
      <w:pPr>
        <w:pStyle w:val="ListBullet"/>
        <w:spacing w:after="40"/>
      </w:pPr>
      <w:r>
        <w:rPr>
          <w:sz w:val="21"/>
        </w:rPr>
        <w:t>Apply and justify single-nucleus quality-control thresholds, then run a standard normalize, highly variable gene, PCA and UMAP preprocess.</w:t>
      </w:r>
    </w:p>
    <w:p>
      <w:pPr>
        <w:spacing w:after="140"/>
      </w:pPr>
      <w:r>
        <w:rPr>
          <w:sz w:val="21"/>
        </w:rPr>
        <w:t>Downloading the full course data set takes about 814.87 MB. Module 1 itself uses the four HuBMAP single-nucleus matrices; the remainder is needed by Modules 3 and 4.</w:t>
      </w:r>
    </w:p>
    <w:p>
      <w:pPr>
        <w:pStyle w:val="Heading1"/>
      </w:pPr>
      <w:r>
        <w:rPr>
          <w:color w:val="1F4E79"/>
        </w:rPr>
        <w:t>2. Before you begin</w:t>
      </w:r>
    </w:p>
    <w:p>
      <w:pPr>
        <w:spacing w:after="140"/>
      </w:pPr>
      <w:r>
        <w:rPr>
          <w:b/>
          <w:sz w:val="21"/>
        </w:rPr>
        <w:t>Prerequisites.</w:t>
      </w:r>
      <w:r>
        <w:rPr>
          <w:sz w:val="21"/>
        </w:rPr>
        <w:t xml:space="preserve"> Basic Python / AnnData. CFDE Workbench vs DCC portals (screencast).</w:t>
      </w:r>
    </w:p>
    <w:p>
      <w:pPr>
        <w:spacing w:after="140"/>
      </w:pPr>
      <w:r>
        <w:rPr>
          <w:b/>
          <w:sz w:val="21"/>
        </w:rPr>
        <w:t>Cohort.</w:t>
      </w:r>
      <w:r>
        <w:rPr>
          <w:sz w:val="21"/>
        </w:rPr>
        <w:t xml:space="preserve"> Donor_1 (37), Donor_2 (25), Donor_3 (56.8), Donor_4 (52.96).</w:t>
      </w:r>
    </w:p>
    <w:p>
      <w:pPr>
        <w:spacing w:after="140"/>
      </w:pPr>
      <w:r>
        <w:rPr>
          <w:b/>
          <w:sz w:val="21"/>
        </w:rPr>
        <w:t>Run order.</w:t>
      </w:r>
      <w:r>
        <w:rPr>
          <w:sz w:val="21"/>
        </w:rPr>
        <w:t xml:space="preserve"> Run the analysis sections in order; the notebook carries state between cells.</w:t>
      </w:r>
    </w:p>
    <w:p>
      <w:pPr>
        <w:pStyle w:val="Heading4"/>
      </w:pPr>
      <w:r>
        <w:rPr>
          <w:color w:val="1F4E79"/>
        </w:rPr>
        <w:t>Biological question</w:t>
      </w:r>
    </w:p>
    <w:p>
      <w:pPr>
        <w:spacing w:after="140"/>
      </w:pPr>
      <w:r>
        <w:rPr>
          <w:sz w:val="21"/>
        </w:rPr>
        <w:t>Is the HuBMAP lung snRNA-seq cohort complete and verifiable locally, what role does each file serve, and can nuclei from each donor be prepared so that the cross-donor analysis in Module 2 rests on documented quality-control decisions?</w:t>
      </w:r>
    </w:p>
    <w:p>
      <w:pPr>
        <w:spacing w:after="140"/>
      </w:pPr>
      <w:r>
        <w:rPr>
          <w:sz w:val="21"/>
        </w:rPr>
        <w:t>Module 1 answers that question. It does not integrate donors, call differential expression, or leave HuBMAP for other ecosystems. Those steps begin in Modules 2 and 4.</w:t>
      </w:r>
    </w:p>
    <w:p>
      <w:pPr>
        <w:pStyle w:val="Heading4"/>
      </w:pPr>
      <w:r>
        <w:rPr>
          <w:color w:val="1F4E79"/>
        </w:rPr>
        <w:t>HuBMAP teaching cohort</w:t>
      </w:r>
    </w:p>
    <w:p>
      <w:pPr>
        <w:spacing w:after="140"/>
      </w:pPr>
      <w:r>
        <w:rPr>
          <w:sz w:val="21"/>
        </w:rPr>
        <w:t>Four donors selected for comparative value across age, sex and reported race and ethnicity. Donor_2 additionally carries a paired single-nucleus multiome dataset, which is the basis of Module 3.</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CE6F1"/>
          </w:tcPr>
          <w:p>
            <w:r/>
            <w:r>
              <w:rPr>
                <w:b/>
                <w:sz w:val="17"/>
              </w:rPr>
              <w:t>Donor</w:t>
            </w:r>
          </w:p>
        </w:tc>
        <w:tc>
          <w:tcPr>
            <w:tcW w:type="dxa" w:w="1560"/>
            <w:shd w:val="clear" w:fill="DCE6F1"/>
          </w:tcPr>
          <w:p>
            <w:r/>
            <w:r>
              <w:rPr>
                <w:b/>
                <w:sz w:val="17"/>
              </w:rPr>
              <w:t>Age</w:t>
            </w:r>
          </w:p>
        </w:tc>
        <w:tc>
          <w:tcPr>
            <w:tcW w:type="dxa" w:w="1560"/>
            <w:shd w:val="clear" w:fill="DCE6F1"/>
          </w:tcPr>
          <w:p>
            <w:r/>
            <w:r>
              <w:rPr>
                <w:b/>
                <w:sz w:val="17"/>
              </w:rPr>
              <w:t>Sex</w:t>
            </w:r>
          </w:p>
        </w:tc>
        <w:tc>
          <w:tcPr>
            <w:tcW w:type="dxa" w:w="1560"/>
            <w:shd w:val="clear" w:fill="DCE6F1"/>
          </w:tcPr>
          <w:p>
            <w:r/>
            <w:r>
              <w:rPr>
                <w:b/>
                <w:sz w:val="17"/>
              </w:rPr>
              <w:t>Primary block</w:t>
            </w:r>
          </w:p>
        </w:tc>
        <w:tc>
          <w:tcPr>
            <w:tcW w:type="dxa" w:w="1560"/>
            <w:shd w:val="clear" w:fill="DCE6F1"/>
          </w:tcPr>
          <w:p>
            <w:r/>
            <w:r>
              <w:rPr>
                <w:b/>
                <w:sz w:val="17"/>
              </w:rPr>
              <w:t>Processed release</w:t>
            </w:r>
          </w:p>
        </w:tc>
        <w:tc>
          <w:tcPr>
            <w:tcW w:type="dxa" w:w="1560"/>
            <w:shd w:val="clear" w:fill="DCE6F1"/>
          </w:tcPr>
          <w:p>
            <w:r/>
            <w:r>
              <w:rPr>
                <w:b/>
                <w:sz w:val="17"/>
              </w:rPr>
              <w:t>Also provides</w:t>
            </w:r>
          </w:p>
        </w:tc>
      </w:tr>
      <w:tr>
        <w:tc>
          <w:tcPr>
            <w:tcW w:type="dxa" w:w="1560"/>
          </w:tcPr>
          <w:p>
            <w:r/>
            <w:r>
              <w:rPr>
                <w:sz w:val="17"/>
              </w:rPr>
              <w:t>Donor_1</w:t>
            </w:r>
          </w:p>
        </w:tc>
        <w:tc>
          <w:tcPr>
            <w:tcW w:type="dxa" w:w="1560"/>
          </w:tcPr>
          <w:p>
            <w:r/>
            <w:r>
              <w:rPr>
                <w:sz w:val="17"/>
              </w:rPr>
              <w:t>37</w:t>
            </w:r>
          </w:p>
        </w:tc>
        <w:tc>
          <w:tcPr>
            <w:tcW w:type="dxa" w:w="1560"/>
          </w:tcPr>
          <w:p>
            <w:r/>
            <w:r>
              <w:rPr>
                <w:sz w:val="17"/>
              </w:rPr>
              <w:t>Male</w:t>
            </w:r>
          </w:p>
        </w:tc>
        <w:tc>
          <w:tcPr>
            <w:tcW w:type="dxa" w:w="1560"/>
          </w:tcPr>
          <w:p>
            <w:r/>
            <w:r>
              <w:rPr>
                <w:rFonts w:ascii="Menlo" w:hAnsi="Menlo"/>
                <w:color w:val="1A3E6E"/>
                <w:sz w:val="15"/>
              </w:rPr>
              <w:t>HBM347.VDHS.379</w:t>
            </w:r>
          </w:p>
        </w:tc>
        <w:tc>
          <w:tcPr>
            <w:tcW w:type="dxa" w:w="1560"/>
          </w:tcPr>
          <w:p>
            <w:r/>
            <w:r>
              <w:rPr>
                <w:rFonts w:ascii="Menlo" w:hAnsi="Menlo"/>
                <w:color w:val="1A3E6E"/>
                <w:sz w:val="15"/>
              </w:rPr>
              <w:t>HBM675.RVGB.258</w:t>
            </w:r>
          </w:p>
        </w:tc>
        <w:tc>
          <w:tcPr>
            <w:tcW w:type="dxa" w:w="1560"/>
          </w:tcPr>
          <w:p>
            <w:r/>
          </w:p>
        </w:tc>
      </w:tr>
      <w:tr>
        <w:tc>
          <w:tcPr>
            <w:tcW w:type="dxa" w:w="1560"/>
          </w:tcPr>
          <w:p>
            <w:r/>
            <w:r>
              <w:rPr>
                <w:sz w:val="17"/>
              </w:rPr>
              <w:t>Donor_2</w:t>
            </w:r>
          </w:p>
        </w:tc>
        <w:tc>
          <w:tcPr>
            <w:tcW w:type="dxa" w:w="1560"/>
          </w:tcPr>
          <w:p>
            <w:r/>
            <w:r>
              <w:rPr>
                <w:sz w:val="17"/>
              </w:rPr>
              <w:t>25</w:t>
            </w:r>
          </w:p>
        </w:tc>
        <w:tc>
          <w:tcPr>
            <w:tcW w:type="dxa" w:w="1560"/>
          </w:tcPr>
          <w:p>
            <w:r/>
            <w:r>
              <w:rPr>
                <w:sz w:val="17"/>
              </w:rPr>
              <w:t>Female</w:t>
            </w:r>
          </w:p>
        </w:tc>
        <w:tc>
          <w:tcPr>
            <w:tcW w:type="dxa" w:w="1560"/>
          </w:tcPr>
          <w:p>
            <w:r/>
            <w:r>
              <w:rPr>
                <w:rFonts w:ascii="Menlo" w:hAnsi="Menlo"/>
                <w:color w:val="1A3E6E"/>
                <w:sz w:val="15"/>
              </w:rPr>
              <w:t>HBM473.NKMR.872</w:t>
            </w:r>
          </w:p>
        </w:tc>
        <w:tc>
          <w:tcPr>
            <w:tcW w:type="dxa" w:w="1560"/>
          </w:tcPr>
          <w:p>
            <w:r/>
            <w:r>
              <w:rPr>
                <w:rFonts w:ascii="Menlo" w:hAnsi="Menlo"/>
                <w:color w:val="1A3E6E"/>
                <w:sz w:val="15"/>
              </w:rPr>
              <w:t>HBM362.DZVK.533</w:t>
            </w:r>
          </w:p>
        </w:tc>
        <w:tc>
          <w:tcPr>
            <w:tcW w:type="dxa" w:w="1560"/>
          </w:tcPr>
          <w:p>
            <w:r/>
            <w:r>
              <w:rPr>
                <w:sz w:val="17"/>
              </w:rPr>
              <w:t xml:space="preserve">multiome </w:t>
            </w:r>
            <w:r>
              <w:rPr>
                <w:rFonts w:ascii="Menlo" w:hAnsi="Menlo"/>
                <w:color w:val="1A3E6E"/>
                <w:sz w:val="15"/>
              </w:rPr>
              <w:t>HBM828.GPVG.252</w:t>
            </w:r>
          </w:p>
        </w:tc>
      </w:tr>
      <w:tr>
        <w:tc>
          <w:tcPr>
            <w:tcW w:type="dxa" w:w="1560"/>
          </w:tcPr>
          <w:p>
            <w:r/>
            <w:r>
              <w:rPr>
                <w:sz w:val="17"/>
              </w:rPr>
              <w:t>Donor_3</w:t>
            </w:r>
          </w:p>
        </w:tc>
        <w:tc>
          <w:tcPr>
            <w:tcW w:type="dxa" w:w="1560"/>
          </w:tcPr>
          <w:p>
            <w:r/>
            <w:r>
              <w:rPr>
                <w:sz w:val="17"/>
              </w:rPr>
              <w:t>56.8</w:t>
            </w:r>
          </w:p>
        </w:tc>
        <w:tc>
          <w:tcPr>
            <w:tcW w:type="dxa" w:w="1560"/>
          </w:tcPr>
          <w:p>
            <w:r/>
            <w:r>
              <w:rPr>
                <w:sz w:val="17"/>
              </w:rPr>
              <w:t>Female</w:t>
            </w:r>
          </w:p>
        </w:tc>
        <w:tc>
          <w:tcPr>
            <w:tcW w:type="dxa" w:w="1560"/>
          </w:tcPr>
          <w:p>
            <w:r/>
            <w:r>
              <w:rPr>
                <w:rFonts w:ascii="Menlo" w:hAnsi="Menlo"/>
                <w:color w:val="1A3E6E"/>
                <w:sz w:val="15"/>
              </w:rPr>
              <w:t>HBM484.RGWP.797</w:t>
            </w:r>
          </w:p>
        </w:tc>
        <w:tc>
          <w:tcPr>
            <w:tcW w:type="dxa" w:w="1560"/>
          </w:tcPr>
          <w:p>
            <w:r/>
            <w:r>
              <w:rPr>
                <w:rFonts w:ascii="Menlo" w:hAnsi="Menlo"/>
                <w:color w:val="1A3E6E"/>
                <w:sz w:val="15"/>
              </w:rPr>
              <w:t>HBM874.PWHS.622</w:t>
            </w:r>
          </w:p>
        </w:tc>
        <w:tc>
          <w:tcPr>
            <w:tcW w:type="dxa" w:w="1560"/>
          </w:tcPr>
          <w:p>
            <w:r/>
          </w:p>
        </w:tc>
      </w:tr>
      <w:tr>
        <w:tc>
          <w:tcPr>
            <w:tcW w:type="dxa" w:w="1560"/>
          </w:tcPr>
          <w:p>
            <w:r/>
            <w:r>
              <w:rPr>
                <w:sz w:val="17"/>
              </w:rPr>
              <w:t>Donor_4</w:t>
            </w:r>
          </w:p>
        </w:tc>
        <w:tc>
          <w:tcPr>
            <w:tcW w:type="dxa" w:w="1560"/>
          </w:tcPr>
          <w:p>
            <w:r/>
            <w:r>
              <w:rPr>
                <w:sz w:val="17"/>
              </w:rPr>
              <w:t>52.96</w:t>
            </w:r>
          </w:p>
        </w:tc>
        <w:tc>
          <w:tcPr>
            <w:tcW w:type="dxa" w:w="1560"/>
          </w:tcPr>
          <w:p>
            <w:r/>
            <w:r>
              <w:rPr>
                <w:sz w:val="17"/>
              </w:rPr>
              <w:t>Male</w:t>
            </w:r>
          </w:p>
        </w:tc>
        <w:tc>
          <w:tcPr>
            <w:tcW w:type="dxa" w:w="1560"/>
          </w:tcPr>
          <w:p>
            <w:r/>
            <w:r>
              <w:rPr>
                <w:rFonts w:ascii="Menlo" w:hAnsi="Menlo"/>
                <w:color w:val="1A3E6E"/>
                <w:sz w:val="15"/>
              </w:rPr>
              <w:t>HBM379.QCJT.435</w:t>
            </w:r>
          </w:p>
        </w:tc>
        <w:tc>
          <w:tcPr>
            <w:tcW w:type="dxa" w:w="1560"/>
          </w:tcPr>
          <w:p>
            <w:r/>
            <w:r>
              <w:rPr>
                <w:rFonts w:ascii="Menlo" w:hAnsi="Menlo"/>
                <w:color w:val="1A3E6E"/>
                <w:sz w:val="15"/>
              </w:rPr>
              <w:t>HBM735.NMFW.852</w:t>
            </w:r>
          </w:p>
        </w:tc>
        <w:tc>
          <w:tcPr>
            <w:tcW w:type="dxa" w:w="1560"/>
          </w:tcPr>
          <w:p>
            <w:r/>
          </w:p>
        </w:tc>
      </w:tr>
    </w:tbl>
    <w:p>
      <w:pPr>
        <w:spacing w:after="140"/>
      </w:pPr>
      <w:r>
        <w:rPr>
          <w:sz w:val="21"/>
        </w:rPr>
        <w:t xml:space="preserve">Three identifiers do three different jobs, and confusing them is the most common way to lose time here. </w:t>
      </w:r>
      <w:r>
        <w:rPr>
          <w:b/>
          <w:sz w:val="21"/>
        </w:rPr>
        <w:t>Cite</w:t>
      </w:r>
      <w:r>
        <w:rPr>
          <w:sz w:val="21"/>
        </w:rPr>
        <w:t xml:space="preserve"> the primary block and its DOI (</w:t>
      </w:r>
      <w:r>
        <w:rPr>
          <w:rFonts w:ascii="Menlo" w:hAnsi="Menlo"/>
          <w:color w:val="1A3E6E"/>
          <w:sz w:val="19"/>
        </w:rPr>
        <w:t>10.35079/</w:t>
      </w:r>
      <w:r>
        <w:rPr>
          <w:sz w:val="21"/>
        </w:rPr>
        <w:t xml:space="preserve"> followed by the primary ID). </w:t>
      </w:r>
      <w:r>
        <w:rPr>
          <w:b/>
          <w:sz w:val="21"/>
        </w:rPr>
        <w:t>Download</w:t>
      </w:r>
      <w:r>
        <w:rPr>
          <w:sz w:val="21"/>
        </w:rPr>
        <w:t xml:space="preserve"> the processed release, which is the openly available derivative. </w:t>
      </w:r>
      <w:r>
        <w:rPr>
          <w:b/>
          <w:sz w:val="21"/>
        </w:rPr>
        <w:t>Name the local folder</w:t>
      </w:r>
      <w:r>
        <w:rPr>
          <w:sz w:val="21"/>
        </w:rPr>
        <w:t xml:space="preserve"> after the primary block, because that is the identifier </w:t>
      </w:r>
      <w:r>
        <w:rPr>
          <w:rFonts w:ascii="Menlo" w:hAnsi="Menlo"/>
          <w:color w:val="1A3E6E"/>
          <w:sz w:val="19"/>
        </w:rPr>
        <w:t>config/paths.yaml</w:t>
      </w:r>
      <w:r>
        <w:rPr>
          <w:sz w:val="21"/>
        </w:rPr>
        <w:t xml:space="preserve"> resolves against.</w:t>
      </w:r>
    </w:p>
    <w:p>
      <w:pPr>
        <w:spacing w:after="140"/>
      </w:pPr>
      <w:r>
        <w:rPr>
          <w:sz w:val="21"/>
        </w:rPr>
        <w:t>Each donor has other tissue collections in HuBMAP; the blocks above are the lung single-nucleus datasets this course uses.</w:t>
      </w:r>
    </w:p>
    <w:p>
      <w:pPr>
        <w:pStyle w:val="Heading4"/>
      </w:pPr>
      <w:r>
        <w:rPr>
          <w:color w:val="1F4E79"/>
        </w:rPr>
        <w:t>Directory layout</w:t>
      </w:r>
    </w:p>
    <w:p>
      <w:pPr>
        <w:spacing w:before="80" w:after="160"/>
        <w:ind w:left="317"/>
        <w:shd w:val="clear" w:fill="F4F4F4"/>
      </w:pPr>
      <w:r>
        <w:rPr>
          <w:rFonts w:ascii="Menlo" w:hAnsi="Menlo"/>
          <w:sz w:val="17"/>
        </w:rPr>
        <w:t>CFDE_Training_Final/</w:t>
        <w:br/>
        <w:t xml:space="preserve">  README.md                              quick start and requirements</w:t>
        <w:br/>
        <w:t xml:space="preserve">  environment.yml                        conda environment (CFDE_lung_env)</w:t>
        <w:br/>
        <w:t xml:space="preserve">  requirements.txt                       pip alternative</w:t>
        <w:br/>
        <w:t xml:space="preserve">  config/paths.yaml                      all paths, thresholds and cohort identifiers</w:t>
        <w:br/>
        <w:t xml:space="preserve">  notebooks/                             Modules 1 to 4</w:t>
        <w:br/>
        <w:t xml:space="preserve">  scripts/                               analysis package</w:t>
        <w:br/>
        <w:t xml:space="preserve">  docs/                                  the module documents, Modules 0 to 5</w:t>
        <w:br/>
        <w:t xml:space="preserve">  outputs/                               committed tables, figures and reports</w:t>
        <w:br/>
        <w:t xml:space="preserve">  data/</w:t>
        <w:br/>
        <w:t xml:space="preserve">    genesets/                            shipped with the package (2.17 MB)</w:t>
        <w:br/>
        <w:t xml:space="preserve">    reference/                           shipped: orthologs, ERCC expected fold changes</w:t>
        <w:br/>
        <w:t xml:space="preserve">    source/                              YOU DOWNLOAD INTO HERE (Appendix A)</w:t>
        <w:br/>
        <w:t xml:space="preserve">      HUBMAP/</w:t>
        <w:br/>
        <w:t xml:space="preserve">        Donor_1/snRNAseq/HBM347.VDHS.379/{raw_expr.h5ad, HBM347.VDHS.379.tsv}</w:t>
        <w:br/>
        <w:t xml:space="preserve">        Donor_2/snRNAseq/HBM473.NKMR.872/{raw_expr.h5ad, HBM473.NKMR.872.tsv}</w:t>
        <w:br/>
        <w:t xml:space="preserve">        Donor_2/SNAREseq/HBM828.GPVG.252/multiome_mofa.hdf5</w:t>
        <w:br/>
        <w:t xml:space="preserve">        Donor_3/snRNAseq/HBM484.RGWP.797/{raw_expr.h5ad, HBM484.RGWP.797.tsv}</w:t>
        <w:br/>
        <w:t xml:space="preserve">        Donor_4/snRNAseq/HBM379.QCJT.435/{raw_expr.h5ad, HBM379.QCJT.435.tsv}</w:t>
        <w:br/>
        <w:t xml:space="preserve">      GTEX/</w:t>
        <w:br/>
        <w:t xml:space="preserve">      GEO/GSE150910/</w:t>
        <w:br/>
        <w:t xml:space="preserve">      OSDR/OSD-248/OSD-248_metadata_GLDS-248-ISA/</w:t>
        <w:br/>
        <w:t xml:space="preserve">    processed/                           written by Module 1, not downloaded</w:t>
      </w:r>
    </w:p>
    <w:p>
      <w:pPr>
        <w:pStyle w:val="Heading4"/>
      </w:pPr>
      <w:r>
        <w:rPr>
          <w:color w:val="1F4E79"/>
        </w:rPr>
        <w:t>Option 1: minimum download, recommended</w:t>
      </w:r>
    </w:p>
    <w:p>
      <w:pPr>
        <w:spacing w:after="140"/>
      </w:pPr>
      <w:r>
        <w:rPr>
          <w:sz w:val="21"/>
        </w:rPr>
        <w:t xml:space="preserve">Approximately </w:t>
      </w:r>
      <w:r>
        <w:rPr>
          <w:b/>
          <w:sz w:val="21"/>
        </w:rPr>
        <w:t>814.87 MB</w:t>
      </w:r>
      <w:r>
        <w:rPr>
          <w:sz w:val="21"/>
        </w:rPr>
        <w:t xml:space="preserve"> across 20 files. This is the recommended option and it is sufficient to reproduce every result in the course. Every file is openly accessible without an account, and each one is resolved from </w:t>
      </w:r>
      <w:r>
        <w:rPr>
          <w:rFonts w:ascii="Menlo" w:hAnsi="Menlo"/>
          <w:color w:val="1A3E6E"/>
          <w:sz w:val="19"/>
        </w:rPr>
        <w:t>config/paths.yaml</w:t>
      </w:r>
      <w:r>
        <w:rPr>
          <w:sz w:val="21"/>
        </w:rPr>
        <w:t>, so nothing here is optional for the default path. Appendix A gives the terminal commands.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
              <w:rPr>
                <w:b/>
                <w:sz w:val="17"/>
              </w:rPr>
              <w:t>Resource</w:t>
            </w:r>
          </w:p>
        </w:tc>
        <w:tc>
          <w:tcPr>
            <w:tcW w:type="dxa" w:w="2340"/>
            <w:shd w:val="clear" w:fill="DCE6F1"/>
          </w:tcPr>
          <w:p>
            <w:r/>
            <w:r>
              <w:rPr>
                <w:b/>
                <w:sz w:val="17"/>
              </w:rPr>
              <w:t>File</w:t>
            </w:r>
          </w:p>
        </w:tc>
        <w:tc>
          <w:tcPr>
            <w:tcW w:type="dxa" w:w="2340"/>
            <w:shd w:val="clear" w:fill="DCE6F1"/>
          </w:tcPr>
          <w:p>
            <w:r/>
            <w:r>
              <w:rPr>
                <w:b/>
                <w:sz w:val="17"/>
              </w:rPr>
              <w:t>What it provides</w:t>
            </w:r>
          </w:p>
        </w:tc>
        <w:tc>
          <w:tcPr>
            <w:tcW w:type="dxa" w:w="2340"/>
            <w:shd w:val="clear" w:fill="DCE6F1"/>
          </w:tcPr>
          <w:p>
            <w:r/>
            <w:r>
              <w:rPr>
                <w:b/>
                <w:sz w:val="17"/>
              </w:rPr>
              <w:t>MB</w:t>
            </w:r>
          </w:p>
        </w:tc>
      </w:tr>
      <w:tr>
        <w:tc>
          <w:tcPr>
            <w:tcW w:type="dxa" w:w="2340"/>
          </w:tcPr>
          <w:p>
            <w:r/>
            <w:r>
              <w:rPr>
                <w:sz w:val="17"/>
              </w:rPr>
              <w:t>HuBMAP Donor_1</w:t>
            </w:r>
          </w:p>
        </w:tc>
        <w:tc>
          <w:tcPr>
            <w:tcW w:type="dxa" w:w="2340"/>
          </w:tcPr>
          <w:p>
            <w:r/>
            <w:r>
              <w:rPr>
                <w:rFonts w:ascii="Menlo" w:hAnsi="Menlo"/>
                <w:color w:val="1A3E6E"/>
                <w:sz w:val="15"/>
              </w:rPr>
              <w:t>raw_expr.h5ad</w:t>
            </w:r>
          </w:p>
        </w:tc>
        <w:tc>
          <w:tcPr>
            <w:tcW w:type="dxa" w:w="2340"/>
          </w:tcPr>
          <w:p>
            <w:r/>
            <w:r>
              <w:rPr>
                <w:sz w:val="17"/>
              </w:rPr>
              <w:t>Raw counts matrix for QC</w:t>
            </w:r>
          </w:p>
        </w:tc>
        <w:tc>
          <w:tcPr>
            <w:tcW w:type="dxa" w:w="2340"/>
          </w:tcPr>
          <w:p>
            <w:r/>
            <w:r>
              <w:rPr>
                <w:sz w:val="17"/>
              </w:rPr>
              <w:t>68.57</w:t>
            </w:r>
          </w:p>
        </w:tc>
      </w:tr>
      <w:tr>
        <w:tc>
          <w:tcPr>
            <w:tcW w:type="dxa" w:w="2340"/>
          </w:tcPr>
          <w:p>
            <w:r/>
            <w:r>
              <w:rPr>
                <w:sz w:val="17"/>
              </w:rPr>
              <w:t>HuBMAP Donor_1</w:t>
            </w:r>
          </w:p>
        </w:tc>
        <w:tc>
          <w:tcPr>
            <w:tcW w:type="dxa" w:w="2340"/>
          </w:tcPr>
          <w:p>
            <w:r/>
            <w:r>
              <w:rPr>
                <w:rFonts w:ascii="Menlo" w:hAnsi="Menlo"/>
                <w:color w:val="1A3E6E"/>
                <w:sz w:val="15"/>
              </w:rPr>
              <w:t>HBM347.VDHS.379.tsv</w:t>
            </w:r>
          </w:p>
        </w:tc>
        <w:tc>
          <w:tcPr>
            <w:tcW w:type="dxa" w:w="2340"/>
          </w:tcPr>
          <w:p>
            <w:r/>
            <w:r>
              <w:rPr>
                <w:sz w:val="17"/>
              </w:rPr>
              <w:t>Block metadata for provenance and inventory</w:t>
            </w:r>
          </w:p>
        </w:tc>
        <w:tc>
          <w:tcPr>
            <w:tcW w:type="dxa" w:w="2340"/>
          </w:tcPr>
          <w:p>
            <w:r/>
            <w:r>
              <w:rPr>
                <w:sz w:val="17"/>
              </w:rPr>
              <w:t>0.02</w:t>
            </w:r>
          </w:p>
        </w:tc>
      </w:tr>
      <w:tr>
        <w:tc>
          <w:tcPr>
            <w:tcW w:type="dxa" w:w="2340"/>
          </w:tcPr>
          <w:p>
            <w:r/>
            <w:r>
              <w:rPr>
                <w:sz w:val="17"/>
              </w:rPr>
              <w:t>HuBMAP Donor_2</w:t>
            </w:r>
          </w:p>
        </w:tc>
        <w:tc>
          <w:tcPr>
            <w:tcW w:type="dxa" w:w="2340"/>
          </w:tcPr>
          <w:p>
            <w:r/>
            <w:r>
              <w:rPr>
                <w:rFonts w:ascii="Menlo" w:hAnsi="Menlo"/>
                <w:color w:val="1A3E6E"/>
                <w:sz w:val="15"/>
              </w:rPr>
              <w:t>raw_expr.h5ad</w:t>
            </w:r>
          </w:p>
        </w:tc>
        <w:tc>
          <w:tcPr>
            <w:tcW w:type="dxa" w:w="2340"/>
          </w:tcPr>
          <w:p>
            <w:r/>
            <w:r>
              <w:rPr>
                <w:sz w:val="17"/>
              </w:rPr>
              <w:t>Raw counts matrix for QC</w:t>
            </w:r>
          </w:p>
        </w:tc>
        <w:tc>
          <w:tcPr>
            <w:tcW w:type="dxa" w:w="2340"/>
          </w:tcPr>
          <w:p>
            <w:r/>
            <w:r>
              <w:rPr>
                <w:sz w:val="17"/>
              </w:rPr>
              <w:t>104.55</w:t>
            </w:r>
          </w:p>
        </w:tc>
      </w:tr>
      <w:tr>
        <w:tc>
          <w:tcPr>
            <w:tcW w:type="dxa" w:w="2340"/>
          </w:tcPr>
          <w:p>
            <w:r/>
            <w:r>
              <w:rPr>
                <w:sz w:val="17"/>
              </w:rPr>
              <w:t>HuBMAP Donor_2</w:t>
            </w:r>
          </w:p>
        </w:tc>
        <w:tc>
          <w:tcPr>
            <w:tcW w:type="dxa" w:w="2340"/>
          </w:tcPr>
          <w:p>
            <w:r/>
            <w:r>
              <w:rPr>
                <w:rFonts w:ascii="Menlo" w:hAnsi="Menlo"/>
                <w:color w:val="1A3E6E"/>
                <w:sz w:val="15"/>
              </w:rPr>
              <w:t>HBM473.NKMR.872.tsv</w:t>
            </w:r>
          </w:p>
        </w:tc>
        <w:tc>
          <w:tcPr>
            <w:tcW w:type="dxa" w:w="2340"/>
          </w:tcPr>
          <w:p>
            <w:r/>
            <w:r>
              <w:rPr>
                <w:sz w:val="17"/>
              </w:rPr>
              <w:t>Block metadata</w:t>
            </w:r>
          </w:p>
        </w:tc>
        <w:tc>
          <w:tcPr>
            <w:tcW w:type="dxa" w:w="2340"/>
          </w:tcPr>
          <w:p>
            <w:r/>
            <w:r>
              <w:rPr>
                <w:sz w:val="17"/>
              </w:rPr>
              <w:t>0.02</w:t>
            </w:r>
          </w:p>
        </w:tc>
      </w:tr>
      <w:tr>
        <w:tc>
          <w:tcPr>
            <w:tcW w:type="dxa" w:w="2340"/>
          </w:tcPr>
          <w:p>
            <w:r/>
            <w:r>
              <w:rPr>
                <w:sz w:val="17"/>
              </w:rPr>
              <w:t>HuBMAP Donor_3</w:t>
            </w:r>
          </w:p>
        </w:tc>
        <w:tc>
          <w:tcPr>
            <w:tcW w:type="dxa" w:w="2340"/>
          </w:tcPr>
          <w:p>
            <w:r/>
            <w:r>
              <w:rPr>
                <w:rFonts w:ascii="Menlo" w:hAnsi="Menlo"/>
                <w:color w:val="1A3E6E"/>
                <w:sz w:val="15"/>
              </w:rPr>
              <w:t>raw_expr.h5ad</w:t>
            </w:r>
          </w:p>
        </w:tc>
        <w:tc>
          <w:tcPr>
            <w:tcW w:type="dxa" w:w="2340"/>
          </w:tcPr>
          <w:p>
            <w:r/>
            <w:r>
              <w:rPr>
                <w:sz w:val="17"/>
              </w:rPr>
              <w:t>Raw counts matrix for QC</w:t>
            </w:r>
          </w:p>
        </w:tc>
        <w:tc>
          <w:tcPr>
            <w:tcW w:type="dxa" w:w="2340"/>
          </w:tcPr>
          <w:p>
            <w:r/>
            <w:r>
              <w:rPr>
                <w:sz w:val="17"/>
              </w:rPr>
              <w:t>150.92</w:t>
            </w:r>
          </w:p>
        </w:tc>
      </w:tr>
      <w:tr>
        <w:tc>
          <w:tcPr>
            <w:tcW w:type="dxa" w:w="2340"/>
          </w:tcPr>
          <w:p>
            <w:r/>
            <w:r>
              <w:rPr>
                <w:sz w:val="17"/>
              </w:rPr>
              <w:t>HuBMAP Donor_3</w:t>
            </w:r>
          </w:p>
        </w:tc>
        <w:tc>
          <w:tcPr>
            <w:tcW w:type="dxa" w:w="2340"/>
          </w:tcPr>
          <w:p>
            <w:r/>
            <w:r>
              <w:rPr>
                <w:rFonts w:ascii="Menlo" w:hAnsi="Menlo"/>
                <w:color w:val="1A3E6E"/>
                <w:sz w:val="15"/>
              </w:rPr>
              <w:t>HBM484.RGWP.797.tsv</w:t>
            </w:r>
          </w:p>
        </w:tc>
        <w:tc>
          <w:tcPr>
            <w:tcW w:type="dxa" w:w="2340"/>
          </w:tcPr>
          <w:p>
            <w:r/>
            <w:r>
              <w:rPr>
                <w:sz w:val="17"/>
              </w:rPr>
              <w:t>Block metadata</w:t>
            </w:r>
          </w:p>
        </w:tc>
        <w:tc>
          <w:tcPr>
            <w:tcW w:type="dxa" w:w="2340"/>
          </w:tcPr>
          <w:p>
            <w:r/>
            <w:r>
              <w:rPr>
                <w:sz w:val="17"/>
              </w:rPr>
              <w:t>0.02</w:t>
            </w:r>
          </w:p>
        </w:tc>
      </w:tr>
      <w:tr>
        <w:tc>
          <w:tcPr>
            <w:tcW w:type="dxa" w:w="2340"/>
          </w:tcPr>
          <w:p>
            <w:r/>
            <w:r>
              <w:rPr>
                <w:sz w:val="17"/>
              </w:rPr>
              <w:t>HuBMAP Donor_4</w:t>
            </w:r>
          </w:p>
        </w:tc>
        <w:tc>
          <w:tcPr>
            <w:tcW w:type="dxa" w:w="2340"/>
          </w:tcPr>
          <w:p>
            <w:r/>
            <w:r>
              <w:rPr>
                <w:rFonts w:ascii="Menlo" w:hAnsi="Menlo"/>
                <w:color w:val="1A3E6E"/>
                <w:sz w:val="15"/>
              </w:rPr>
              <w:t>raw_expr.h5ad</w:t>
            </w:r>
          </w:p>
        </w:tc>
        <w:tc>
          <w:tcPr>
            <w:tcW w:type="dxa" w:w="2340"/>
          </w:tcPr>
          <w:p>
            <w:r/>
            <w:r>
              <w:rPr>
                <w:sz w:val="17"/>
              </w:rPr>
              <w:t>Raw counts matrix for QC</w:t>
            </w:r>
          </w:p>
        </w:tc>
        <w:tc>
          <w:tcPr>
            <w:tcW w:type="dxa" w:w="2340"/>
          </w:tcPr>
          <w:p>
            <w:r/>
            <w:r>
              <w:rPr>
                <w:sz w:val="17"/>
              </w:rPr>
              <w:t>70.56</w:t>
            </w:r>
          </w:p>
        </w:tc>
      </w:tr>
      <w:tr>
        <w:tc>
          <w:tcPr>
            <w:tcW w:type="dxa" w:w="2340"/>
          </w:tcPr>
          <w:p>
            <w:r/>
            <w:r>
              <w:rPr>
                <w:sz w:val="17"/>
              </w:rPr>
              <w:t>HuBMAP Donor_4</w:t>
            </w:r>
          </w:p>
        </w:tc>
        <w:tc>
          <w:tcPr>
            <w:tcW w:type="dxa" w:w="2340"/>
          </w:tcPr>
          <w:p>
            <w:r/>
            <w:r>
              <w:rPr>
                <w:rFonts w:ascii="Menlo" w:hAnsi="Menlo"/>
                <w:color w:val="1A3E6E"/>
                <w:sz w:val="15"/>
              </w:rPr>
              <w:t>HBM379.QCJT.435.tsv</w:t>
            </w:r>
          </w:p>
        </w:tc>
        <w:tc>
          <w:tcPr>
            <w:tcW w:type="dxa" w:w="2340"/>
          </w:tcPr>
          <w:p>
            <w:r/>
            <w:r>
              <w:rPr>
                <w:sz w:val="17"/>
              </w:rPr>
              <w:t>Block metadata</w:t>
            </w:r>
          </w:p>
        </w:tc>
        <w:tc>
          <w:tcPr>
            <w:tcW w:type="dxa" w:w="2340"/>
          </w:tcPr>
          <w:p>
            <w:r/>
            <w:r>
              <w:rPr>
                <w:sz w:val="17"/>
              </w:rPr>
              <w:t>0.02</w:t>
            </w:r>
          </w:p>
        </w:tc>
      </w:tr>
      <w:tr>
        <w:tc>
          <w:tcPr>
            <w:tcW w:type="dxa" w:w="2340"/>
          </w:tcPr>
          <w:p>
            <w:r/>
            <w:r>
              <w:rPr>
                <w:sz w:val="17"/>
              </w:rPr>
              <w:t>HuBMAP multiome</w:t>
            </w:r>
          </w:p>
        </w:tc>
        <w:tc>
          <w:tcPr>
            <w:tcW w:type="dxa" w:w="2340"/>
          </w:tcPr>
          <w:p>
            <w:r/>
            <w:r>
              <w:rPr>
                <w:rFonts w:ascii="Menlo" w:hAnsi="Menlo"/>
                <w:color w:val="1A3E6E"/>
                <w:sz w:val="15"/>
              </w:rPr>
              <w:t>multiome_mofa.hdf5</w:t>
            </w:r>
          </w:p>
        </w:tc>
        <w:tc>
          <w:tcPr>
            <w:tcW w:type="dxa" w:w="2340"/>
          </w:tcPr>
          <w:p>
            <w:r/>
            <w:r>
              <w:rPr>
                <w:sz w:val="17"/>
              </w:rPr>
              <w:t>MOFA factors and variance, the Module 3 default path</w:t>
            </w:r>
          </w:p>
        </w:tc>
        <w:tc>
          <w:tcPr>
            <w:tcW w:type="dxa" w:w="2340"/>
          </w:tcPr>
          <w:p>
            <w:r/>
            <w:r>
              <w:rPr>
                <w:sz w:val="17"/>
              </w:rPr>
              <w:t>140.78</w:t>
            </w:r>
          </w:p>
        </w:tc>
      </w:tr>
      <w:tr>
        <w:tc>
          <w:tcPr>
            <w:tcW w:type="dxa" w:w="2340"/>
          </w:tcPr>
          <w:p>
            <w:r/>
            <w:r>
              <w:rPr>
                <w:sz w:val="17"/>
              </w:rPr>
              <w:t>GTEx v10</w:t>
            </w:r>
          </w:p>
        </w:tc>
        <w:tc>
          <w:tcPr>
            <w:tcW w:type="dxa" w:w="2340"/>
          </w:tcPr>
          <w:p>
            <w:r/>
            <w:r>
              <w:rPr>
                <w:rFonts w:ascii="Menlo" w:hAnsi="Menlo"/>
                <w:color w:val="1A3E6E"/>
                <w:sz w:val="15"/>
              </w:rPr>
              <w:t>gene_tpm_v10_lung.gct.gz</w:t>
            </w:r>
          </w:p>
        </w:tc>
        <w:tc>
          <w:tcPr>
            <w:tcW w:type="dxa" w:w="2340"/>
          </w:tcPr>
          <w:p>
            <w:r/>
            <w:r>
              <w:rPr>
                <w:sz w:val="17"/>
              </w:rPr>
              <w:t>Expression levels for the HuBMAP to GTEx bridge</w:t>
            </w:r>
          </w:p>
        </w:tc>
        <w:tc>
          <w:tcPr>
            <w:tcW w:type="dxa" w:w="2340"/>
          </w:tcPr>
          <w:p>
            <w:r/>
            <w:r>
              <w:rPr>
                <w:sz w:val="17"/>
              </w:rPr>
              <w:t>77.60</w:t>
            </w:r>
          </w:p>
        </w:tc>
      </w:tr>
      <w:tr>
        <w:tc>
          <w:tcPr>
            <w:tcW w:type="dxa" w:w="2340"/>
          </w:tcPr>
          <w:p>
            <w:r/>
            <w:r>
              <w:rPr>
                <w:sz w:val="17"/>
              </w:rPr>
              <w:t>GTEx v10</w:t>
            </w:r>
          </w:p>
        </w:tc>
        <w:tc>
          <w:tcPr>
            <w:tcW w:type="dxa" w:w="2340"/>
          </w:tcPr>
          <w:p>
            <w:r/>
            <w:r>
              <w:rPr>
                <w:rFonts w:ascii="Menlo" w:hAnsi="Menlo"/>
                <w:color w:val="1A3E6E"/>
                <w:sz w:val="15"/>
              </w:rPr>
              <w:t>gene_reads_v10_lung.gct.gz</w:t>
            </w:r>
          </w:p>
        </w:tc>
        <w:tc>
          <w:tcPr>
            <w:tcW w:type="dxa" w:w="2340"/>
          </w:tcPr>
          <w:p>
            <w:r/>
            <w:r>
              <w:rPr>
                <w:sz w:val="17"/>
              </w:rPr>
              <w:t>Counts for the aging differential expression</w:t>
            </w:r>
          </w:p>
        </w:tc>
        <w:tc>
          <w:tcPr>
            <w:tcW w:type="dxa" w:w="2340"/>
          </w:tcPr>
          <w:p>
            <w:r/>
            <w:r>
              <w:rPr>
                <w:sz w:val="17"/>
              </w:rPr>
              <w:t>32.49</w:t>
            </w:r>
          </w:p>
        </w:tc>
      </w:tr>
      <w:tr>
        <w:tc>
          <w:tcPr>
            <w:tcW w:type="dxa" w:w="2340"/>
          </w:tcPr>
          <w:p>
            <w:r/>
            <w:r>
              <w:rPr>
                <w:sz w:val="17"/>
              </w:rPr>
              <w:t>GTEx v10</w:t>
            </w:r>
          </w:p>
        </w:tc>
        <w:tc>
          <w:tcPr>
            <w:tcW w:type="dxa" w:w="2340"/>
          </w:tcPr>
          <w:p>
            <w:r/>
            <w:r>
              <w:rPr>
                <w:rFonts w:ascii="Menlo" w:hAnsi="Menlo"/>
                <w:color w:val="1A3E6E"/>
                <w:sz w:val="15"/>
              </w:rPr>
              <w:t>GTEx_Analysis_v10_Annotations_SampleAttributesDS.txt</w:t>
            </w:r>
          </w:p>
        </w:tc>
        <w:tc>
          <w:tcPr>
            <w:tcW w:type="dxa" w:w="2340"/>
          </w:tcPr>
          <w:p>
            <w:r/>
            <w:r>
              <w:rPr>
                <w:sz w:val="17"/>
              </w:rPr>
              <w:t>Sample metadata: tissue, ischemic time</w:t>
            </w:r>
          </w:p>
        </w:tc>
        <w:tc>
          <w:tcPr>
            <w:tcW w:type="dxa" w:w="2340"/>
          </w:tcPr>
          <w:p>
            <w:r/>
            <w:r>
              <w:rPr>
                <w:sz w:val="17"/>
              </w:rPr>
              <w:t>38.50</w:t>
            </w:r>
          </w:p>
        </w:tc>
      </w:tr>
      <w:tr>
        <w:tc>
          <w:tcPr>
            <w:tcW w:type="dxa" w:w="2340"/>
          </w:tcPr>
          <w:p>
            <w:r/>
            <w:r>
              <w:rPr>
                <w:sz w:val="17"/>
              </w:rPr>
              <w:t>GTEx v10</w:t>
            </w:r>
          </w:p>
        </w:tc>
        <w:tc>
          <w:tcPr>
            <w:tcW w:type="dxa" w:w="2340"/>
          </w:tcPr>
          <w:p>
            <w:r/>
            <w:r>
              <w:rPr>
                <w:rFonts w:ascii="Menlo" w:hAnsi="Menlo"/>
                <w:color w:val="1A3E6E"/>
                <w:sz w:val="15"/>
              </w:rPr>
              <w:t>GTEx_Analysis_v10_Annotations_SubjectPhenotypesDS.txt</w:t>
            </w:r>
          </w:p>
        </w:tc>
        <w:tc>
          <w:tcPr>
            <w:tcW w:type="dxa" w:w="2340"/>
          </w:tcPr>
          <w:p>
            <w:r/>
            <w:r>
              <w:rPr>
                <w:sz w:val="17"/>
              </w:rPr>
              <w:t>Subject metadata: age bracket, sex</w:t>
            </w:r>
          </w:p>
        </w:tc>
        <w:tc>
          <w:tcPr>
            <w:tcW w:type="dxa" w:w="2340"/>
          </w:tcPr>
          <w:p>
            <w:r/>
            <w:r>
              <w:rPr>
                <w:sz w:val="17"/>
              </w:rPr>
              <w:t>0.02</w:t>
            </w:r>
          </w:p>
        </w:tc>
      </w:tr>
      <w:tr>
        <w:tc>
          <w:tcPr>
            <w:tcW w:type="dxa" w:w="2340"/>
          </w:tcPr>
          <w:p>
            <w:r/>
            <w:r>
              <w:rPr>
                <w:sz w:val="17"/>
              </w:rPr>
              <w:t>GEO GSE150910</w:t>
            </w:r>
          </w:p>
        </w:tc>
        <w:tc>
          <w:tcPr>
            <w:tcW w:type="dxa" w:w="2340"/>
          </w:tcPr>
          <w:p>
            <w:r/>
            <w:r>
              <w:rPr>
                <w:rFonts w:ascii="Menlo" w:hAnsi="Menlo"/>
                <w:color w:val="1A3E6E"/>
                <w:sz w:val="15"/>
              </w:rPr>
              <w:t>GSE150910_gene-level_count_file.csv.gz</w:t>
            </w:r>
          </w:p>
        </w:tc>
        <w:tc>
          <w:tcPr>
            <w:tcW w:type="dxa" w:w="2340"/>
          </w:tcPr>
          <w:p>
            <w:r/>
            <w:r>
              <w:rPr>
                <w:sz w:val="17"/>
              </w:rPr>
              <w:t>Counts for the IPF versus control contrast</w:t>
            </w:r>
          </w:p>
        </w:tc>
        <w:tc>
          <w:tcPr>
            <w:tcW w:type="dxa" w:w="2340"/>
          </w:tcPr>
          <w:p>
            <w:r/>
            <w:r>
              <w:rPr>
                <w:sz w:val="17"/>
              </w:rPr>
              <w:t>8.12</w:t>
            </w:r>
          </w:p>
        </w:tc>
      </w:tr>
      <w:tr>
        <w:tc>
          <w:tcPr>
            <w:tcW w:type="dxa" w:w="2340"/>
          </w:tcPr>
          <w:p>
            <w:r/>
            <w:r>
              <w:rPr>
                <w:sz w:val="17"/>
              </w:rPr>
              <w:t>GEO GSE150910</w:t>
            </w:r>
          </w:p>
        </w:tc>
        <w:tc>
          <w:tcPr>
            <w:tcW w:type="dxa" w:w="2340"/>
          </w:tcPr>
          <w:p>
            <w:r/>
            <w:r>
              <w:rPr>
                <w:rFonts w:ascii="Menlo" w:hAnsi="Menlo"/>
                <w:color w:val="1A3E6E"/>
                <w:sz w:val="15"/>
              </w:rPr>
              <w:t>GSE150910_series_matrix.txt.gz</w:t>
            </w:r>
          </w:p>
        </w:tc>
        <w:tc>
          <w:tcPr>
            <w:tcW w:type="dxa" w:w="2340"/>
          </w:tcPr>
          <w:p>
            <w:r/>
            <w:r>
              <w:rPr>
                <w:sz w:val="17"/>
              </w:rPr>
              <w:t>Sample annotations and phenotype</w:t>
            </w:r>
          </w:p>
        </w:tc>
        <w:tc>
          <w:tcPr>
            <w:tcW w:type="dxa" w:w="2340"/>
          </w:tcPr>
          <w:p>
            <w:r/>
            <w:r>
              <w:rPr>
                <w:sz w:val="17"/>
              </w:rPr>
              <w:t>0.01</w:t>
            </w:r>
          </w:p>
        </w:tc>
      </w:tr>
      <w:tr>
        <w:tc>
          <w:tcPr>
            <w:tcW w:type="dxa" w:w="2340"/>
          </w:tcPr>
          <w:p>
            <w:r/>
            <w:r>
              <w:rPr>
                <w:sz w:val="17"/>
              </w:rPr>
              <w:t>OSDR OSD-248</w:t>
            </w:r>
          </w:p>
        </w:tc>
        <w:tc>
          <w:tcPr>
            <w:tcW w:type="dxa" w:w="2340"/>
          </w:tcPr>
          <w:p>
            <w:r/>
            <w:r>
              <w:rPr>
                <w:rFonts w:ascii="Menlo" w:hAnsi="Menlo"/>
                <w:color w:val="1A3E6E"/>
                <w:sz w:val="15"/>
              </w:rPr>
              <w:t>GLDS-248_rna_seq_RSEM_Unnormalized_Counts_rRNArm_GLbulkRNAseq.csv</w:t>
            </w:r>
          </w:p>
        </w:tc>
        <w:tc>
          <w:tcPr>
            <w:tcW w:type="dxa" w:w="2340"/>
          </w:tcPr>
          <w:p>
            <w:r/>
            <w:r>
              <w:rPr>
                <w:sz w:val="17"/>
              </w:rPr>
              <w:t>RSEM counts, rounded for pydeseq2</w:t>
            </w:r>
          </w:p>
        </w:tc>
        <w:tc>
          <w:tcPr>
            <w:tcW w:type="dxa" w:w="2340"/>
          </w:tcPr>
          <w:p>
            <w:r/>
            <w:r>
              <w:rPr>
                <w:sz w:val="17"/>
              </w:rPr>
              <w:t>10.90</w:t>
            </w:r>
          </w:p>
        </w:tc>
      </w:tr>
      <w:tr>
        <w:tc>
          <w:tcPr>
            <w:tcW w:type="dxa" w:w="2340"/>
          </w:tcPr>
          <w:p>
            <w:r/>
            <w:r>
              <w:rPr>
                <w:sz w:val="17"/>
              </w:rPr>
              <w:t>OSDR OSD-248</w:t>
            </w:r>
          </w:p>
        </w:tc>
        <w:tc>
          <w:tcPr>
            <w:tcW w:type="dxa" w:w="2340"/>
          </w:tcPr>
          <w:p>
            <w:r/>
            <w:r>
              <w:rPr>
                <w:rFonts w:ascii="Menlo" w:hAnsi="Menlo"/>
                <w:color w:val="1A3E6E"/>
                <w:sz w:val="15"/>
              </w:rPr>
              <w:t>GLDS-248_rna_seq_differential_expression_rRNArm_GLbulkRNAseq.csv</w:t>
            </w:r>
          </w:p>
        </w:tc>
        <w:tc>
          <w:tcPr>
            <w:tcW w:type="dxa" w:w="2340"/>
          </w:tcPr>
          <w:p>
            <w:r/>
            <w:r>
              <w:rPr>
                <w:sz w:val="17"/>
              </w:rPr>
              <w:t>GeneLab differential expression, used as an independent cross-check</w:t>
            </w:r>
          </w:p>
        </w:tc>
        <w:tc>
          <w:tcPr>
            <w:tcW w:type="dxa" w:w="2340"/>
          </w:tcPr>
          <w:p>
            <w:r/>
            <w:r>
              <w:rPr>
                <w:sz w:val="17"/>
              </w:rPr>
              <w:t>111.54</w:t>
            </w:r>
          </w:p>
        </w:tc>
      </w:tr>
      <w:tr>
        <w:tc>
          <w:tcPr>
            <w:tcW w:type="dxa" w:w="2340"/>
          </w:tcPr>
          <w:p>
            <w:r/>
            <w:r>
              <w:rPr>
                <w:sz w:val="17"/>
              </w:rPr>
              <w:t>OSDR OSD-248</w:t>
            </w:r>
          </w:p>
        </w:tc>
        <w:tc>
          <w:tcPr>
            <w:tcW w:type="dxa" w:w="2340"/>
          </w:tcPr>
          <w:p>
            <w:r/>
            <w:r>
              <w:rPr>
                <w:rFonts w:ascii="Menlo" w:hAnsi="Menlo"/>
                <w:color w:val="1A3E6E"/>
                <w:sz w:val="15"/>
              </w:rPr>
              <w:t>GLDS-248_rna_seq_contrasts_GLbulkRNAseq.csv</w:t>
            </w:r>
          </w:p>
        </w:tc>
        <w:tc>
          <w:tcPr>
            <w:tcW w:type="dxa" w:w="2340"/>
          </w:tcPr>
          <w:p>
            <w:r/>
            <w:r>
              <w:rPr>
                <w:sz w:val="17"/>
              </w:rPr>
              <w:t>Contrast definitions naming the flight and ground arms</w:t>
            </w:r>
          </w:p>
        </w:tc>
        <w:tc>
          <w:tcPr>
            <w:tcW w:type="dxa" w:w="2340"/>
          </w:tcPr>
          <w:p>
            <w:r/>
            <w:r>
              <w:rPr>
                <w:sz w:val="17"/>
              </w:rPr>
              <w:t>0.01</w:t>
            </w:r>
          </w:p>
        </w:tc>
      </w:tr>
      <w:tr>
        <w:tc>
          <w:tcPr>
            <w:tcW w:type="dxa" w:w="2340"/>
          </w:tcPr>
          <w:p>
            <w:r/>
            <w:r>
              <w:rPr>
                <w:sz w:val="17"/>
              </w:rPr>
              <w:t>OSDR OSD-248</w:t>
            </w:r>
          </w:p>
        </w:tc>
        <w:tc>
          <w:tcPr>
            <w:tcW w:type="dxa" w:w="2340"/>
          </w:tcPr>
          <w:p>
            <w:r/>
            <w:r>
              <w:rPr>
                <w:rFonts w:ascii="Menlo" w:hAnsi="Menlo"/>
                <w:color w:val="1A3E6E"/>
                <w:sz w:val="15"/>
              </w:rPr>
              <w:t>OSD-248_metadata_GLDS-248-ISA/s_OSD-248.txt</w:t>
            </w:r>
          </w:p>
        </w:tc>
        <w:tc>
          <w:tcPr>
            <w:tcW w:type="dxa" w:w="2340"/>
          </w:tcPr>
          <w:p>
            <w:r/>
            <w:r>
              <w:rPr>
                <w:sz w:val="17"/>
              </w:rPr>
              <w:t>ISA sample metadata: arm, duration, euthanasia</w:t>
            </w:r>
          </w:p>
        </w:tc>
        <w:tc>
          <w:tcPr>
            <w:tcW w:type="dxa" w:w="2340"/>
          </w:tcPr>
          <w:p>
            <w:r/>
            <w:r>
              <w:rPr>
                <w:sz w:val="17"/>
              </w:rPr>
              <w:t>0.06</w:t>
            </w:r>
          </w:p>
        </w:tc>
      </w:tr>
      <w:tr>
        <w:tc>
          <w:tcPr>
            <w:tcW w:type="dxa" w:w="2340"/>
          </w:tcPr>
          <w:p>
            <w:r/>
            <w:r>
              <w:rPr>
                <w:sz w:val="17"/>
              </w:rPr>
              <w:t>OSDR OSD-248</w:t>
            </w:r>
          </w:p>
        </w:tc>
        <w:tc>
          <w:tcPr>
            <w:tcW w:type="dxa" w:w="2340"/>
          </w:tcPr>
          <w:p>
            <w:r/>
            <w:r>
              <w:rPr>
                <w:rFonts w:ascii="Menlo" w:hAnsi="Menlo"/>
                <w:color w:val="1A3E6E"/>
                <w:sz w:val="15"/>
              </w:rPr>
              <w:t>OSD-248_metadata_GLDS-248-ISA/a_OSD-248_transcription-profiling_rna-sequencing-(rna-seq)_Illumina NovaSeq 6000.txt</w:t>
            </w:r>
          </w:p>
        </w:tc>
        <w:tc>
          <w:tcPr>
            <w:tcW w:type="dxa" w:w="2340"/>
          </w:tcPr>
          <w:p>
            <w:r/>
            <w:r>
              <w:rPr>
                <w:sz w:val="17"/>
              </w:rPr>
              <w:t>ISA assay metadata: library prep, sequencer</w:t>
            </w:r>
          </w:p>
        </w:tc>
        <w:tc>
          <w:tcPr>
            <w:tcW w:type="dxa" w:w="2340"/>
          </w:tcPr>
          <w:p>
            <w:r/>
            <w:r>
              <w:rPr>
                <w:sz w:val="17"/>
              </w:rPr>
              <w:t>0.16</w:t>
            </w:r>
          </w:p>
        </w:tc>
      </w:tr>
    </w:tbl>
    <w:p>
      <w:pPr>
        <w:spacing w:after="140"/>
      </w:pPr>
      <w:r>
        <w:rPr>
          <w:sz w:val="21"/>
        </w:rPr>
        <w:t xml:space="preserve">Two further OSD-248 files are small and worth taking with the set: </w:t>
      </w:r>
      <w:r>
        <w:rPr>
          <w:rFonts w:ascii="Menlo" w:hAnsi="Menlo"/>
          <w:color w:val="1A3E6E"/>
          <w:sz w:val="19"/>
        </w:rPr>
        <w:t>GLDS-248_rna_seq_SampleTable_GLbulkRNAseq.csv</w:t>
      </w:r>
      <w:r>
        <w:rPr>
          <w:sz w:val="21"/>
        </w:rPr>
        <w:t xml:space="preserve"> (GeneLab sample table) and </w:t>
      </w:r>
      <w:r>
        <w:rPr>
          <w:rFonts w:ascii="Menlo" w:hAnsi="Menlo"/>
          <w:color w:val="1A3E6E"/>
          <w:sz w:val="19"/>
        </w:rPr>
        <w:t>OSD-248_metadata_GLDS-248-ISA/i_Investigation.txt</w:t>
      </w:r>
      <w:r>
        <w:rPr>
          <w:sz w:val="21"/>
        </w:rPr>
        <w:t xml:space="preserve"> (ISA investigation metadata, 0.02 MB).</w:t>
      </w:r>
    </w:p>
    <w:p>
      <w:pPr>
        <w:spacing w:after="140"/>
      </w:pPr>
      <w:r>
        <w:rPr>
          <w:sz w:val="21"/>
        </w:rPr>
        <w:t xml:space="preserve">Three points that decide whether Module 4 runs. </w:t>
      </w:r>
      <w:r>
        <w:rPr>
          <w:b/>
          <w:sz w:val="21"/>
        </w:rPr>
        <w:t>GTEx supplies both a counts matrix and a TPM matrix, and both are required</w:t>
      </w:r>
      <w:r>
        <w:rPr>
          <w:sz w:val="21"/>
        </w:rPr>
        <w:t xml:space="preserve">: the aging differential expression is computed on </w:t>
      </w:r>
      <w:r>
        <w:rPr>
          <w:rFonts w:ascii="Menlo" w:hAnsi="Menlo"/>
          <w:color w:val="1A3E6E"/>
          <w:sz w:val="19"/>
        </w:rPr>
        <w:t>gene_reads</w:t>
      </w:r>
      <w:r>
        <w:rPr>
          <w:sz w:val="21"/>
        </w:rPr>
        <w:t xml:space="preserve">, while </w:t>
      </w:r>
      <w:r>
        <w:rPr>
          <w:rFonts w:ascii="Menlo" w:hAnsi="Menlo"/>
          <w:color w:val="1A3E6E"/>
          <w:sz w:val="19"/>
        </w:rPr>
        <w:t>gene_tpm</w:t>
      </w:r>
      <w:r>
        <w:rPr>
          <w:sz w:val="21"/>
        </w:rPr>
        <w:t xml:space="preserve"> is used only for the expression-level comparison against HuBMAP pseudobulk. </w:t>
      </w:r>
      <w:r>
        <w:rPr>
          <w:b/>
          <w:sz w:val="21"/>
        </w:rPr>
        <w:t>The two GTEx annotation tables assign donors to age brackets</w:t>
      </w:r>
      <w:r>
        <w:rPr>
          <w:sz w:val="21"/>
        </w:rPr>
        <w:t xml:space="preserve">, so the aging contrast cannot be defined without them. And </w:t>
      </w:r>
      <w:r>
        <w:rPr>
          <w:b/>
          <w:sz w:val="21"/>
        </w:rPr>
        <w:t>the metadata files are not optional extras</w:t>
      </w:r>
      <w:r>
        <w:rPr>
          <w:sz w:val="21"/>
        </w:rPr>
        <w:t>: the OSD-248 ISA tables are what identify which samples are flight and which are ground.</w:t>
      </w:r>
    </w:p>
    <w:p>
      <w:pPr>
        <w:pStyle w:val="Heading4"/>
      </w:pPr>
      <w:r>
        <w:rPr>
          <w:color w:val="1F4E79"/>
        </w:rPr>
        <w:t>Option 2: full download, optional</w:t>
      </w:r>
    </w:p>
    <w:p>
      <w:pPr>
        <w:spacing w:after="140"/>
      </w:pPr>
      <w:r>
        <w:rPr>
          <w:sz w:val="21"/>
        </w:rPr>
        <w:t xml:space="preserve">A complete local mirror of every resource this course touched is roughly </w:t>
      </w:r>
      <w:r>
        <w:rPr>
          <w:b/>
          <w:sz w:val="21"/>
        </w:rPr>
        <w:t>65 GB</w:t>
      </w:r>
      <w:r>
        <w:rPr>
          <w:sz w:val="21"/>
        </w:rPr>
        <w:t>, and almost all of that mass is unused by Modules 1 to 4. Take this option only if you want offline Azimuth labels, the optional Module 3 MuData views, the spare HuBMAP blocks, or a second spaceflight study to explore.</w:t>
      </w:r>
    </w:p>
    <w:p>
      <w:pPr>
        <w:spacing w:after="140"/>
      </w:pPr>
      <w:r>
        <w:rPr>
          <w:sz w:val="21"/>
        </w:rPr>
        <w:t xml:space="preserve">HuBMAP delivers a processed dataset as a directory rather than a single file, so each block folder also contains </w:t>
      </w:r>
      <w:r>
        <w:rPr>
          <w:rFonts w:ascii="Menlo" w:hAnsi="Menlo"/>
          <w:color w:val="1A3E6E"/>
          <w:sz w:val="19"/>
        </w:rPr>
        <w:t>expr.h5ad</w:t>
      </w:r>
      <w:r>
        <w:rPr>
          <w:sz w:val="21"/>
        </w:rPr>
        <w:t xml:space="preserve">, </w:t>
      </w:r>
      <w:r>
        <w:rPr>
          <w:rFonts w:ascii="Menlo" w:hAnsi="Menlo"/>
          <w:color w:val="1A3E6E"/>
          <w:sz w:val="19"/>
        </w:rPr>
        <w:t>secondary_analysis.h5ad</w:t>
      </w:r>
      <w:r>
        <w:rPr>
          <w:sz w:val="21"/>
        </w:rPr>
        <w:t xml:space="preserve">, </w:t>
      </w:r>
      <w:r>
        <w:rPr>
          <w:rFonts w:ascii="Menlo" w:hAnsi="Menlo"/>
          <w:color w:val="1A3E6E"/>
          <w:sz w:val="19"/>
        </w:rPr>
        <w:t>scvelo_annotated.h5ad</w:t>
      </w:r>
      <w:r>
        <w:rPr>
          <w:sz w:val="21"/>
        </w:rPr>
        <w:t xml:space="preserve"> and portal QC output. For Donor_1 the teaching matrix is 68.57 MB and its </w:t>
      </w:r>
      <w:r>
        <w:rPr>
          <w:rFonts w:ascii="Menlo" w:hAnsi="Menlo"/>
          <w:color w:val="1A3E6E"/>
          <w:sz w:val="19"/>
        </w:rPr>
        <w:t>secondary_analysis.h5ad</w:t>
      </w:r>
      <w:r>
        <w:rPr>
          <w:sz w:val="21"/>
        </w:rPr>
        <w:t xml:space="preserve"> alone is 721 MB. Each donor also has alternate lung blocks that this course does not use, and the Donor_2 multiome has a full MuData object of about 14.7 GiB that only Module 3's optional path reads. Learners do not download that MuData file.</w:t>
      </w:r>
    </w:p>
    <w:p>
      <w:pPr>
        <w:spacing w:after="140"/>
      </w:pPr>
      <w:r>
        <w:rPr>
          <w:sz w:val="21"/>
        </w:rPr>
        <w:t xml:space="preserve">The one file worth weighing is </w:t>
      </w:r>
      <w:r>
        <w:rPr>
          <w:rFonts w:ascii="Menlo" w:hAnsi="Menlo"/>
          <w:color w:val="1A3E6E"/>
          <w:sz w:val="19"/>
        </w:rPr>
        <w:t>secondary_analysis.h5ad</w:t>
      </w:r>
      <w:r>
        <w:rPr>
          <w:sz w:val="21"/>
        </w:rPr>
        <w:t xml:space="preserve">, which carries the Azimuth cell-type labels. The pipeline does not require it: labels come from the shipped cache, or are read directly from the remote file when </w:t>
      </w:r>
      <w:r>
        <w:rPr>
          <w:rFonts w:ascii="Menlo" w:hAnsi="Menlo"/>
          <w:color w:val="1A3E6E"/>
          <w:sz w:val="19"/>
        </w:rPr>
        <w:t>module2.labels.fetch_remote</w:t>
      </w:r>
      <w:r>
        <w:rPr>
          <w:sz w:val="21"/>
        </w:rPr>
        <w:t xml:space="preserve"> is set to </w:t>
      </w:r>
      <w:r>
        <w:rPr>
          <w:rFonts w:ascii="Menlo" w:hAnsi="Menlo"/>
          <w:color w:val="1A3E6E"/>
          <w:sz w:val="19"/>
        </w:rPr>
        <w:t>true</w:t>
      </w:r>
      <w:r>
        <w:rPr>
          <w:sz w:val="21"/>
        </w:rPr>
        <w:t>. Downloading roughly 720 MB per donor for a single annotation column is exactly the kind of decision this course asks you to make deliberately rather than by default.</w:t>
      </w:r>
    </w:p>
    <w:p>
      <w:pPr>
        <w:spacing w:after="140"/>
      </w:pPr>
      <w:r>
        <w:rPr>
          <w:sz w:val="21"/>
        </w:rPr>
        <w:t>What the full mirror adds, over and above the minimum: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Addition</w:t>
            </w:r>
          </w:p>
        </w:tc>
        <w:tc>
          <w:tcPr>
            <w:tcW w:type="dxa" w:w="3120"/>
            <w:shd w:val="clear" w:fill="DCE6F1"/>
          </w:tcPr>
          <w:p>
            <w:r/>
            <w:r>
              <w:rPr>
                <w:b/>
                <w:sz w:val="17"/>
              </w:rPr>
              <w:t>Approximate size</w:t>
            </w:r>
          </w:p>
        </w:tc>
        <w:tc>
          <w:tcPr>
            <w:tcW w:type="dxa" w:w="3120"/>
            <w:shd w:val="clear" w:fill="DCE6F1"/>
          </w:tcPr>
          <w:p>
            <w:r/>
            <w:r>
              <w:rPr>
                <w:b/>
                <w:sz w:val="17"/>
              </w:rPr>
              <w:t>Why you might want it</w:t>
            </w:r>
          </w:p>
        </w:tc>
      </w:tr>
      <w:tr>
        <w:tc>
          <w:tcPr>
            <w:tcW w:type="dxa" w:w="3120"/>
          </w:tcPr>
          <w:p>
            <w:r/>
            <w:r>
              <w:rPr>
                <w:rFonts w:ascii="Menlo" w:hAnsi="Menlo"/>
                <w:color w:val="1A3E6E"/>
                <w:sz w:val="15"/>
              </w:rPr>
              <w:t>secondary_analysis.h5ad</w:t>
            </w:r>
            <w:r>
              <w:rPr>
                <w:sz w:val="17"/>
              </w:rPr>
              <w:t xml:space="preserve"> for the four teaching blocks</w:t>
            </w:r>
          </w:p>
        </w:tc>
        <w:tc>
          <w:tcPr>
            <w:tcW w:type="dxa" w:w="3120"/>
          </w:tcPr>
          <w:p>
            <w:r/>
            <w:r>
              <w:rPr>
                <w:sz w:val="17"/>
              </w:rPr>
              <w:t>5,669.9 MB</w:t>
            </w:r>
          </w:p>
        </w:tc>
        <w:tc>
          <w:tcPr>
            <w:tcW w:type="dxa" w:w="3120"/>
          </w:tcPr>
          <w:p>
            <w:r/>
            <w:r>
              <w:rPr>
                <w:sz w:val="17"/>
              </w:rPr>
              <w:t>Offline Azimuth labels instead of the shipped cache or a remote read</w:t>
            </w:r>
          </w:p>
        </w:tc>
      </w:tr>
      <w:tr>
        <w:tc>
          <w:tcPr>
            <w:tcW w:type="dxa" w:w="3120"/>
          </w:tcPr>
          <w:p>
            <w:r/>
            <w:r>
              <w:rPr>
                <w:rFonts w:ascii="Menlo" w:hAnsi="Menlo"/>
                <w:color w:val="1A3E6E"/>
                <w:sz w:val="15"/>
              </w:rPr>
              <w:t>expr.h5ad</w:t>
            </w:r>
            <w:r>
              <w:rPr>
                <w:sz w:val="17"/>
              </w:rPr>
              <w:t xml:space="preserve"> and </w:t>
            </w:r>
            <w:r>
              <w:rPr>
                <w:rFonts w:ascii="Menlo" w:hAnsi="Menlo"/>
                <w:color w:val="1A3E6E"/>
                <w:sz w:val="15"/>
              </w:rPr>
              <w:t>scvelo_annotated.h5ad</w:t>
            </w:r>
            <w:r>
              <w:rPr>
                <w:sz w:val="17"/>
              </w:rPr>
              <w:t xml:space="preserve"> per block</w:t>
            </w:r>
          </w:p>
        </w:tc>
        <w:tc>
          <w:tcPr>
            <w:tcW w:type="dxa" w:w="3120"/>
          </w:tcPr>
          <w:p>
            <w:r/>
            <w:r>
              <w:rPr>
                <w:sz w:val="17"/>
              </w:rPr>
              <w:t>varies</w:t>
            </w:r>
          </w:p>
        </w:tc>
        <w:tc>
          <w:tcPr>
            <w:tcW w:type="dxa" w:w="3120"/>
          </w:tcPr>
          <w:p>
            <w:r/>
            <w:r>
              <w:rPr>
                <w:sz w:val="17"/>
              </w:rPr>
              <w:t>Portal processed expression and RNA velocity objects</w:t>
            </w:r>
          </w:p>
        </w:tc>
      </w:tr>
      <w:tr>
        <w:tc>
          <w:tcPr>
            <w:tcW w:type="dxa" w:w="3120"/>
          </w:tcPr>
          <w:p>
            <w:r/>
            <w:r>
              <w:rPr>
                <w:sz w:val="17"/>
              </w:rPr>
              <w:t>15 alternate HuBMAP blocks across the four donors</w:t>
            </w:r>
          </w:p>
        </w:tc>
        <w:tc>
          <w:tcPr>
            <w:tcW w:type="dxa" w:w="3120"/>
          </w:tcPr>
          <w:p>
            <w:r/>
            <w:r>
              <w:rPr>
                <w:sz w:val="17"/>
              </w:rPr>
              <w:t xml:space="preserve">25.4 GB of </w:t>
            </w:r>
            <w:r>
              <w:rPr>
                <w:rFonts w:ascii="Menlo" w:hAnsi="Menlo"/>
                <w:color w:val="1A3E6E"/>
                <w:sz w:val="15"/>
              </w:rPr>
              <w:t>raw_expr</w:t>
            </w:r>
            <w:r>
              <w:rPr>
                <w:sz w:val="17"/>
              </w:rPr>
              <w:t xml:space="preserve"> plus </w:t>
            </w:r>
            <w:r>
              <w:rPr>
                <w:rFonts w:ascii="Menlo" w:hAnsi="Menlo"/>
                <w:color w:val="1A3E6E"/>
                <w:sz w:val="15"/>
              </w:rPr>
              <w:t>secondary_analysis</w:t>
            </w:r>
            <w:r>
              <w:rPr>
                <w:sz w:val="17"/>
              </w:rPr>
              <w:t>, more with the per-block extras</w:t>
            </w:r>
          </w:p>
        </w:tc>
        <w:tc>
          <w:tcPr>
            <w:tcW w:type="dxa" w:w="3120"/>
          </w:tcPr>
          <w:p>
            <w:r/>
            <w:r>
              <w:rPr>
                <w:sz w:val="17"/>
              </w:rPr>
              <w:t>Spare lung blocks this course does not teach</w:t>
            </w:r>
          </w:p>
        </w:tc>
      </w:tr>
      <w:tr>
        <w:tc>
          <w:tcPr>
            <w:tcW w:type="dxa" w:w="3120"/>
          </w:tcPr>
          <w:p>
            <w:r/>
            <w:r>
              <w:rPr>
                <w:rFonts w:ascii="Menlo" w:hAnsi="Menlo"/>
                <w:color w:val="1A3E6E"/>
                <w:sz w:val="15"/>
              </w:rPr>
              <w:t>secondary_analysis.h5mu</w:t>
            </w:r>
            <w:r>
              <w:rPr>
                <w:sz w:val="17"/>
              </w:rPr>
              <w:t xml:space="preserve"> for the Donor_2 multiome</w:t>
            </w:r>
          </w:p>
        </w:tc>
        <w:tc>
          <w:tcPr>
            <w:tcW w:type="dxa" w:w="3120"/>
          </w:tcPr>
          <w:p>
            <w:r/>
            <w:r>
              <w:rPr>
                <w:sz w:val="17"/>
              </w:rPr>
              <w:t>14.7 GiB</w:t>
            </w:r>
          </w:p>
        </w:tc>
        <w:tc>
          <w:tcPr>
            <w:tcW w:type="dxa" w:w="3120"/>
          </w:tcPr>
          <w:p>
            <w:r/>
            <w:r>
              <w:rPr>
                <w:sz w:val="17"/>
              </w:rPr>
              <w:t>The full MuData views behind Module 3's MOFA object</w:t>
            </w:r>
          </w:p>
        </w:tc>
      </w:tr>
      <w:tr>
        <w:tc>
          <w:tcPr>
            <w:tcW w:type="dxa" w:w="3120"/>
          </w:tcPr>
          <w:p>
            <w:r/>
            <w:r>
              <w:rPr>
                <w:sz w:val="17"/>
              </w:rPr>
              <w:t>Donor_2 multiome portal cluster PDFs</w:t>
            </w:r>
          </w:p>
        </w:tc>
        <w:tc>
          <w:tcPr>
            <w:tcW w:type="dxa" w:w="3120"/>
          </w:tcPr>
          <w:p>
            <w:r/>
            <w:r>
              <w:rPr>
                <w:sz w:val="17"/>
              </w:rPr>
              <w:t>1.2 MB</w:t>
            </w:r>
          </w:p>
        </w:tc>
        <w:tc>
          <w:tcPr>
            <w:tcW w:type="dxa" w:w="3120"/>
          </w:tcPr>
          <w:p>
            <w:r/>
            <w:r>
              <w:rPr>
                <w:sz w:val="17"/>
              </w:rPr>
              <w:t>Portal cluster maps for RNA, ATAC and combined</w:t>
            </w:r>
          </w:p>
        </w:tc>
      </w:tr>
      <w:tr>
        <w:tc>
          <w:tcPr>
            <w:tcW w:type="dxa" w:w="3120"/>
          </w:tcPr>
          <w:p>
            <w:r/>
            <w:r>
              <w:rPr>
                <w:sz w:val="17"/>
              </w:rPr>
              <w:t>GTEx v11 lung TPM and reads</w:t>
            </w:r>
          </w:p>
        </w:tc>
        <w:tc>
          <w:tcPr>
            <w:tcW w:type="dxa" w:w="3120"/>
          </w:tcPr>
          <w:p>
            <w:r/>
            <w:r>
              <w:rPr>
                <w:sz w:val="17"/>
              </w:rPr>
              <w:t>124.5 MB</w:t>
            </w:r>
          </w:p>
        </w:tc>
        <w:tc>
          <w:tcPr>
            <w:tcW w:type="dxa" w:w="3120"/>
          </w:tcPr>
          <w:p>
            <w:r/>
            <w:r>
              <w:rPr>
                <w:sz w:val="17"/>
              </w:rPr>
              <w:t xml:space="preserve">A newer GTEx release, not wired into </w:t>
            </w:r>
            <w:r>
              <w:rPr>
                <w:rFonts w:ascii="Menlo" w:hAnsi="Menlo"/>
                <w:color w:val="1A3E6E"/>
                <w:sz w:val="15"/>
              </w:rPr>
              <w:t>config/paths.yaml</w:t>
            </w:r>
          </w:p>
        </w:tc>
      </w:tr>
      <w:tr>
        <w:tc>
          <w:tcPr>
            <w:tcW w:type="dxa" w:w="3120"/>
          </w:tcPr>
          <w:p>
            <w:r/>
            <w:r>
              <w:rPr>
                <w:sz w:val="17"/>
              </w:rPr>
              <w:t>OSD-248 VST counts and sample table</w:t>
            </w:r>
          </w:p>
        </w:tc>
        <w:tc>
          <w:tcPr>
            <w:tcW w:type="dxa" w:w="3120"/>
          </w:tcPr>
          <w:p>
            <w:r/>
            <w:r>
              <w:rPr>
                <w:sz w:val="17"/>
              </w:rPr>
              <w:t>32.9 MB</w:t>
            </w:r>
          </w:p>
        </w:tc>
        <w:tc>
          <w:tcPr>
            <w:tcW w:type="dxa" w:w="3120"/>
          </w:tcPr>
          <w:p>
            <w:r/>
            <w:r>
              <w:rPr>
                <w:sz w:val="17"/>
              </w:rPr>
              <w:t>Portal companions to the RSEM counts</w:t>
            </w:r>
          </w:p>
        </w:tc>
      </w:tr>
      <w:tr>
        <w:tc>
          <w:tcPr>
            <w:tcW w:type="dxa" w:w="3120"/>
          </w:tcPr>
          <w:p>
            <w:r/>
            <w:r>
              <w:rPr>
                <w:b/>
                <w:sz w:val="17"/>
              </w:rPr>
              <w:t>NASA OSDR OSD-464</w:t>
            </w:r>
            <w:r>
              <w:rPr>
                <w:sz w:val="17"/>
              </w:rPr>
              <w:t>, 8 files</w:t>
            </w:r>
          </w:p>
        </w:tc>
        <w:tc>
          <w:tcPr>
            <w:tcW w:type="dxa" w:w="3120"/>
          </w:tcPr>
          <w:p>
            <w:r/>
            <w:r>
              <w:rPr>
                <w:sz w:val="17"/>
              </w:rPr>
              <w:t>55.7 MB</w:t>
            </w:r>
          </w:p>
        </w:tc>
        <w:tc>
          <w:tcPr>
            <w:tcW w:type="dxa" w:w="3120"/>
          </w:tcPr>
          <w:p>
            <w:r/>
            <w:r>
              <w:rPr>
                <w:sz w:val="17"/>
              </w:rPr>
              <w:t>A second rodent spaceflight study, described below</w:t>
            </w:r>
          </w:p>
        </w:tc>
      </w:tr>
    </w:tbl>
    <w:p>
      <w:pPr>
        <w:spacing w:after="140"/>
      </w:pPr>
      <w:r>
        <w:rPr>
          <w:b/>
          <w:sz w:val="21"/>
        </w:rPr>
        <w:t>OSD-464 is available but not wired.</w:t>
      </w:r>
      <w:r>
        <w:rPr>
          <w:sz w:val="21"/>
        </w:rPr>
        <w:t xml:space="preserve"> It carries the same eight file types as OSD-248, counts, DE, contrasts, sample table, VST counts and three ISA tables, and no notebook path reads it. It is here for exploration, and one finding is worth stating before you spend time on it: OSD-464 carries the same ERCC spike-in mix confounding with study arm that OSD-248 does, so substituting it does not resolve that limitation.</w:t>
      </w:r>
    </w:p>
    <w:p>
      <w:pPr>
        <w:pStyle w:val="Heading1"/>
      </w:pPr>
      <w:r>
        <w:rPr>
          <w:color w:val="1F4E79"/>
        </w:rPr>
        <w:t>3. Getting the data</w:t>
      </w:r>
    </w:p>
    <w:p>
      <w:pPr>
        <w:spacing w:after="140"/>
      </w:pPr>
      <w:r>
        <w:rPr>
          <w:sz w:val="21"/>
        </w:rPr>
        <w:t>Discovery and retrieval are the first methodological decisions in this course, not preliminaries to it. The dataset identifier you find through a discovery surface is frequently not the record you can download, and it is frequently not the record you should cite. This section establishes those distinctions and gives the operational path for each of the four resources the course uses.</w:t>
      </w:r>
    </w:p>
    <w:p>
      <w:pPr>
        <w:pStyle w:val="Heading4"/>
      </w:pPr>
      <w:r>
        <w:rPr>
          <w:color w:val="1F4E79"/>
        </w:rPr>
        <w:t>The CFDE discovery layer and the DCC data portals</w:t>
      </w:r>
    </w:p>
    <w:p>
      <w:pPr>
        <w:spacing w:after="140"/>
      </w:pPr>
      <w:r>
        <w:rPr>
          <w:sz w:val="21"/>
        </w:rPr>
        <w:t>The Common Fund Data Ecosystem provides a cross-resource discovery layer: a shared metadata model (C2M2), search surfaces built on that model, and an interoperability context that makes a single query meaningful across repositories that were built independently. The Data Coordinating Centers, HuBMAP and GTEx among them, hold and serve the data files themselves.</w:t>
      </w:r>
    </w:p>
    <w:p>
      <w:pPr>
        <w:spacing w:after="140"/>
      </w:pPr>
      <w:r>
        <w:rPr>
          <w:sz w:val="21"/>
        </w:rPr>
        <w:t>Keeping those roles distinct matters practically. Searching for analysis-ready matrices on the CFDE surfaces returns dataset records rather than files; searching a DCC portal without the discovery layer means knowing in advance which repository to search. The productive path uses both: CFDE to establish what exists across the ecosystem, the DCC portal to obtain it.</w:t>
      </w:r>
    </w:p>
    <w:p>
      <w:pPr>
        <w:pStyle w:val="Heading4"/>
      </w:pPr>
      <w:r>
        <w:rPr>
          <w:color w:val="1F4E79"/>
        </w:rPr>
        <w:t>Locating lung datasets through CFDE surfaces</w:t>
      </w:r>
    </w:p>
    <w:p>
      <w:pPr>
        <w:spacing w:after="140"/>
      </w:pPr>
      <w:r>
        <w:rPr>
          <w:sz w:val="21"/>
        </w:rPr>
        <w:t>The CFDE Workbench and Data Matrix accept a tissue-level query and return the repositories holding matching data, with HuBMAP and GTEx both represented for lung. This is the appropriate first step and is sufficient for a small, hand-selected cohort such as the one used here.</w:t>
      </w:r>
    </w:p>
    <w:p>
      <w:pPr>
        <w:spacing w:after="140"/>
      </w:pPr>
      <w:r>
        <w:rPr>
          <w:sz w:val="21"/>
        </w:rPr>
        <w:t>The teaching cohort in this course was selected manually for comparative value: four donors spanning 25 to 57 years, two female and two male, across three race and ethnicity groups. That is a pedagogical selection, not a production sampling strategy, and it is stated as such.</w:t>
      </w:r>
    </w:p>
    <w:p>
      <w:pPr>
        <w:pStyle w:val="Heading4"/>
      </w:pPr>
      <w:r>
        <w:rPr>
          <w:color w:val="1F4E79"/>
        </w:rPr>
        <w:t>Programmatic discovery through the SmartAPI registry</w:t>
      </w:r>
    </w:p>
    <w:p>
      <w:pPr>
        <w:spacing w:after="140"/>
      </w:pPr>
      <w:r>
        <w:rPr>
          <w:sz w:val="21"/>
        </w:rPr>
        <w:t>Manual selection does not scale. The programmatic path matters at the point where a cohort is defined by criteria rather than by hand, and the registry is where it begins:</w:t>
      </w:r>
    </w:p>
    <w:p>
      <w:pPr>
        <w:spacing w:before="80" w:after="160"/>
        <w:ind w:left="317"/>
        <w:shd w:val="clear" w:fill="F4F4F4"/>
      </w:pPr>
      <w:r>
        <w:rPr>
          <w:rFonts w:ascii="Menlo" w:hAnsi="Menlo"/>
          <w:sz w:val="17"/>
        </w:rPr>
        <w:t>https://smart-api.info/api/query?q=hubmap&amp;fields=info.title,info.version,servers</w:t>
      </w:r>
    </w:p>
    <w:p>
      <w:pPr>
        <w:spacing w:after="140"/>
      </w:pPr>
      <w:r>
        <w:rPr>
          <w:sz w:val="21"/>
        </w:rPr>
        <w:t>That query returns nine registered HuBMAP entries, including the Search, Entity, Spatial and Ontology APIs used below.</w:t>
      </w:r>
    </w:p>
    <w:p>
      <w:pPr>
        <w:spacing w:after="140"/>
      </w:pPr>
      <w:r>
        <w:rPr>
          <w:b/>
          <w:sz w:val="21"/>
        </w:rPr>
        <w:t>A registry records what a provider registered, not what is currently served.</w:t>
      </w:r>
      <w:r>
        <w:rPr>
          <w:sz w:val="21"/>
        </w:rPr>
        <w:t xml:space="preserve"> The registered GTEx entry points at </w:t>
      </w:r>
      <w:r>
        <w:rPr>
          <w:rFonts w:ascii="Menlo" w:hAnsi="Menlo"/>
          <w:color w:val="1A3E6E"/>
          <w:sz w:val="19"/>
        </w:rPr>
        <w:t>dev.gtexportal.org</w:t>
      </w:r>
      <w:r>
        <w:rPr>
          <w:sz w:val="21"/>
        </w:rPr>
        <w:t xml:space="preserve">, a host with no DNS record, while the production API at </w:t>
      </w:r>
      <w:r>
        <w:rPr>
          <w:rFonts w:ascii="Menlo" w:hAnsi="Menlo"/>
          <w:color w:val="1A3E6E"/>
          <w:sz w:val="19"/>
        </w:rPr>
        <w:t>gtexportal.org/api/v2/</w:t>
      </w:r>
      <w:r>
        <w:rPr>
          <w:sz w:val="21"/>
        </w:rPr>
        <w:t xml:space="preserve"> responds normally. Registry entries are a starting point to be verified, not an authority to be trusted, and confirming an endpoint resolves before building against it costs seconds. Date-stamp any such observation, since providers do correct their entries.</w:t>
      </w:r>
    </w:p>
    <w:p>
      <w:pPr>
        <w:spacing w:after="140"/>
      </w:pPr>
      <w:r>
        <w:rPr>
          <w:sz w:val="21"/>
        </w:rPr>
        <w:t>The registry is how you find an API; the API is how you resolve a dataset identifier to a file URL. Appendix A carries that path end to end as terminal commands: the SmartAPI query, the Entity API call that turns a HuBMAP identifier into the UUID an asset URL needs, and a retrieval command for every file in the minimum download. Working through it once is the difference between knowing that a programmatic path exists and being able to build one.</w:t>
      </w:r>
    </w:p>
    <w:p>
      <w:pPr>
        <w:pStyle w:val="Heading4"/>
      </w:pPr>
      <w:r>
        <w:rPr>
          <w:color w:val="1F4E79"/>
        </w:rPr>
        <w:t>Access tiers: controlled primary data and public processed derivatives</w:t>
      </w:r>
    </w:p>
    <w:p>
      <w:pPr>
        <w:spacing w:after="140"/>
      </w:pPr>
      <w:r>
        <w:rPr>
          <w:sz w:val="21"/>
        </w:rPr>
        <w:t>HuBMAP applies two access tiers to single-nucleus data, and the distinction is a data-governance concept rather than a technical obstacle.</w:t>
      </w:r>
    </w:p>
    <w:p>
      <w:pPr>
        <w:spacing w:after="140"/>
      </w:pPr>
      <w:r>
        <w:rPr>
          <w:b/>
          <w:sz w:val="21"/>
        </w:rPr>
        <w:t>Primary datasets</w:t>
      </w:r>
      <w:r>
        <w:rPr>
          <w:sz w:val="21"/>
        </w:rPr>
        <w:t xml:space="preserve"> contain human genetic sequence. They are published, discoverable and citable, and they are held under controlled access consistent with NIH policy for human genomic data. </w:t>
      </w:r>
      <w:r>
        <w:rPr>
          <w:b/>
          <w:sz w:val="21"/>
        </w:rPr>
        <w:t>Processed derivatives</w:t>
      </w:r>
      <w:r>
        <w:rPr>
          <w:sz w:val="21"/>
        </w:rPr>
        <w:t xml:space="preserve"> are generated for each primary by HuBMAP's central pipeline, carry no human genetic sequence, and are openly available. The two are distinct records with distinct HuBMAP identifiers.</w:t>
      </w:r>
    </w:p>
    <w:p>
      <w:pPr>
        <w:spacing w:after="140"/>
      </w:pPr>
      <w:r>
        <w:rPr>
          <w:sz w:val="21"/>
        </w:rPr>
        <w:t>Discovery surfaces return the primary. Retrieval uses the derivative. A researcher who does not expect this concludes that HuBMAP single-nucleus data is unavailable for open reuse, which is incorrect.</w:t>
      </w:r>
    </w:p>
    <w:p>
      <w:pPr>
        <w:spacing w:after="140"/>
      </w:pPr>
      <w:r>
        <w:rPr>
          <w:sz w:val="21"/>
        </w:rPr>
        <w:t xml:space="preserve">The traversal from one to the other is a five-step query against the Search API: retrieve the primary by identifier, read its </w:t>
      </w:r>
      <w:r>
        <w:rPr>
          <w:rFonts w:ascii="Menlo" w:hAnsi="Menlo"/>
          <w:color w:val="1A3E6E"/>
          <w:sz w:val="19"/>
        </w:rPr>
        <w:t>data_access_level</w:t>
      </w:r>
      <w:r>
        <w:rPr>
          <w:sz w:val="21"/>
        </w:rPr>
        <w:t xml:space="preserve">, read its </w:t>
      </w:r>
      <w:r>
        <w:rPr>
          <w:rFonts w:ascii="Menlo" w:hAnsi="Menlo"/>
          <w:color w:val="1A3E6E"/>
          <w:sz w:val="19"/>
        </w:rPr>
        <w:t>descendants</w:t>
      </w:r>
      <w:r>
        <w:rPr>
          <w:sz w:val="21"/>
        </w:rPr>
        <w:t xml:space="preserve">, filter those to </w:t>
      </w:r>
      <w:r>
        <w:rPr>
          <w:rFonts w:ascii="Menlo" w:hAnsi="Menlo"/>
          <w:color w:val="1A3E6E"/>
          <w:sz w:val="19"/>
        </w:rPr>
        <w:t>data_access_level == "public"</w:t>
      </w:r>
      <w:r>
        <w:rPr>
          <w:sz w:val="21"/>
        </w:rPr>
        <w:t>, and take the most recently published. For this cohort: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
              <w:rPr>
                <w:b/>
                <w:sz w:val="17"/>
              </w:rPr>
              <w:t>Donor</w:t>
            </w:r>
          </w:p>
        </w:tc>
        <w:tc>
          <w:tcPr>
            <w:tcW w:type="dxa" w:w="2340"/>
            <w:shd w:val="clear" w:fill="DCE6F1"/>
          </w:tcPr>
          <w:p>
            <w:r/>
            <w:r>
              <w:rPr>
                <w:b/>
                <w:sz w:val="17"/>
              </w:rPr>
              <w:t>Primary (controlled)</w:t>
            </w:r>
          </w:p>
        </w:tc>
        <w:tc>
          <w:tcPr>
            <w:tcW w:type="dxa" w:w="2340"/>
            <w:shd w:val="clear" w:fill="DCE6F1"/>
          </w:tcPr>
          <w:p>
            <w:r/>
            <w:r>
              <w:rPr>
                <w:b/>
                <w:sz w:val="17"/>
              </w:rPr>
              <w:t>Processed derivative (open)</w:t>
            </w:r>
          </w:p>
        </w:tc>
        <w:tc>
          <w:tcPr>
            <w:tcW w:type="dxa" w:w="2340"/>
            <w:shd w:val="clear" w:fill="DCE6F1"/>
          </w:tcPr>
          <w:p>
            <w:r/>
            <w:r>
              <w:rPr>
                <w:b/>
                <w:sz w:val="17"/>
              </w:rPr>
              <w:t>raw_expr.h5ad</w:t>
            </w:r>
          </w:p>
        </w:tc>
      </w:tr>
      <w:tr>
        <w:tc>
          <w:tcPr>
            <w:tcW w:type="dxa" w:w="2340"/>
          </w:tcPr>
          <w:p>
            <w:r/>
            <w:r>
              <w:rPr>
                <w:sz w:val="17"/>
              </w:rPr>
              <w:t>Donor_1</w:t>
            </w:r>
          </w:p>
        </w:tc>
        <w:tc>
          <w:tcPr>
            <w:tcW w:type="dxa" w:w="2340"/>
          </w:tcPr>
          <w:p>
            <w:r/>
            <w:r>
              <w:rPr>
                <w:rFonts w:ascii="Menlo" w:hAnsi="Menlo"/>
                <w:color w:val="1A3E6E"/>
                <w:sz w:val="15"/>
              </w:rPr>
              <w:t>HBM347.VDHS.379</w:t>
            </w:r>
          </w:p>
        </w:tc>
        <w:tc>
          <w:tcPr>
            <w:tcW w:type="dxa" w:w="2340"/>
          </w:tcPr>
          <w:p>
            <w:r/>
            <w:r>
              <w:rPr>
                <w:rFonts w:ascii="Menlo" w:hAnsi="Menlo"/>
                <w:color w:val="1A3E6E"/>
                <w:sz w:val="15"/>
              </w:rPr>
              <w:t>HBM675.RVGB.258</w:t>
            </w:r>
          </w:p>
        </w:tc>
        <w:tc>
          <w:tcPr>
            <w:tcW w:type="dxa" w:w="2340"/>
          </w:tcPr>
          <w:p>
            <w:r/>
            <w:r>
              <w:rPr>
                <w:sz w:val="17"/>
              </w:rPr>
              <w:t>68.6 MB</w:t>
            </w:r>
          </w:p>
        </w:tc>
      </w:tr>
      <w:tr>
        <w:tc>
          <w:tcPr>
            <w:tcW w:type="dxa" w:w="2340"/>
          </w:tcPr>
          <w:p>
            <w:r/>
            <w:r>
              <w:rPr>
                <w:sz w:val="17"/>
              </w:rPr>
              <w:t>Donor_2</w:t>
            </w:r>
          </w:p>
        </w:tc>
        <w:tc>
          <w:tcPr>
            <w:tcW w:type="dxa" w:w="2340"/>
          </w:tcPr>
          <w:p>
            <w:r/>
            <w:r>
              <w:rPr>
                <w:rFonts w:ascii="Menlo" w:hAnsi="Menlo"/>
                <w:color w:val="1A3E6E"/>
                <w:sz w:val="15"/>
              </w:rPr>
              <w:t>HBM473.NKMR.872</w:t>
            </w:r>
          </w:p>
        </w:tc>
        <w:tc>
          <w:tcPr>
            <w:tcW w:type="dxa" w:w="2340"/>
          </w:tcPr>
          <w:p>
            <w:r/>
            <w:r>
              <w:rPr>
                <w:rFonts w:ascii="Menlo" w:hAnsi="Menlo"/>
                <w:color w:val="1A3E6E"/>
                <w:sz w:val="15"/>
              </w:rPr>
              <w:t>HBM362.DZVK.533</w:t>
            </w:r>
          </w:p>
        </w:tc>
        <w:tc>
          <w:tcPr>
            <w:tcW w:type="dxa" w:w="2340"/>
          </w:tcPr>
          <w:p>
            <w:r/>
            <w:r>
              <w:rPr>
                <w:sz w:val="17"/>
              </w:rPr>
              <w:t>104.6 MB</w:t>
            </w:r>
          </w:p>
        </w:tc>
      </w:tr>
      <w:tr>
        <w:tc>
          <w:tcPr>
            <w:tcW w:type="dxa" w:w="2340"/>
          </w:tcPr>
          <w:p>
            <w:r/>
            <w:r>
              <w:rPr>
                <w:sz w:val="17"/>
              </w:rPr>
              <w:t>Donor_3</w:t>
            </w:r>
          </w:p>
        </w:tc>
        <w:tc>
          <w:tcPr>
            <w:tcW w:type="dxa" w:w="2340"/>
          </w:tcPr>
          <w:p>
            <w:r/>
            <w:r>
              <w:rPr>
                <w:rFonts w:ascii="Menlo" w:hAnsi="Menlo"/>
                <w:color w:val="1A3E6E"/>
                <w:sz w:val="15"/>
              </w:rPr>
              <w:t>HBM484.RGWP.797</w:t>
            </w:r>
          </w:p>
        </w:tc>
        <w:tc>
          <w:tcPr>
            <w:tcW w:type="dxa" w:w="2340"/>
          </w:tcPr>
          <w:p>
            <w:r/>
            <w:r>
              <w:rPr>
                <w:rFonts w:ascii="Menlo" w:hAnsi="Menlo"/>
                <w:color w:val="1A3E6E"/>
                <w:sz w:val="15"/>
              </w:rPr>
              <w:t>HBM874.PWHS.622</w:t>
            </w:r>
          </w:p>
        </w:tc>
        <w:tc>
          <w:tcPr>
            <w:tcW w:type="dxa" w:w="2340"/>
          </w:tcPr>
          <w:p>
            <w:r/>
            <w:r>
              <w:rPr>
                <w:sz w:val="17"/>
              </w:rPr>
              <w:t>150.9 MB</w:t>
            </w:r>
          </w:p>
        </w:tc>
      </w:tr>
      <w:tr>
        <w:tc>
          <w:tcPr>
            <w:tcW w:type="dxa" w:w="2340"/>
          </w:tcPr>
          <w:p>
            <w:r/>
            <w:r>
              <w:rPr>
                <w:sz w:val="17"/>
              </w:rPr>
              <w:t>Donor_4</w:t>
            </w:r>
          </w:p>
        </w:tc>
        <w:tc>
          <w:tcPr>
            <w:tcW w:type="dxa" w:w="2340"/>
          </w:tcPr>
          <w:p>
            <w:r/>
            <w:r>
              <w:rPr>
                <w:rFonts w:ascii="Menlo" w:hAnsi="Menlo"/>
                <w:color w:val="1A3E6E"/>
                <w:sz w:val="15"/>
              </w:rPr>
              <w:t>HBM379.QCJT.435</w:t>
            </w:r>
          </w:p>
        </w:tc>
        <w:tc>
          <w:tcPr>
            <w:tcW w:type="dxa" w:w="2340"/>
          </w:tcPr>
          <w:p>
            <w:r/>
            <w:r>
              <w:rPr>
                <w:rFonts w:ascii="Menlo" w:hAnsi="Menlo"/>
                <w:color w:val="1A3E6E"/>
                <w:sz w:val="15"/>
              </w:rPr>
              <w:t>HBM735.NMFW.852</w:t>
            </w:r>
          </w:p>
        </w:tc>
        <w:tc>
          <w:tcPr>
            <w:tcW w:type="dxa" w:w="2340"/>
          </w:tcPr>
          <w:p>
            <w:r/>
            <w:r>
              <w:rPr>
                <w:sz w:val="17"/>
              </w:rPr>
              <w:t>70.6 MB</w:t>
            </w:r>
          </w:p>
        </w:tc>
      </w:tr>
    </w:tbl>
    <w:p>
      <w:pPr>
        <w:spacing w:after="140"/>
      </w:pPr>
      <w:r>
        <w:rPr>
          <w:sz w:val="21"/>
        </w:rPr>
        <w:t>Donor_1 has two published derivatives, from 2021 and 2023, both serving an equivalent matrix. This course pins the 2023 release explicitly. Pinning a release and recording which one was used is the difference between a reproducible cohort definition and one that silently changes when a repository republishes.</w:t>
      </w:r>
    </w:p>
    <w:p>
      <w:pPr>
        <w:spacing w:after="140"/>
      </w:pPr>
      <w:r>
        <w:rPr>
          <w:b/>
          <w:sz w:val="21"/>
        </w:rPr>
        <w:t>Citation follows the primary, not the derivative.</w:t>
      </w:r>
      <w:r>
        <w:rPr>
          <w:sz w:val="21"/>
        </w:rPr>
        <w:t xml:space="preserve"> DOIs are registered on the primary datasets; the processed derivatives carry none. A manuscript therefore cites the primary DOI and states which processed release was analyzed. This package records both, as </w:t>
      </w:r>
      <w:r>
        <w:rPr>
          <w:rFonts w:ascii="Menlo" w:hAnsi="Menlo"/>
          <w:color w:val="1A3E6E"/>
          <w:sz w:val="19"/>
        </w:rPr>
        <w:t>primary_doi</w:t>
      </w:r>
      <w:r>
        <w:rPr>
          <w:sz w:val="21"/>
        </w:rPr>
        <w:t xml:space="preserve"> and </w:t>
      </w:r>
      <w:r>
        <w:rPr>
          <w:rFonts w:ascii="Menlo" w:hAnsi="Menlo"/>
          <w:color w:val="1A3E6E"/>
          <w:sz w:val="19"/>
        </w:rPr>
        <w:t>processed_id</w:t>
      </w:r>
      <w:r>
        <w:rPr>
          <w:sz w:val="21"/>
        </w:rPr>
        <w:t xml:space="preserve"> in </w:t>
      </w:r>
      <w:r>
        <w:rPr>
          <w:rFonts w:ascii="Menlo" w:hAnsi="Menlo"/>
          <w:color w:val="1A3E6E"/>
          <w:sz w:val="19"/>
        </w:rPr>
        <w:t>config/paths.yaml</w:t>
      </w:r>
      <w:r>
        <w:rPr>
          <w:sz w:val="21"/>
        </w:rPr>
        <w:t>, so the provenance chain is recoverable from the configuration alone.</w:t>
      </w:r>
    </w:p>
    <w:p>
      <w:pPr>
        <w:pStyle w:val="Heading4"/>
      </w:pPr>
      <w:r>
        <w:rPr>
          <w:color w:val="1F4E79"/>
        </w:rPr>
        <w:t>Retrieving the files</w:t>
      </w:r>
    </w:p>
    <w:p>
      <w:pPr>
        <w:spacing w:after="140"/>
      </w:pPr>
      <w:r>
        <w:rPr>
          <w:sz w:val="21"/>
        </w:rPr>
        <w:t>Assets are addressed by the derivative's UUID:</w:t>
      </w:r>
    </w:p>
    <w:p>
      <w:pPr>
        <w:spacing w:before="80" w:after="160"/>
        <w:ind w:left="317"/>
        <w:shd w:val="clear" w:fill="F4F4F4"/>
      </w:pPr>
      <w:r>
        <w:rPr>
          <w:rFonts w:ascii="Menlo" w:hAnsi="Menlo"/>
          <w:sz w:val="17"/>
        </w:rPr>
        <w:t>https://assets.hubmapconsortium.org/&lt;uuid&gt;/&lt;filename&gt;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Donor</w:t>
            </w:r>
          </w:p>
        </w:tc>
        <w:tc>
          <w:tcPr>
            <w:tcW w:type="dxa" w:w="3120"/>
            <w:shd w:val="clear" w:fill="DCE6F1"/>
          </w:tcPr>
          <w:p>
            <w:r/>
            <w:r>
              <w:rPr>
                <w:b/>
                <w:sz w:val="17"/>
              </w:rPr>
              <w:t>Processed derivative</w:t>
            </w:r>
          </w:p>
        </w:tc>
        <w:tc>
          <w:tcPr>
            <w:tcW w:type="dxa" w:w="3120"/>
            <w:shd w:val="clear" w:fill="DCE6F1"/>
          </w:tcPr>
          <w:p>
            <w:r/>
            <w:r>
              <w:rPr>
                <w:b/>
                <w:sz w:val="17"/>
              </w:rPr>
              <w:t>UUID</w:t>
            </w:r>
          </w:p>
        </w:tc>
      </w:tr>
      <w:tr>
        <w:tc>
          <w:tcPr>
            <w:tcW w:type="dxa" w:w="3120"/>
          </w:tcPr>
          <w:p>
            <w:r/>
            <w:r>
              <w:rPr>
                <w:sz w:val="17"/>
              </w:rPr>
              <w:t>Donor_1</w:t>
            </w:r>
          </w:p>
        </w:tc>
        <w:tc>
          <w:tcPr>
            <w:tcW w:type="dxa" w:w="3120"/>
          </w:tcPr>
          <w:p>
            <w:r/>
            <w:r>
              <w:rPr>
                <w:rFonts w:ascii="Menlo" w:hAnsi="Menlo"/>
                <w:color w:val="1A3E6E"/>
                <w:sz w:val="15"/>
              </w:rPr>
              <w:t>HBM675.RVGB.258</w:t>
            </w:r>
          </w:p>
        </w:tc>
        <w:tc>
          <w:tcPr>
            <w:tcW w:type="dxa" w:w="3120"/>
          </w:tcPr>
          <w:p>
            <w:r/>
            <w:r>
              <w:rPr>
                <w:rFonts w:ascii="Menlo" w:hAnsi="Menlo"/>
                <w:color w:val="1A3E6E"/>
                <w:sz w:val="15"/>
              </w:rPr>
              <w:t>171bd6114652ce2a1ff0e4757b5eaef9</w:t>
            </w:r>
          </w:p>
        </w:tc>
      </w:tr>
      <w:tr>
        <w:tc>
          <w:tcPr>
            <w:tcW w:type="dxa" w:w="3120"/>
          </w:tcPr>
          <w:p>
            <w:r/>
            <w:r>
              <w:rPr>
                <w:sz w:val="17"/>
              </w:rPr>
              <w:t>Donor_2</w:t>
            </w:r>
          </w:p>
        </w:tc>
        <w:tc>
          <w:tcPr>
            <w:tcW w:type="dxa" w:w="3120"/>
          </w:tcPr>
          <w:p>
            <w:r/>
            <w:r>
              <w:rPr>
                <w:rFonts w:ascii="Menlo" w:hAnsi="Menlo"/>
                <w:color w:val="1A3E6E"/>
                <w:sz w:val="15"/>
              </w:rPr>
              <w:t>HBM362.DZVK.533</w:t>
            </w:r>
          </w:p>
        </w:tc>
        <w:tc>
          <w:tcPr>
            <w:tcW w:type="dxa" w:w="3120"/>
          </w:tcPr>
          <w:p>
            <w:r/>
            <w:r>
              <w:rPr>
                <w:rFonts w:ascii="Menlo" w:hAnsi="Menlo"/>
                <w:color w:val="1A3E6E"/>
                <w:sz w:val="15"/>
              </w:rPr>
              <w:t>4c031c4aba3b656a07a5ab14a305cbba</w:t>
            </w:r>
          </w:p>
        </w:tc>
      </w:tr>
      <w:tr>
        <w:tc>
          <w:tcPr>
            <w:tcW w:type="dxa" w:w="3120"/>
          </w:tcPr>
          <w:p>
            <w:r/>
            <w:r>
              <w:rPr>
                <w:sz w:val="17"/>
              </w:rPr>
              <w:t>Donor_3</w:t>
            </w:r>
          </w:p>
        </w:tc>
        <w:tc>
          <w:tcPr>
            <w:tcW w:type="dxa" w:w="3120"/>
          </w:tcPr>
          <w:p>
            <w:r/>
            <w:r>
              <w:rPr>
                <w:rFonts w:ascii="Menlo" w:hAnsi="Menlo"/>
                <w:color w:val="1A3E6E"/>
                <w:sz w:val="15"/>
              </w:rPr>
              <w:t>HBM874.PWHS.622</w:t>
            </w:r>
          </w:p>
        </w:tc>
        <w:tc>
          <w:tcPr>
            <w:tcW w:type="dxa" w:w="3120"/>
          </w:tcPr>
          <w:p>
            <w:r/>
            <w:r>
              <w:rPr>
                <w:rFonts w:ascii="Menlo" w:hAnsi="Menlo"/>
                <w:color w:val="1A3E6E"/>
                <w:sz w:val="15"/>
              </w:rPr>
              <w:t>ab3942cee59a994d73f6f89f8f5eb84a</w:t>
            </w:r>
          </w:p>
        </w:tc>
      </w:tr>
      <w:tr>
        <w:tc>
          <w:tcPr>
            <w:tcW w:type="dxa" w:w="3120"/>
          </w:tcPr>
          <w:p>
            <w:r/>
            <w:r>
              <w:rPr>
                <w:sz w:val="17"/>
              </w:rPr>
              <w:t>Donor_4</w:t>
            </w:r>
          </w:p>
        </w:tc>
        <w:tc>
          <w:tcPr>
            <w:tcW w:type="dxa" w:w="3120"/>
          </w:tcPr>
          <w:p>
            <w:r/>
            <w:r>
              <w:rPr>
                <w:rFonts w:ascii="Menlo" w:hAnsi="Menlo"/>
                <w:color w:val="1A3E6E"/>
                <w:sz w:val="15"/>
              </w:rPr>
              <w:t>HBM735.NMFW.852</w:t>
            </w:r>
          </w:p>
        </w:tc>
        <w:tc>
          <w:tcPr>
            <w:tcW w:type="dxa" w:w="3120"/>
          </w:tcPr>
          <w:p>
            <w:r/>
            <w:r>
              <w:rPr>
                <w:rFonts w:ascii="Menlo" w:hAnsi="Menlo"/>
                <w:color w:val="1A3E6E"/>
                <w:sz w:val="15"/>
              </w:rPr>
              <w:t>f5ce0bfcef8d17a18e0a3911fb2b2726</w:t>
            </w:r>
          </w:p>
        </w:tc>
      </w:tr>
    </w:tbl>
    <w:p>
      <w:pPr>
        <w:spacing w:after="140"/>
      </w:pPr>
      <w:r>
        <w:rPr>
          <w:sz w:val="21"/>
        </w:rPr>
        <w:t>The pipeline begins from raw counts, so one matrix per donor is required. Appendix A gives the retrieval command for each.</w:t>
      </w:r>
    </w:p>
    <w:p>
      <w:pPr>
        <w:spacing w:after="140"/>
      </w:pPr>
      <w:r>
        <w:rPr>
          <w:sz w:val="21"/>
        </w:rPr>
        <w:t>The full course requires about 814.87 MB across four resources, itemized under "Option 1: minimum download, recommended" above. The four HuBMAP matrices are 394.6 MB of that, the Donor_2 multiome MOFA object is 140.8 MB, and GTEx lung TPM is 77.6 MB.</w:t>
      </w:r>
    </w:p>
    <w:p>
      <w:pPr>
        <w:spacing w:after="140"/>
      </w:pPr>
      <w:r>
        <w:rPr>
          <w:b/>
          <w:sz w:val="21"/>
        </w:rPr>
        <w:t>Select the smallest artifact that answers the question.</w:t>
      </w:r>
      <w:r>
        <w:rPr>
          <w:sz w:val="21"/>
        </w:rPr>
        <w:t xml:space="preserve"> The </w:t>
      </w:r>
      <w:r>
        <w:rPr>
          <w:rFonts w:ascii="Menlo" w:hAnsi="Menlo"/>
          <w:color w:val="1A3E6E"/>
          <w:sz w:val="19"/>
        </w:rPr>
        <w:t>secondary_analysis.h5ad</w:t>
      </w:r>
      <w:r>
        <w:rPr>
          <w:sz w:val="21"/>
        </w:rPr>
        <w:t xml:space="preserve"> release for these same four donors totals 5,669.9 MB, a factor of 14.4 larger, and the only element this pipeline requires from it is a cell-type label column that can be read directly from the remote file. Download volume is a design decision with real consequences for who can take a course or reproduce an analysis.</w:t>
      </w:r>
    </w:p>
    <w:p>
      <w:pPr>
        <w:spacing w:after="140"/>
      </w:pPr>
      <w:r>
        <w:rPr>
          <w:sz w:val="21"/>
        </w:rPr>
        <w:t>One operational note. The HuBMAP assets server does not implement HEAD, so a header-only request reports an error for files that download normally. Verify availability with a ranged request rather than a header request.</w:t>
      </w:r>
    </w:p>
    <w:p>
      <w:pPr>
        <w:pStyle w:val="Heading4"/>
      </w:pPr>
      <w:r>
        <w:rPr>
          <w:color w:val="1F4E79"/>
        </w:rPr>
        <w:t>Access patterns differ by repository</w:t>
      </w:r>
    </w:p>
    <w:p>
      <w:pPr>
        <w:spacing w:after="140"/>
      </w:pPr>
      <w:r>
        <w:rPr>
          <w:sz w:val="21"/>
        </w:rPr>
        <w:t>The four resources in this course expose data through four different mechanisms:</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
              <w:rPr>
                <w:b/>
                <w:sz w:val="17"/>
              </w:rPr>
              <w:t>Resource</w:t>
            </w:r>
          </w:p>
        </w:tc>
        <w:tc>
          <w:tcPr>
            <w:tcW w:type="dxa" w:w="4680"/>
            <w:shd w:val="clear" w:fill="DCE6F1"/>
          </w:tcPr>
          <w:p>
            <w:r/>
            <w:r>
              <w:rPr>
                <w:b/>
                <w:sz w:val="17"/>
              </w:rPr>
              <w:t>Retrieval mechanism</w:t>
            </w:r>
          </w:p>
        </w:tc>
      </w:tr>
      <w:tr>
        <w:tc>
          <w:tcPr>
            <w:tcW w:type="dxa" w:w="4680"/>
          </w:tcPr>
          <w:p>
            <w:r/>
            <w:r>
              <w:rPr>
                <w:sz w:val="17"/>
              </w:rPr>
              <w:t>HuBMAP</w:t>
            </w:r>
          </w:p>
        </w:tc>
        <w:tc>
          <w:tcPr>
            <w:tcW w:type="dxa" w:w="4680"/>
          </w:tcPr>
          <w:p>
            <w:r/>
            <w:r>
              <w:rPr>
                <w:sz w:val="17"/>
              </w:rPr>
              <w:t>REST API with an Elasticsearch query body, then assets addressed by UUID</w:t>
            </w:r>
          </w:p>
        </w:tc>
      </w:tr>
      <w:tr>
        <w:tc>
          <w:tcPr>
            <w:tcW w:type="dxa" w:w="4680"/>
          </w:tcPr>
          <w:p>
            <w:r/>
            <w:r>
              <w:rPr>
                <w:sz w:val="17"/>
              </w:rPr>
              <w:t>GTEx</w:t>
            </w:r>
          </w:p>
        </w:tc>
        <w:tc>
          <w:tcPr>
            <w:tcW w:type="dxa" w:w="4680"/>
          </w:tcPr>
          <w:p>
            <w:r/>
            <w:r>
              <w:rPr>
                <w:sz w:val="17"/>
              </w:rPr>
              <w:t>No API for the bulk matrices; object storage over HTTPS</w:t>
            </w:r>
          </w:p>
        </w:tc>
      </w:tr>
      <w:tr>
        <w:tc>
          <w:tcPr>
            <w:tcW w:type="dxa" w:w="4680"/>
          </w:tcPr>
          <w:p>
            <w:r/>
            <w:r>
              <w:rPr>
                <w:sz w:val="17"/>
              </w:rPr>
              <w:t>GEO</w:t>
            </w:r>
          </w:p>
        </w:tc>
        <w:tc>
          <w:tcPr>
            <w:tcW w:type="dxa" w:w="4680"/>
          </w:tcPr>
          <w:p>
            <w:r/>
            <w:r>
              <w:rPr>
                <w:sz w:val="17"/>
              </w:rPr>
              <w:t>Directory listing served over HTTPS</w:t>
            </w:r>
          </w:p>
        </w:tc>
      </w:tr>
      <w:tr>
        <w:tc>
          <w:tcPr>
            <w:tcW w:type="dxa" w:w="4680"/>
          </w:tcPr>
          <w:p>
            <w:r/>
            <w:r>
              <w:rPr>
                <w:sz w:val="17"/>
              </w:rPr>
              <w:t>NASA OSDR</w:t>
            </w:r>
          </w:p>
        </w:tc>
        <w:tc>
          <w:tcPr>
            <w:tcW w:type="dxa" w:w="4680"/>
          </w:tcPr>
          <w:p>
            <w:r/>
            <w:r>
              <w:rPr>
                <w:sz w:val="17"/>
              </w:rPr>
              <w:t>Study-scoped REST listing, then a download endpoint with query parameters</w:t>
            </w:r>
          </w:p>
        </w:tc>
      </w:tr>
    </w:tbl>
    <w:p>
      <w:pPr>
        <w:spacing w:after="140"/>
      </w:pPr>
      <w:r>
        <w:rPr>
          <w:sz w:val="21"/>
        </w:rPr>
        <w:t>This heterogeneity is the practical reality of multi-resource work and the reason a discovery layer has value. It also argues for naming exact files rather than pointing at a study: the OSD-248 listing contains 1,313 files including trimmed FASTQs of several gigabytes each, of which Module 4 requires two.</w:t>
      </w:r>
    </w:p>
    <w:p>
      <w:pPr>
        <w:pStyle w:val="Heading4"/>
      </w:pPr>
      <w:r>
        <w:rPr>
          <w:color w:val="1F4E79"/>
        </w:rPr>
        <w:t>Verifying the local copy</w:t>
      </w:r>
    </w:p>
    <w:p>
      <w:pPr>
        <w:spacing w:after="140"/>
      </w:pPr>
      <w:r>
        <w:rPr>
          <w:sz w:val="21"/>
        </w:rPr>
        <w:t xml:space="preserve">Confirm that every expected file is present and matches its expected size, and report anything absent by name. A silently missing donor propagates into an integration step and is far more expensive to diagnose there than at acquisition. The notebook performs this check against the download manifest, and </w:t>
      </w:r>
      <w:r>
        <w:rPr>
          <w:rFonts w:ascii="Menlo" w:hAnsi="Menlo"/>
          <w:color w:val="1A3E6E"/>
          <w:sz w:val="19"/>
        </w:rPr>
        <w:t>scripts/verify_access.py</w:t>
      </w:r>
      <w:r>
        <w:rPr>
          <w:sz w:val="21"/>
        </w:rPr>
        <w:t xml:space="preserve"> performs the equivalent check against the live URLs.</w:t>
      </w:r>
    </w:p>
    <w:p>
      <w:pPr>
        <w:spacing w:after="140"/>
      </w:pPr>
      <w:r>
        <w:rPr>
          <w:sz w:val="21"/>
        </w:rPr>
        <w:t>One format note worth anticipating: these four donors were deposited across a period in which the AnnData categorical encoding changed, so Donor_1 stores categorical columns under an older layout than the other three. Code that assumes a single layout will fail on part of the cohort.</w:t>
      </w:r>
    </w:p>
    <w:p>
      <w:pPr>
        <w:pStyle w:val="Heading1"/>
      </w:pPr>
      <w:r>
        <w:rPr>
          <w:color w:val="1F4E79"/>
        </w:rPr>
        <w:t>4. Methods</w:t>
      </w:r>
    </w:p>
    <w:p>
      <w:pPr>
        <w:spacing w:after="140"/>
      </w:pPr>
      <w:r>
        <w:rPr>
          <w:sz w:val="21"/>
        </w:rPr>
        <w:t xml:space="preserve">Parameters for each step are the live values in </w:t>
      </w:r>
      <w:r>
        <w:rPr>
          <w:rFonts w:ascii="Menlo" w:hAnsi="Menlo"/>
          <w:color w:val="1A3E6E"/>
          <w:sz w:val="19"/>
        </w:rPr>
        <w:t>config/paths.yaml</w:t>
      </w:r>
      <w:r>
        <w:rPr>
          <w:sz w:val="21"/>
        </w:rPr>
        <w:t xml:space="preserve"> under </w:t>
      </w:r>
      <w:r>
        <w:rPr>
          <w:rFonts w:ascii="Menlo" w:hAnsi="Menlo"/>
          <w:color w:val="1A3E6E"/>
          <w:sz w:val="19"/>
        </w:rPr>
        <w:t>module1</w:t>
      </w:r>
      <w:r>
        <w:rPr>
          <w:sz w:val="21"/>
        </w:rPr>
        <w:t xml:space="preserve"> (and related keys); the per-step tables are collected in "Appendix B: parameters" at the end of this companion, numbered to match the subsections below. They are also stamped into </w:t>
      </w:r>
      <w:r>
        <w:rPr>
          <w:rFonts w:ascii="Menlo" w:hAnsi="Menlo"/>
          <w:color w:val="1A3E6E"/>
          <w:sz w:val="19"/>
        </w:rPr>
        <w:t>outputs/tables/module1_methods_parameters.tsv</w:t>
      </w:r>
      <w:r>
        <w:rPr>
          <w:sz w:val="21"/>
        </w:rPr>
        <w:t xml:space="preserve"> when the notebook runs. Script paths are relative to the project root.</w:t>
      </w:r>
    </w:p>
    <w:p>
      <w:pPr>
        <w:spacing w:after="140"/>
      </w:pPr>
      <w:r>
        <w:rPr>
          <w:sz w:val="21"/>
        </w:rPr>
        <w:t xml:space="preserve">Each Methods step below corresponds to a numbered section of </w:t>
      </w:r>
      <w:r>
        <w:rPr>
          <w:rFonts w:ascii="Menlo" w:hAnsi="Menlo"/>
          <w:color w:val="1A3E6E"/>
          <w:sz w:val="19"/>
        </w:rPr>
        <w:t>notebooks/01_discovery_and_qc.ipynb</w:t>
      </w:r>
      <w:r>
        <w:rPr>
          <w:sz w:val="21"/>
        </w:rPr>
        <w:t>, so the document and the notebook can be read side by side:</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
              <w:rPr>
                <w:b/>
                <w:sz w:val="17"/>
              </w:rPr>
              <w:t>Methods step</w:t>
            </w:r>
          </w:p>
        </w:tc>
        <w:tc>
          <w:tcPr>
            <w:tcW w:type="dxa" w:w="4680"/>
            <w:shd w:val="clear" w:fill="DCE6F1"/>
          </w:tcPr>
          <w:p>
            <w:r/>
            <w:r>
              <w:rPr>
                <w:b/>
                <w:sz w:val="17"/>
              </w:rPr>
              <w:t>Notebook section</w:t>
            </w:r>
          </w:p>
        </w:tc>
      </w:tr>
      <w:tr>
        <w:tc>
          <w:tcPr>
            <w:tcW w:type="dxa" w:w="4680"/>
          </w:tcPr>
          <w:p>
            <w:r/>
            <w:r>
              <w:rPr>
                <w:sz w:val="17"/>
              </w:rPr>
              <w:t>1. Identify and place teaching files</w:t>
            </w:r>
          </w:p>
        </w:tc>
        <w:tc>
          <w:tcPr>
            <w:tcW w:type="dxa" w:w="4680"/>
          </w:tcPr>
          <w:p>
            <w:r/>
            <w:r>
              <w:rPr>
                <w:sz w:val="17"/>
              </w:rPr>
              <w:t>1. Identify and place teaching files</w:t>
            </w:r>
          </w:p>
        </w:tc>
      </w:tr>
      <w:tr>
        <w:tc>
          <w:tcPr>
            <w:tcW w:type="dxa" w:w="4680"/>
          </w:tcPr>
          <w:p>
            <w:r/>
            <w:r>
              <w:rPr>
                <w:sz w:val="17"/>
              </w:rPr>
              <w:t>2. Inventory and measured-size verification</w:t>
            </w:r>
          </w:p>
        </w:tc>
        <w:tc>
          <w:tcPr>
            <w:tcW w:type="dxa" w:w="4680"/>
          </w:tcPr>
          <w:p>
            <w:r/>
            <w:r>
              <w:rPr>
                <w:sz w:val="17"/>
              </w:rPr>
              <w:t>2. Inventory and measured-size verification</w:t>
            </w:r>
          </w:p>
        </w:tc>
      </w:tr>
      <w:tr>
        <w:tc>
          <w:tcPr>
            <w:tcW w:type="dxa" w:w="4680"/>
          </w:tcPr>
          <w:p>
            <w:r/>
            <w:r>
              <w:rPr>
                <w:sz w:val="17"/>
              </w:rPr>
              <w:t>3. Provenance and access table</w:t>
            </w:r>
          </w:p>
        </w:tc>
        <w:tc>
          <w:tcPr>
            <w:tcW w:type="dxa" w:w="4680"/>
          </w:tcPr>
          <w:p>
            <w:r/>
            <w:r>
              <w:rPr>
                <w:sz w:val="17"/>
              </w:rPr>
              <w:t>3. Provenance and access table</w:t>
            </w:r>
          </w:p>
        </w:tc>
      </w:tr>
      <w:tr>
        <w:tc>
          <w:tcPr>
            <w:tcW w:type="dxa" w:w="4680"/>
          </w:tcPr>
          <w:p>
            <w:r/>
            <w:r>
              <w:rPr>
                <w:sz w:val="17"/>
              </w:rPr>
              <w:t>4. Composition gate</w:t>
            </w:r>
          </w:p>
        </w:tc>
        <w:tc>
          <w:tcPr>
            <w:tcW w:type="dxa" w:w="4680"/>
          </w:tcPr>
          <w:p>
            <w:r/>
            <w:r>
              <w:rPr>
                <w:sz w:val="17"/>
              </w:rPr>
              <w:t>4. Composition gate</w:t>
            </w:r>
          </w:p>
        </w:tc>
      </w:tr>
      <w:tr>
        <w:tc>
          <w:tcPr>
            <w:tcW w:type="dxa" w:w="4680"/>
          </w:tcPr>
          <w:p>
            <w:r/>
            <w:r>
              <w:rPr>
                <w:sz w:val="17"/>
              </w:rPr>
              <w:t>5. QC filters</w:t>
            </w:r>
          </w:p>
        </w:tc>
        <w:tc>
          <w:tcPr>
            <w:tcW w:type="dxa" w:w="4680"/>
          </w:tcPr>
          <w:p>
            <w:r/>
            <w:r>
              <w:rPr>
                <w:sz w:val="17"/>
              </w:rPr>
              <w:t>5. QC filters and preprocessing</w:t>
            </w:r>
          </w:p>
        </w:tc>
      </w:tr>
      <w:tr>
        <w:tc>
          <w:tcPr>
            <w:tcW w:type="dxa" w:w="4680"/>
          </w:tcPr>
          <w:p>
            <w:r/>
            <w:r>
              <w:rPr>
                <w:sz w:val="17"/>
              </w:rPr>
              <w:t>6. Preprocess, teaching subsample, neighbors, and UMAP</w:t>
            </w:r>
          </w:p>
        </w:tc>
        <w:tc>
          <w:tcPr>
            <w:tcW w:type="dxa" w:w="4680"/>
          </w:tcPr>
          <w:p>
            <w:r/>
            <w:r>
              <w:rPr>
                <w:sz w:val="17"/>
              </w:rPr>
              <w:t>5. QC filters and preprocessing</w:t>
            </w:r>
          </w:p>
        </w:tc>
      </w:tr>
    </w:tbl>
    <w:p>
      <w:pPr>
        <w:spacing w:after="140"/>
      </w:pPr>
      <w:r>
        <w:rPr>
          <w:sz w:val="21"/>
        </w:rPr>
        <w:t>Steps 5 and 6 share one notebook section because a single call applies the filters and the preprocessing together. Notebook section 0 is environment setup, covered in Module 0, and the unnumbered "Discovery" section carries the CFDE and DCC framing from "Getting the data" above.</w:t>
      </w:r>
    </w:p>
    <w:p>
      <w:pPr>
        <w:pStyle w:val="Heading4"/>
      </w:pPr>
      <w:r>
        <w:rPr>
          <w:color w:val="1F4E79"/>
        </w:rPr>
        <w:t>1. Identify and place teaching files</w:t>
      </w:r>
    </w:p>
    <w:p>
      <w:pPr>
        <w:spacing w:after="140"/>
      </w:pPr>
      <w:r>
        <w:rPr>
          <w:b/>
          <w:sz w:val="21"/>
        </w:rPr>
        <w:t>Script.</w:t>
      </w:r>
      <w:r>
        <w:rPr>
          <w:sz w:val="21"/>
        </w:rPr>
        <w:t xml:space="preserve"> Manual portal download guided by </w:t>
      </w:r>
      <w:r>
        <w:rPr>
          <w:rFonts w:ascii="Menlo" w:hAnsi="Menlo"/>
          <w:color w:val="1A3E6E"/>
          <w:sz w:val="19"/>
        </w:rPr>
        <w:t>config/paths.yaml</w:t>
      </w:r>
      <w:r>
        <w:rPr>
          <w:sz w:val="21"/>
        </w:rPr>
        <w:t xml:space="preserve"> (</w:t>
      </w:r>
      <w:r>
        <w:rPr>
          <w:rFonts w:ascii="Menlo" w:hAnsi="Menlo"/>
          <w:color w:val="1A3E6E"/>
          <w:sz w:val="19"/>
        </w:rPr>
        <w:t>module1.block_id</w:t>
      </w:r>
      <w:r>
        <w:rPr>
          <w:sz w:val="21"/>
        </w:rPr>
        <w:t xml:space="preserve"> / </w:t>
      </w:r>
      <w:r>
        <w:rPr>
          <w:rFonts w:ascii="Menlo" w:hAnsi="Menlo"/>
          <w:color w:val="1A3E6E"/>
          <w:sz w:val="19"/>
        </w:rPr>
        <w:t>module2.inputs</w:t>
      </w:r>
      <w:r>
        <w:rPr>
          <w:sz w:val="21"/>
        </w:rPr>
        <w:t xml:space="preserve">); layout helpers in </w:t>
      </w:r>
      <w:r>
        <w:rPr>
          <w:rFonts w:ascii="Menlo" w:hAnsi="Menlo"/>
          <w:color w:val="1A3E6E"/>
          <w:sz w:val="19"/>
        </w:rPr>
        <w:t>scripts/common/paths.py</w:t>
      </w:r>
      <w:r>
        <w:rPr>
          <w:sz w:val="21"/>
        </w:rPr>
        <w:t xml:space="preserve"> (</w:t>
      </w:r>
      <w:r>
        <w:rPr>
          <w:rFonts w:ascii="Menlo" w:hAnsi="Menlo"/>
          <w:color w:val="1A3E6E"/>
          <w:sz w:val="19"/>
        </w:rPr>
        <w:t>snrna_block_dir</w:t>
      </w:r>
      <w:r>
        <w:rPr>
          <w:sz w:val="21"/>
        </w:rPr>
        <w:t xml:space="preserve">, </w:t>
      </w:r>
      <w:r>
        <w:rPr>
          <w:rFonts w:ascii="Menlo" w:hAnsi="Menlo"/>
          <w:color w:val="1A3E6E"/>
          <w:sz w:val="19"/>
        </w:rPr>
        <w:t>teaching_inputs</w:t>
      </w:r>
      <w:r>
        <w:rPr>
          <w:sz w:val="21"/>
        </w:rPr>
        <w:t xml:space="preserve"> via </w:t>
      </w:r>
      <w:r>
        <w:rPr>
          <w:rFonts w:ascii="Menlo" w:hAnsi="Menlo"/>
          <w:color w:val="1A3E6E"/>
          <w:sz w:val="19"/>
        </w:rPr>
        <w:t>scripts/nb01_discovery/verify.py</w:t>
      </w:r>
      <w:r>
        <w:rPr>
          <w:sz w:val="21"/>
        </w:rPr>
        <w:t>).</w:t>
      </w:r>
    </w:p>
    <w:p>
      <w:pPr>
        <w:spacing w:after="140"/>
      </w:pPr>
      <w:r>
        <w:rPr>
          <w:b/>
          <w:sz w:val="21"/>
        </w:rPr>
        <w:t>What.</w:t>
      </w:r>
      <w:r>
        <w:rPr>
          <w:sz w:val="21"/>
        </w:rPr>
        <w:t xml:space="preserve"> For each teaching donor, locate the public processed HuBMAP product that carries </w:t>
      </w:r>
      <w:r>
        <w:rPr>
          <w:rFonts w:ascii="Menlo" w:hAnsi="Menlo"/>
          <w:color w:val="1A3E6E"/>
          <w:sz w:val="19"/>
        </w:rPr>
        <w:t>raw_expr.h5ad</w:t>
      </w:r>
      <w:r>
        <w:rPr>
          <w:sz w:val="21"/>
        </w:rPr>
        <w:t xml:space="preserve"> (Salmon counts-like matrix) and the block metadata </w:t>
      </w:r>
      <w:r>
        <w:rPr>
          <w:rFonts w:ascii="Menlo" w:hAnsi="Menlo"/>
          <w:color w:val="1A3E6E"/>
          <w:sz w:val="19"/>
        </w:rPr>
        <w:t>.tsv</w:t>
      </w:r>
      <w:r>
        <w:rPr>
          <w:sz w:val="21"/>
        </w:rPr>
        <w:t xml:space="preserve">. Place files under </w:t>
      </w:r>
      <w:r>
        <w:rPr>
          <w:rFonts w:ascii="Menlo" w:hAnsi="Menlo"/>
          <w:color w:val="1A3E6E"/>
          <w:sz w:val="19"/>
        </w:rPr>
        <w:t>data/source/HUBMAP/&lt;Donor&gt;/snRNAseq/&lt;primary_id&gt;/</w:t>
      </w:r>
      <w:r>
        <w:rPr>
          <w:sz w:val="21"/>
        </w:rPr>
        <w:t xml:space="preserve"> using the primary block ID as the folder name (as in the learner manifest). Record </w:t>
      </w:r>
      <w:r>
        <w:rPr>
          <w:rFonts w:ascii="Menlo" w:hAnsi="Menlo"/>
          <w:color w:val="1A3E6E"/>
          <w:sz w:val="19"/>
        </w:rPr>
        <w:t>processed_id</w:t>
      </w:r>
      <w:r>
        <w:rPr>
          <w:sz w:val="21"/>
        </w:rPr>
        <w:t xml:space="preserve"> and UUID in config so the bytes on disk are traceable even when the citation DOI points at the protected primary.</w:t>
      </w:r>
    </w:p>
    <w:p>
      <w:pPr>
        <w:spacing w:after="140"/>
      </w:pPr>
      <w:r>
        <w:rPr>
          <w:sz w:val="21"/>
        </w:rPr>
        <w:t>Parameters: see Appendix B, section 1.</w:t>
      </w:r>
    </w:p>
    <w:p>
      <w:pPr>
        <w:spacing w:after="140"/>
      </w:pPr>
      <w:r>
        <w:rPr>
          <w:b/>
          <w:sz w:val="21"/>
        </w:rPr>
        <w:t>Why.</w:t>
      </w:r>
      <w:r>
        <w:rPr>
          <w:sz w:val="21"/>
        </w:rPr>
        <w:t xml:space="preserve"> Primary datasets with human genetic sequence are protected. Anonymous learners download public processed descendants. Keeping the folder named by the primary ID preserves the citation target while </w:t>
      </w:r>
      <w:r>
        <w:rPr>
          <w:rFonts w:ascii="Menlo" w:hAnsi="Menlo"/>
          <w:color w:val="1A3E6E"/>
          <w:sz w:val="19"/>
        </w:rPr>
        <w:t>processed_id</w:t>
      </w:r>
      <w:r>
        <w:rPr>
          <w:sz w:val="21"/>
        </w:rPr>
        <w:t xml:space="preserve"> / UUID records what was fetched. Extra HuBMAP blocks under a donor are ignored unless listed in </w:t>
      </w:r>
      <w:r>
        <w:rPr>
          <w:rFonts w:ascii="Menlo" w:hAnsi="Menlo"/>
          <w:color w:val="1A3E6E"/>
          <w:sz w:val="19"/>
        </w:rPr>
        <w:t>module2.inputs</w:t>
      </w:r>
      <w:r>
        <w:rPr>
          <w:sz w:val="21"/>
        </w:rPr>
        <w:t>.</w:t>
      </w:r>
    </w:p>
    <w:p>
      <w:pPr>
        <w:pStyle w:val="Heading4"/>
      </w:pPr>
      <w:r>
        <w:rPr>
          <w:color w:val="1F4E79"/>
        </w:rPr>
        <w:t>2. Inventory and measured-size verification</w:t>
      </w:r>
    </w:p>
    <w:p>
      <w:pPr>
        <w:spacing w:after="140"/>
      </w:pPr>
      <w:r>
        <w:rPr>
          <w:b/>
          <w:sz w:val="21"/>
        </w:rPr>
        <w:t>Script.</w:t>
      </w:r>
      <w:r>
        <w:rPr>
          <w:sz w:val="21"/>
        </w:rPr>
        <w:t xml:space="preserve"> </w:t>
      </w:r>
      <w:r>
        <w:rPr>
          <w:rFonts w:ascii="Menlo" w:hAnsi="Menlo"/>
          <w:color w:val="1A3E6E"/>
          <w:sz w:val="19"/>
        </w:rPr>
        <w:t>scripts/nb01_discovery/inventory.py</w:t>
      </w:r>
      <w:r>
        <w:rPr>
          <w:sz w:val="21"/>
        </w:rPr>
        <w:t xml:space="preserve"> (</w:t>
      </w:r>
      <w:r>
        <w:rPr>
          <w:rFonts w:ascii="Menlo" w:hAnsi="Menlo"/>
          <w:color w:val="1A3E6E"/>
          <w:sz w:val="19"/>
        </w:rPr>
        <w:t>inventory_all_donors</w:t>
      </w:r>
      <w:r>
        <w:rPr>
          <w:sz w:val="21"/>
        </w:rPr>
        <w:t xml:space="preserve">, </w:t>
      </w:r>
      <w:r>
        <w:rPr>
          <w:rFonts w:ascii="Menlo" w:hAnsi="Menlo"/>
          <w:color w:val="1A3E6E"/>
          <w:sz w:val="19"/>
        </w:rPr>
        <w:t>summarize_inventory</w:t>
      </w:r>
      <w:r>
        <w:rPr>
          <w:sz w:val="21"/>
        </w:rPr>
        <w:t xml:space="preserve">, </w:t>
      </w:r>
      <w:r>
        <w:rPr>
          <w:rFonts w:ascii="Menlo" w:hAnsi="Menlo"/>
          <w:color w:val="1A3E6E"/>
          <w:sz w:val="19"/>
        </w:rPr>
        <w:t>write_inventory_outputs</w:t>
      </w:r>
      <w:r>
        <w:rPr>
          <w:sz w:val="21"/>
        </w:rPr>
        <w:t xml:space="preserve">); </w:t>
      </w:r>
      <w:r>
        <w:rPr>
          <w:rFonts w:ascii="Menlo" w:hAnsi="Menlo"/>
          <w:color w:val="1A3E6E"/>
          <w:sz w:val="19"/>
        </w:rPr>
        <w:t>scripts/nb01_discovery/verify.py</w:t>
      </w:r>
      <w:r>
        <w:rPr>
          <w:sz w:val="21"/>
        </w:rPr>
        <w:t xml:space="preserve"> (</w:t>
      </w:r>
      <w:r>
        <w:rPr>
          <w:rFonts w:ascii="Menlo" w:hAnsi="Menlo"/>
          <w:color w:val="1A3E6E"/>
          <w:sz w:val="19"/>
        </w:rPr>
        <w:t>verify_teaching_files</w:t>
      </w:r>
      <w:r>
        <w:rPr>
          <w:sz w:val="21"/>
        </w:rPr>
        <w:t xml:space="preserve">, </w:t>
      </w:r>
      <w:r>
        <w:rPr>
          <w:rFonts w:ascii="Menlo" w:hAnsi="Menlo"/>
          <w:color w:val="1A3E6E"/>
          <w:sz w:val="19"/>
        </w:rPr>
        <w:t>learner_download_manifest</w:t>
      </w:r>
      <w:r>
        <w:rPr>
          <w:sz w:val="21"/>
        </w:rPr>
        <w:t xml:space="preserve">, </w:t>
      </w:r>
      <w:r>
        <w:rPr>
          <w:rFonts w:ascii="Menlo" w:hAnsi="Menlo"/>
          <w:color w:val="1A3E6E"/>
          <w:sz w:val="19"/>
        </w:rPr>
        <w:t>write_verification_outputs</w:t>
      </w:r>
      <w:r>
        <w:rPr>
          <w:sz w:val="21"/>
        </w:rPr>
        <w:t>).</w:t>
      </w:r>
    </w:p>
    <w:p>
      <w:pPr>
        <w:spacing w:after="140"/>
      </w:pPr>
      <w:r>
        <w:rPr>
          <w:b/>
          <w:sz w:val="21"/>
        </w:rPr>
        <w:t>What.</w:t>
      </w:r>
      <w:r>
        <w:rPr>
          <w:sz w:val="21"/>
        </w:rPr>
        <w:t xml:space="preserve"> Walk donor trees under </w:t>
      </w:r>
      <w:r>
        <w:rPr>
          <w:rFonts w:ascii="Menlo" w:hAnsi="Menlo"/>
          <w:color w:val="1A3E6E"/>
          <w:sz w:val="19"/>
        </w:rPr>
        <w:t>data/source/HUBMAP/</w:t>
      </w:r>
      <w:r>
        <w:rPr>
          <w:sz w:val="21"/>
        </w:rPr>
        <w:t xml:space="preserve">, record every on-disk file (inventory), then separately check the </w:t>
      </w:r>
      <w:r>
        <w:rPr>
          <w:b/>
          <w:sz w:val="21"/>
        </w:rPr>
        <w:t>required teaching paths</w:t>
      </w:r>
      <w:r>
        <w:rPr>
          <w:sz w:val="21"/>
        </w:rPr>
        <w:t xml:space="preserve"> for presence, measured size, and optional sha256. Write:</w:t>
      </w:r>
    </w:p>
    <w:p>
      <w:pPr>
        <w:pStyle w:val="ListBullet"/>
        <w:spacing w:after="40"/>
      </w:pPr>
      <w:r>
        <w:rPr>
          <w:rFonts w:ascii="Menlo" w:hAnsi="Menlo"/>
          <w:color w:val="1A3E6E"/>
          <w:sz w:val="19"/>
        </w:rPr>
        <w:t>module1_file_inventory.tsv</w:t>
      </w:r>
      <w:r>
        <w:rPr>
          <w:sz w:val="21"/>
        </w:rPr>
        <w:t xml:space="preserve"> / </w:t>
      </w:r>
      <w:r>
        <w:rPr>
          <w:rFonts w:ascii="Menlo" w:hAnsi="Menlo"/>
          <w:color w:val="1A3E6E"/>
          <w:sz w:val="19"/>
        </w:rPr>
        <w:t>module1_inventory_summary.tsv</w:t>
      </w:r>
      <w:r>
        <w:rPr>
          <w:sz w:val="21"/>
        </w:rPr>
        <w:t xml:space="preserve"> (everything under donors)</w:t>
      </w:r>
    </w:p>
    <w:p>
      <w:pPr>
        <w:pStyle w:val="ListBullet"/>
        <w:spacing w:after="40"/>
      </w:pPr>
      <w:r>
        <w:rPr>
          <w:rFonts w:ascii="Menlo" w:hAnsi="Menlo"/>
          <w:color w:val="1A3E6E"/>
          <w:sz w:val="19"/>
        </w:rPr>
        <w:t>module1_file_verification.tsv</w:t>
      </w:r>
      <w:r>
        <w:rPr>
          <w:sz w:val="21"/>
        </w:rPr>
        <w:t xml:space="preserve"> (pass/fail on teaching cores)</w:t>
      </w:r>
    </w:p>
    <w:p>
      <w:pPr>
        <w:pStyle w:val="ListBullet"/>
        <w:spacing w:after="40"/>
      </w:pPr>
      <w:r>
        <w:rPr>
          <w:rFonts w:ascii="Menlo" w:hAnsi="Menlo"/>
          <w:color w:val="1A3E6E"/>
          <w:sz w:val="19"/>
        </w:rPr>
        <w:t>module1_learner_download_manifest.tsv</w:t>
      </w:r>
      <w:r>
        <w:rPr>
          <w:sz w:val="21"/>
        </w:rPr>
        <w:t xml:space="preserve"> and </w:t>
      </w:r>
      <w:r>
        <w:rPr>
          <w:rFonts w:ascii="Menlo" w:hAnsi="Menlo"/>
          <w:color w:val="1A3E6E"/>
          <w:sz w:val="19"/>
        </w:rPr>
        <w:t>module1_learner_download_summary.tsv</w:t>
      </w:r>
      <w:r>
        <w:rPr>
          <w:sz w:val="21"/>
        </w:rPr>
        <w:t xml:space="preserve"> (course download budget)</w:t>
      </w:r>
    </w:p>
    <w:p>
      <w:pPr>
        <w:spacing w:after="140"/>
      </w:pPr>
      <w:r>
        <w:rPr>
          <w:sz w:val="21"/>
        </w:rPr>
        <w:t xml:space="preserve">Core required snRNA file per teaching block is </w:t>
      </w:r>
      <w:r>
        <w:rPr>
          <w:rFonts w:ascii="Menlo" w:hAnsi="Menlo"/>
          <w:color w:val="1A3E6E"/>
          <w:sz w:val="19"/>
        </w:rPr>
        <w:t>raw_expr.h5ad</w:t>
      </w:r>
      <w:r>
        <w:rPr>
          <w:sz w:val="21"/>
        </w:rPr>
        <w:t xml:space="preserve"> plus block metadata </w:t>
      </w:r>
      <w:r>
        <w:rPr>
          <w:rFonts w:ascii="Menlo" w:hAnsi="Menlo"/>
          <w:color w:val="1A3E6E"/>
          <w:sz w:val="19"/>
        </w:rPr>
        <w:t>.tsv</w:t>
      </w:r>
      <w:r>
        <w:rPr>
          <w:sz w:val="21"/>
        </w:rPr>
        <w:t>. Optional files (</w:t>
      </w:r>
      <w:r>
        <w:rPr>
          <w:rFonts w:ascii="Menlo" w:hAnsi="Menlo"/>
          <w:color w:val="1A3E6E"/>
          <w:sz w:val="19"/>
        </w:rPr>
        <w:t>secondary_analysis.h5ad</w:t>
      </w:r>
      <w:r>
        <w:rPr>
          <w:sz w:val="21"/>
        </w:rPr>
        <w:t xml:space="preserve">, </w:t>
      </w:r>
      <w:r>
        <w:rPr>
          <w:rFonts w:ascii="Menlo" w:hAnsi="Menlo"/>
          <w:color w:val="1A3E6E"/>
          <w:sz w:val="19"/>
        </w:rPr>
        <w:t>expr.h5ad</w:t>
      </w:r>
      <w:r>
        <w:rPr>
          <w:sz w:val="21"/>
        </w:rPr>
        <w:t xml:space="preserve">, </w:t>
      </w:r>
      <w:r>
        <w:rPr>
          <w:rFonts w:ascii="Menlo" w:hAnsi="Menlo"/>
          <w:color w:val="1A3E6E"/>
          <w:sz w:val="19"/>
        </w:rPr>
        <w:t>scvelo_annotated.h5ad</w:t>
      </w:r>
      <w:r>
        <w:rPr>
          <w:sz w:val="21"/>
        </w:rPr>
        <w:t>) are inventoried when present but are not counted in the learner total.</w:t>
      </w:r>
    </w:p>
    <w:p>
      <w:pPr>
        <w:spacing w:after="140"/>
      </w:pPr>
      <w:r>
        <w:rPr>
          <w:sz w:val="21"/>
        </w:rPr>
        <w:t>Parameters: see Appendix B, section 2.</w:t>
      </w:r>
    </w:p>
    <w:p>
      <w:pPr>
        <w:spacing w:after="140"/>
      </w:pPr>
      <w:r>
        <w:rPr>
          <w:b/>
          <w:sz w:val="21"/>
        </w:rPr>
        <w:t>Why.</w:t>
      </w:r>
      <w:r>
        <w:rPr>
          <w:sz w:val="21"/>
        </w:rPr>
        <w:t xml:space="preserve"> A missing or truncated </w:t>
      </w:r>
      <w:r>
        <w:rPr>
          <w:rFonts w:ascii="Menlo" w:hAnsi="Menlo"/>
          <w:color w:val="1A3E6E"/>
          <w:sz w:val="19"/>
        </w:rPr>
        <w:t>raw_expr.h5ad</w:t>
      </w:r>
      <w:r>
        <w:rPr>
          <w:sz w:val="21"/>
        </w:rPr>
        <w:t xml:space="preserve"> fails later as a shape or join error. Measuring sizes against the build record turns "I think I downloaded it" into an explicit pass/fail. Inventory can show gigabytes of optional blocks without changing the learner download total; the manifest is the checklist. If a file fails, replace it from the portal rather than adjusting the expected size to force a pass.</w:t>
      </w:r>
    </w:p>
    <w:p>
      <w:pPr>
        <w:pStyle w:val="Heading4"/>
      </w:pPr>
      <w:r>
        <w:rPr>
          <w:color w:val="1F4E79"/>
        </w:rPr>
        <w:t>3. Provenance and access table</w:t>
      </w:r>
    </w:p>
    <w:p>
      <w:pPr>
        <w:spacing w:after="140"/>
      </w:pPr>
      <w:r>
        <w:rPr>
          <w:b/>
          <w:sz w:val="21"/>
        </w:rPr>
        <w:t>Script.</w:t>
      </w:r>
      <w:r>
        <w:rPr>
          <w:sz w:val="21"/>
        </w:rPr>
        <w:t xml:space="preserve"> </w:t>
      </w:r>
      <w:r>
        <w:rPr>
          <w:rFonts w:ascii="Menlo" w:hAnsi="Menlo"/>
          <w:color w:val="1A3E6E"/>
          <w:sz w:val="19"/>
        </w:rPr>
        <w:t>scripts/nb01_discovery/access_table.py</w:t>
      </w:r>
      <w:r>
        <w:rPr>
          <w:sz w:val="21"/>
        </w:rPr>
        <w:t xml:space="preserve"> (</w:t>
      </w:r>
      <w:r>
        <w:rPr>
          <w:rFonts w:ascii="Menlo" w:hAnsi="Menlo"/>
          <w:color w:val="1A3E6E"/>
          <w:sz w:val="19"/>
        </w:rPr>
        <w:t>build_access_provenance_table</w:t>
      </w:r>
      <w:r>
        <w:rPr>
          <w:sz w:val="21"/>
        </w:rPr>
        <w:t xml:space="preserve">, </w:t>
      </w:r>
      <w:r>
        <w:rPr>
          <w:rFonts w:ascii="Menlo" w:hAnsi="Menlo"/>
          <w:color w:val="1A3E6E"/>
          <w:sz w:val="19"/>
        </w:rPr>
        <w:t>write_access_provenance_table</w:t>
      </w:r>
      <w:r>
        <w:rPr>
          <w:sz w:val="21"/>
        </w:rPr>
        <w:t>).</w:t>
      </w:r>
    </w:p>
    <w:p>
      <w:pPr>
        <w:spacing w:after="140"/>
      </w:pPr>
      <w:r>
        <w:rPr>
          <w:b/>
          <w:sz w:val="21"/>
        </w:rPr>
        <w:t>What.</w:t>
      </w:r>
      <w:r>
        <w:rPr>
          <w:sz w:val="21"/>
        </w:rPr>
        <w:t xml:space="preserve"> Emit </w:t>
      </w:r>
      <w:r>
        <w:rPr>
          <w:rFonts w:ascii="Menlo" w:hAnsi="Menlo"/>
          <w:color w:val="1A3E6E"/>
          <w:sz w:val="19"/>
        </w:rPr>
        <w:t>module1_dataset_access_provenance.tsv</w:t>
      </w:r>
      <w:r>
        <w:rPr>
          <w:sz w:val="21"/>
        </w:rPr>
        <w:t xml:space="preserve"> with redistribution status </w:t>
      </w:r>
      <w:r>
        <w:rPr>
          <w:b/>
          <w:sz w:val="21"/>
        </w:rPr>
        <w:t>not redistributed; learner downloads from source portal</w:t>
      </w:r>
      <w:r>
        <w:rPr>
          <w:sz w:val="21"/>
        </w:rPr>
        <w:t>, plus roles for snRNA teaching blocks, Donor_2 multiome MOFA, and GTEx TPM used later.</w:t>
      </w:r>
    </w:p>
    <w:p>
      <w:pPr>
        <w:spacing w:after="140"/>
      </w:pPr>
      <w:r>
        <w:rPr>
          <w:sz w:val="21"/>
        </w:rPr>
        <w:t>Parameters: see Appendix B, section 3.</w:t>
      </w:r>
    </w:p>
    <w:p>
      <w:pPr>
        <w:spacing w:after="140"/>
      </w:pPr>
      <w:r>
        <w:rPr>
          <w:b/>
          <w:sz w:val="21"/>
        </w:rPr>
        <w:t>Why.</w:t>
      </w:r>
      <w:r>
        <w:rPr>
          <w:sz w:val="21"/>
        </w:rPr>
        <w:t xml:space="preserve"> The course package is code and derived tables/figures, not a data mirror. Access status belongs beside inventory so reviewers and learners see redistribution rules once.</w:t>
      </w:r>
    </w:p>
    <w:p>
      <w:pPr>
        <w:pStyle w:val="Heading4"/>
      </w:pPr>
      <w:r>
        <w:rPr>
          <w:color w:val="1F4E79"/>
        </w:rPr>
        <w:t>4. Composition gate (airway-lineage epithelial labels)</w:t>
      </w:r>
    </w:p>
    <w:p>
      <w:pPr>
        <w:spacing w:after="140"/>
      </w:pPr>
      <w:r>
        <w:rPr>
          <w:b/>
          <w:sz w:val="21"/>
        </w:rPr>
        <w:t>Script.</w:t>
      </w:r>
      <w:r>
        <w:rPr>
          <w:sz w:val="21"/>
        </w:rPr>
        <w:t xml:space="preserve"> </w:t>
      </w:r>
      <w:r>
        <w:rPr>
          <w:rFonts w:ascii="Menlo" w:hAnsi="Menlo"/>
          <w:color w:val="1A3E6E"/>
          <w:sz w:val="19"/>
        </w:rPr>
        <w:t>scripts/nb01_discovery/composition_gate.py</w:t>
      </w:r>
      <w:r>
        <w:rPr>
          <w:sz w:val="21"/>
        </w:rPr>
        <w:t xml:space="preserve"> (</w:t>
      </w:r>
      <w:r>
        <w:rPr>
          <w:rFonts w:ascii="Menlo" w:hAnsi="Menlo"/>
          <w:color w:val="1A3E6E"/>
          <w:sz w:val="19"/>
        </w:rPr>
        <w:t>donor_azimuth_crosstab</w:t>
      </w:r>
      <w:r>
        <w:rPr>
          <w:sz w:val="21"/>
        </w:rPr>
        <w:t xml:space="preserve">, </w:t>
      </w:r>
      <w:r>
        <w:rPr>
          <w:rFonts w:ascii="Menlo" w:hAnsi="Menlo"/>
          <w:color w:val="1A3E6E"/>
          <w:sz w:val="19"/>
        </w:rPr>
        <w:t>epithelial_airway_lineage_summary</w:t>
      </w:r>
      <w:r>
        <w:rPr>
          <w:sz w:val="21"/>
        </w:rPr>
        <w:t xml:space="preserve">, </w:t>
      </w:r>
      <w:r>
        <w:rPr>
          <w:rFonts w:ascii="Menlo" w:hAnsi="Menlo"/>
          <w:color w:val="1A3E6E"/>
          <w:sz w:val="19"/>
        </w:rPr>
        <w:t>write_composition_gate</w:t>
      </w:r>
      <w:r>
        <w:rPr>
          <w:sz w:val="21"/>
        </w:rPr>
        <w:t xml:space="preserve">). Label set </w:t>
      </w:r>
      <w:r>
        <w:rPr>
          <w:rFonts w:ascii="Menlo" w:hAnsi="Menlo"/>
          <w:color w:val="1A3E6E"/>
          <w:sz w:val="19"/>
        </w:rPr>
        <w:t>AIRWAY_LINEAGE_EPITHELIAL</w:t>
      </w:r>
      <w:r>
        <w:rPr>
          <w:sz w:val="21"/>
        </w:rPr>
        <w:t xml:space="preserve"> (Club, Goblet, Deuterosomal, SMG, Tuft, multiciliated, transitional Club-AT2, and related). Backward-compatible alias </w:t>
      </w:r>
      <w:r>
        <w:rPr>
          <w:rFonts w:ascii="Menlo" w:hAnsi="Menlo"/>
          <w:color w:val="1A3E6E"/>
          <w:sz w:val="19"/>
        </w:rPr>
        <w:t>epithelial_gate</w:t>
      </w:r>
      <w:r>
        <w:rPr>
          <w:sz w:val="21"/>
        </w:rPr>
        <w:t xml:space="preserve"> still calls the same epithelial summary; it is </w:t>
      </w:r>
      <w:r>
        <w:rPr>
          <w:b/>
          <w:sz w:val="21"/>
        </w:rPr>
        <w:t>not</w:t>
      </w:r>
      <w:r>
        <w:rPr>
          <w:sz w:val="21"/>
        </w:rPr>
        <w:t xml:space="preserve"> a fifth coarse class.</w:t>
      </w:r>
    </w:p>
    <w:p>
      <w:pPr>
        <w:spacing w:after="140"/>
      </w:pPr>
      <w:r>
        <w:rPr>
          <w:b/>
          <w:sz w:val="21"/>
        </w:rPr>
        <w:t>What.</w:t>
      </w:r>
      <w:r>
        <w:rPr>
          <w:sz w:val="21"/>
        </w:rPr>
        <w:t xml:space="preserve"> Read </w:t>
      </w:r>
      <w:r>
        <w:rPr>
          <w:rFonts w:ascii="Menlo" w:hAnsi="Menlo"/>
          <w:color w:val="1A3E6E"/>
          <w:sz w:val="19"/>
        </w:rPr>
        <w:t>azimuth_label</w:t>
      </w:r>
      <w:r>
        <w:rPr>
          <w:sz w:val="21"/>
        </w:rPr>
        <w:t xml:space="preserve"> (or fallback annotation columns) from each teaching block's </w:t>
      </w:r>
      <w:r>
        <w:rPr>
          <w:rFonts w:ascii="Menlo" w:hAnsi="Menlo"/>
          <w:color w:val="1A3E6E"/>
          <w:sz w:val="19"/>
        </w:rPr>
        <w:t>secondary_analysis.h5ad</w:t>
      </w:r>
      <w:r>
        <w:rPr>
          <w:sz w:val="21"/>
        </w:rPr>
        <w:t xml:space="preserve"> in backed mode, crosstab labels by donor, and summarize epithelial airway-lineage membership before locking the cohort for Module 2. Outputs include:</w:t>
      </w:r>
    </w:p>
    <w:p>
      <w:pPr>
        <w:pStyle w:val="ListBullet"/>
        <w:spacing w:after="40"/>
      </w:pPr>
      <w:r>
        <w:rPr>
          <w:rFonts w:ascii="Menlo" w:hAnsi="Menlo"/>
          <w:color w:val="1A3E6E"/>
          <w:sz w:val="19"/>
        </w:rPr>
        <w:t>module1_epithelial_airway_lineage_composition.tsv</w:t>
      </w:r>
    </w:p>
    <w:p>
      <w:pPr>
        <w:pStyle w:val="ListBullet"/>
        <w:spacing w:after="40"/>
      </w:pPr>
      <w:r>
        <w:rPr>
          <w:rFonts w:ascii="Menlo" w:hAnsi="Menlo"/>
          <w:color w:val="1A3E6E"/>
          <w:sz w:val="19"/>
        </w:rPr>
        <w:t>module1_epithelial_airway_lineage_by_donor.tsv</w:t>
      </w:r>
    </w:p>
    <w:p>
      <w:pPr>
        <w:pStyle w:val="ListBullet"/>
        <w:spacing w:after="40"/>
      </w:pPr>
      <w:r>
        <w:rPr>
          <w:rFonts w:ascii="Menlo" w:hAnsi="Menlo"/>
          <w:color w:val="1A3E6E"/>
          <w:sz w:val="19"/>
        </w:rPr>
        <w:t>module1_donor_azimuth_composition.tsv</w:t>
      </w:r>
    </w:p>
    <w:p>
      <w:pPr>
        <w:pStyle w:val="ListBullet"/>
        <w:spacing w:after="40"/>
      </w:pPr>
      <w:r>
        <w:rPr>
          <w:rFonts w:ascii="Menlo" w:hAnsi="Menlo"/>
          <w:color w:val="1A3E6E"/>
          <w:sz w:val="19"/>
        </w:rPr>
        <w:t>module1_azimuth_join_coverage.tsv</w:t>
      </w:r>
    </w:p>
    <w:p>
      <w:pPr>
        <w:spacing w:after="140"/>
      </w:pPr>
      <w:r>
        <w:rPr>
          <w:sz w:val="21"/>
        </w:rPr>
        <w:t xml:space="preserve">This gate is a </w:t>
      </w:r>
      <w:r>
        <w:rPr>
          <w:b/>
          <w:sz w:val="21"/>
        </w:rPr>
        <w:t>pre-QC secondary_analysis inventory</w:t>
      </w:r>
      <w:r>
        <w:rPr>
          <w:sz w:val="21"/>
        </w:rPr>
        <w:t xml:space="preserve">. It does not use Module 1 QC-filtered or subsampled objects. Module 2 composition and DE use post-QC, possibly subsampled integrated nuclei and map airway secretory / gland Azimuth labels into the coarse </w:t>
      </w:r>
      <w:r>
        <w:rPr>
          <w:b/>
          <w:sz w:val="21"/>
        </w:rPr>
        <w:t>`epithelial`</w:t>
      </w:r>
      <w:r>
        <w:rPr>
          <w:sz w:val="21"/>
        </w:rPr>
        <w:t xml:space="preserve"> bucket only (four classes total: epithelial, endothelial, stromal, immune). Never treat a fifth coarse airway bucket as a Module 2 </w:t>
      </w:r>
      <w:r>
        <w:rPr>
          <w:rFonts w:ascii="Menlo" w:hAnsi="Menlo"/>
          <w:color w:val="1A3E6E"/>
          <w:sz w:val="19"/>
        </w:rPr>
        <w:t>cell_class</w:t>
      </w:r>
      <w:r>
        <w:rPr>
          <w:sz w:val="21"/>
        </w:rPr>
        <w:t>.</w:t>
      </w:r>
    </w:p>
    <w:p>
      <w:pPr>
        <w:spacing w:after="140"/>
      </w:pPr>
      <w:r>
        <w:rPr>
          <w:sz w:val="21"/>
        </w:rPr>
        <w:t>Parameters: see Appendix B, section 4.</w:t>
      </w:r>
    </w:p>
    <w:p>
      <w:pPr>
        <w:spacing w:after="140"/>
      </w:pPr>
      <w:r>
        <w:rPr>
          <w:b/>
          <w:sz w:val="21"/>
        </w:rPr>
        <w:t>Why.</w:t>
      </w:r>
      <w:r>
        <w:rPr>
          <w:sz w:val="21"/>
        </w:rPr>
        <w:t xml:space="preserve"> If teaching blocks lacked airway-lineage labels entirely, epithelial composition in Module 2 would be alveolar-only by construction. Classic SMG labels may still be rare; Club / transitional labels still contribute to epithelial. Donor_1 historically leaves more raw barcodes without labels than Donor_2/3; that is a join fact, not automatic QC failure.</w:t>
      </w:r>
    </w:p>
    <w:p>
      <w:pPr>
        <w:pStyle w:val="Heading4"/>
      </w:pPr>
      <w:r>
        <w:rPr>
          <w:color w:val="1F4E79"/>
        </w:rPr>
        <w:t>5. QC filters</w:t>
      </w:r>
    </w:p>
    <w:p>
      <w:pPr>
        <w:spacing w:after="140"/>
      </w:pPr>
      <w:r>
        <w:rPr>
          <w:b/>
          <w:sz w:val="21"/>
        </w:rPr>
        <w:t>Script.</w:t>
      </w:r>
      <w:r>
        <w:rPr>
          <w:sz w:val="21"/>
        </w:rPr>
        <w:t xml:space="preserve"> </w:t>
      </w:r>
      <w:r>
        <w:rPr>
          <w:rFonts w:ascii="Menlo" w:hAnsi="Menlo"/>
          <w:color w:val="1A3E6E"/>
          <w:sz w:val="19"/>
        </w:rPr>
        <w:t>scripts/nb02_qc/qc.py</w:t>
      </w:r>
      <w:r>
        <w:rPr>
          <w:sz w:val="21"/>
        </w:rPr>
        <w:t xml:space="preserve"> (</w:t>
      </w:r>
      <w:r>
        <w:rPr>
          <w:rFonts w:ascii="Menlo" w:hAnsi="Menlo"/>
          <w:color w:val="1A3E6E"/>
          <w:sz w:val="19"/>
        </w:rPr>
        <w:t>compute_qc_metrics</w:t>
      </w:r>
      <w:r>
        <w:rPr>
          <w:sz w:val="21"/>
        </w:rPr>
        <w:t xml:space="preserve">, </w:t>
      </w:r>
      <w:r>
        <w:rPr>
          <w:rFonts w:ascii="Menlo" w:hAnsi="Menlo"/>
          <w:color w:val="1A3E6E"/>
          <w:sz w:val="19"/>
        </w:rPr>
        <w:t>apply_filters</w:t>
      </w:r>
      <w:r>
        <w:rPr>
          <w:sz w:val="21"/>
        </w:rPr>
        <w:t xml:space="preserve">); load helpers in </w:t>
      </w:r>
      <w:r>
        <w:rPr>
          <w:rFonts w:ascii="Menlo" w:hAnsi="Menlo"/>
          <w:color w:val="1A3E6E"/>
          <w:sz w:val="19"/>
        </w:rPr>
        <w:t>scripts/nb02_qc/load.py</w:t>
      </w:r>
      <w:r>
        <w:rPr>
          <w:sz w:val="21"/>
        </w:rPr>
        <w:t xml:space="preserve">; per-block logs via </w:t>
      </w:r>
      <w:r>
        <w:rPr>
          <w:rFonts w:ascii="Menlo" w:hAnsi="Menlo"/>
          <w:color w:val="1A3E6E"/>
          <w:sz w:val="19"/>
        </w:rPr>
        <w:t>scripts/nb02_qc/export.py</w:t>
      </w:r>
      <w:r>
        <w:rPr>
          <w:sz w:val="21"/>
        </w:rPr>
        <w:t>.</w:t>
      </w:r>
    </w:p>
    <w:p>
      <w:pPr>
        <w:spacing w:after="140"/>
      </w:pPr>
      <w:r>
        <w:rPr>
          <w:b/>
          <w:sz w:val="21"/>
        </w:rPr>
        <w:t>What.</w:t>
      </w:r>
      <w:r>
        <w:rPr>
          <w:sz w:val="21"/>
        </w:rPr>
        <w:t xml:space="preserve"> For each teaching block, load </w:t>
      </w:r>
      <w:r>
        <w:rPr>
          <w:rFonts w:ascii="Menlo" w:hAnsi="Menlo"/>
          <w:color w:val="1A3E6E"/>
          <w:sz w:val="19"/>
        </w:rPr>
        <w:t>raw_expr.h5ad</w:t>
      </w:r>
      <w:r>
        <w:rPr>
          <w:sz w:val="21"/>
        </w:rPr>
        <w:t xml:space="preserve">, compute QC metrics (including mitochondrial and ribosomal percent), and apply filters in fixed order: gene prevalence, min genes per nucleus, min counts, max mitochondrial percent, max genes. Doublet calling is </w:t>
      </w:r>
      <w:r>
        <w:rPr>
          <w:b/>
          <w:sz w:val="21"/>
        </w:rPr>
        <w:t>not</w:t>
      </w:r>
      <w:r>
        <w:rPr>
          <w:sz w:val="21"/>
        </w:rPr>
        <w:t xml:space="preserve"> applied on the core path (</w:t>
      </w:r>
      <w:r>
        <w:rPr>
          <w:rFonts w:ascii="Menlo" w:hAnsi="Menlo"/>
          <w:color w:val="1A3E6E"/>
          <w:sz w:val="19"/>
        </w:rPr>
        <w:t>module1.doublet_filtering: false</w:t>
      </w:r>
      <w:r>
        <w:rPr>
          <w:sz w:val="21"/>
        </w:rPr>
        <w:t xml:space="preserve">): inputs are already HuBMAP-processed nuclei. Each step is logged with nucleus and gene counts in </w:t>
      </w:r>
      <w:r>
        <w:rPr>
          <w:rFonts w:ascii="Menlo" w:hAnsi="Menlo"/>
          <w:color w:val="1A3E6E"/>
          <w:sz w:val="19"/>
        </w:rPr>
        <w:t>module1_qc_filter_log_&lt;block_id&gt;.tsv</w:t>
      </w:r>
      <w:r>
        <w:rPr>
          <w:sz w:val="21"/>
        </w:rPr>
        <w:t xml:space="preserve"> and combined in </w:t>
      </w:r>
      <w:r>
        <w:rPr>
          <w:rFonts w:ascii="Menlo" w:hAnsi="Menlo"/>
          <w:color w:val="1A3E6E"/>
          <w:sz w:val="19"/>
        </w:rPr>
        <w:t>module1_qc_filter_log_all_donors.tsv</w:t>
      </w:r>
      <w:r>
        <w:rPr>
          <w:sz w:val="21"/>
        </w:rPr>
        <w:t>.</w:t>
      </w:r>
    </w:p>
    <w:p>
      <w:pPr>
        <w:spacing w:after="140"/>
      </w:pPr>
      <w:r>
        <w:rPr>
          <w:sz w:val="21"/>
        </w:rPr>
        <w:t>Parameters: see Appendix B, section 5.</w:t>
      </w:r>
    </w:p>
    <w:p>
      <w:pPr>
        <w:spacing w:after="140"/>
      </w:pPr>
      <w:r>
        <w:rPr>
          <w:b/>
          <w:sz w:val="21"/>
        </w:rPr>
        <w:t>Why.</w:t>
      </w:r>
      <w:r>
        <w:rPr>
          <w:sz w:val="21"/>
        </w:rPr>
        <w:t xml:space="preserve"> Defaults are transparent, reproducible, and matched to snRNA-seq rather than aggressive cell-line filters. Mitochondrial filtering at 5% is treated as a diagnostic ceiling: on these nuclear objects it often removes almost no nuclei, so depth and complexity dominate the filter path.</w:t>
      </w:r>
    </w:p>
    <w:p>
      <w:pPr>
        <w:pStyle w:val="Heading4"/>
      </w:pPr>
      <w:r>
        <w:rPr>
          <w:color w:val="1F4E79"/>
        </w:rPr>
        <w:t>6. Preprocess, teaching subsample, neighbors, and UMAP</w:t>
      </w:r>
    </w:p>
    <w:p>
      <w:pPr>
        <w:spacing w:after="140"/>
      </w:pPr>
      <w:r>
        <w:rPr>
          <w:b/>
          <w:sz w:val="21"/>
        </w:rPr>
        <w:t>Script.</w:t>
      </w:r>
      <w:r>
        <w:rPr>
          <w:sz w:val="21"/>
        </w:rPr>
        <w:t xml:space="preserve"> </w:t>
      </w:r>
      <w:r>
        <w:rPr>
          <w:rFonts w:ascii="Menlo" w:hAnsi="Menlo"/>
          <w:color w:val="1A3E6E"/>
          <w:sz w:val="19"/>
        </w:rPr>
        <w:t>scripts/nb02_qc/preprocess.py</w:t>
      </w:r>
      <w:r>
        <w:rPr>
          <w:sz w:val="21"/>
        </w:rPr>
        <w:t xml:space="preserve"> (</w:t>
      </w:r>
      <w:r>
        <w:rPr>
          <w:rFonts w:ascii="Menlo" w:hAnsi="Menlo"/>
          <w:color w:val="1A3E6E"/>
          <w:sz w:val="19"/>
        </w:rPr>
        <w:t>normalize_log</w:t>
      </w:r>
      <w:r>
        <w:rPr>
          <w:sz w:val="21"/>
        </w:rPr>
        <w:t xml:space="preserve">, </w:t>
      </w:r>
      <w:r>
        <w:rPr>
          <w:rFonts w:ascii="Menlo" w:hAnsi="Menlo"/>
          <w:color w:val="1A3E6E"/>
          <w:sz w:val="19"/>
        </w:rPr>
        <w:t>hvg_pca</w:t>
      </w:r>
      <w:r>
        <w:rPr>
          <w:sz w:val="21"/>
        </w:rPr>
        <w:t xml:space="preserve">, </w:t>
      </w:r>
      <w:r>
        <w:rPr>
          <w:rFonts w:ascii="Menlo" w:hAnsi="Menlo"/>
          <w:color w:val="1A3E6E"/>
          <w:sz w:val="19"/>
        </w:rPr>
        <w:t>maybe_subsample</w:t>
      </w:r>
      <w:r>
        <w:rPr>
          <w:sz w:val="21"/>
        </w:rPr>
        <w:t xml:space="preserve">, </w:t>
      </w:r>
      <w:r>
        <w:rPr>
          <w:rFonts w:ascii="Menlo" w:hAnsi="Menlo"/>
          <w:color w:val="1A3E6E"/>
          <w:sz w:val="19"/>
        </w:rPr>
        <w:t>neighbors_umap</w:t>
      </w:r>
      <w:r>
        <w:rPr>
          <w:sz w:val="21"/>
        </w:rPr>
        <w:t xml:space="preserve">); save via </w:t>
      </w:r>
      <w:r>
        <w:rPr>
          <w:rFonts w:ascii="Menlo" w:hAnsi="Menlo"/>
          <w:color w:val="1A3E6E"/>
          <w:sz w:val="19"/>
        </w:rPr>
        <w:t>scripts/nb02_qc/export.py</w:t>
      </w:r>
      <w:r>
        <w:rPr>
          <w:sz w:val="21"/>
        </w:rPr>
        <w:t xml:space="preserve"> (</w:t>
      </w:r>
      <w:r>
        <w:rPr>
          <w:rFonts w:ascii="Menlo" w:hAnsi="Menlo"/>
          <w:color w:val="1A3E6E"/>
          <w:sz w:val="19"/>
        </w:rPr>
        <w:t>save_module1_outputs</w:t>
      </w:r>
      <w:r>
        <w:rPr>
          <w:sz w:val="21"/>
        </w:rPr>
        <w:t xml:space="preserve"> / module1 h5ad writers).</w:t>
      </w:r>
    </w:p>
    <w:p>
      <w:pPr>
        <w:spacing w:after="140"/>
      </w:pPr>
      <w:r>
        <w:rPr>
          <w:b/>
          <w:sz w:val="21"/>
        </w:rPr>
        <w:t>What.</w:t>
      </w:r>
      <w:r>
        <w:rPr>
          <w:sz w:val="21"/>
        </w:rPr>
        <w:t xml:space="preserve"> After QC, run total-count normalization and log1p, select highly variable genes (Seurat flavor on log-normalized X), scale with clipping, and compute PCA. </w:t>
      </w:r>
      <w:r>
        <w:rPr>
          <w:b/>
          <w:sz w:val="21"/>
        </w:rPr>
        <w:t>Then</w:t>
      </w:r>
      <w:r>
        <w:rPr>
          <w:sz w:val="21"/>
        </w:rPr>
        <w:t xml:space="preserve"> apply the teaching subsample (</w:t>
      </w:r>
      <w:r>
        <w:rPr>
          <w:rFonts w:ascii="Menlo" w:hAnsi="Menlo"/>
          <w:color w:val="1A3E6E"/>
          <w:sz w:val="19"/>
        </w:rPr>
        <w:t>module1.max_nuclei</w:t>
      </w:r>
      <w:r>
        <w:rPr>
          <w:sz w:val="21"/>
        </w:rPr>
        <w:t xml:space="preserve">) with </w:t>
      </w:r>
      <w:r>
        <w:rPr>
          <w:rFonts w:ascii="Menlo" w:hAnsi="Menlo"/>
          <w:color w:val="1A3E6E"/>
          <w:sz w:val="19"/>
        </w:rPr>
        <w:t>module1.random_seed</w:t>
      </w:r>
      <w:r>
        <w:rPr>
          <w:sz w:val="21"/>
        </w:rPr>
        <w:t xml:space="preserve">. </w:t>
      </w:r>
      <w:r>
        <w:rPr>
          <w:b/>
          <w:sz w:val="21"/>
        </w:rPr>
        <w:t>Only after</w:t>
      </w:r>
      <w:r>
        <w:rPr>
          <w:sz w:val="21"/>
        </w:rPr>
        <w:t xml:space="preserve"> subsample compute neighbors and UMAP. Order matters: HVG/PCA see the full post-QC nucleus set; neighborhood graphs and UMAP see the capped teaching set. Preserve raw counts in </w:t>
      </w:r>
      <w:r>
        <w:rPr>
          <w:rFonts w:ascii="Menlo" w:hAnsi="Menlo"/>
          <w:color w:val="1A3E6E"/>
          <w:sz w:val="19"/>
        </w:rPr>
        <w:t>layers['counts']</w:t>
      </w:r>
      <w:r>
        <w:rPr>
          <w:sz w:val="21"/>
        </w:rPr>
        <w:t xml:space="preserve"> for downstream DE. Write </w:t>
      </w:r>
      <w:r>
        <w:rPr>
          <w:rFonts w:ascii="Menlo" w:hAnsi="Menlo"/>
          <w:color w:val="1A3E6E"/>
          <w:sz w:val="19"/>
        </w:rPr>
        <w:t>data/processed/hubmap/module1_&lt;block_id&gt;_qc_preprocessed.h5ad</w:t>
      </w:r>
      <w:r>
        <w:rPr>
          <w:sz w:val="21"/>
        </w:rPr>
        <w:t xml:space="preserve"> for Module 2.</w:t>
      </w:r>
    </w:p>
    <w:p>
      <w:pPr>
        <w:spacing w:after="140"/>
      </w:pPr>
      <w:r>
        <w:rPr>
          <w:sz w:val="21"/>
        </w:rPr>
        <w:t xml:space="preserve">Module 2 does </w:t>
      </w:r>
      <w:r>
        <w:rPr>
          <w:b/>
          <w:sz w:val="21"/>
        </w:rPr>
        <w:t>not</w:t>
      </w:r>
      <w:r>
        <w:rPr>
          <w:sz w:val="21"/>
        </w:rPr>
        <w:t xml:space="preserve"> reuse this per-donor embedding for integration: it recomputes joint HVG/PCA (</w:t>
      </w:r>
      <w:r>
        <w:rPr>
          <w:rFonts w:ascii="Menlo" w:hAnsi="Menlo"/>
          <w:color w:val="1A3E6E"/>
          <w:sz w:val="19"/>
        </w:rPr>
        <w:t>module2.embedding.n_pcs=40</w:t>
      </w:r>
      <w:r>
        <w:rPr>
          <w:sz w:val="21"/>
        </w:rPr>
        <w:t>) on the concatenated object. Module 1 UMAP is a teaching QC view.</w:t>
      </w:r>
    </w:p>
    <w:p>
      <w:pPr>
        <w:spacing w:after="140"/>
      </w:pPr>
      <w:r>
        <w:rPr>
          <w:sz w:val="21"/>
        </w:rPr>
        <w:t>Parameters: see Appendix B, section 6.</w:t>
      </w:r>
    </w:p>
    <w:p>
      <w:pPr>
        <w:spacing w:after="140"/>
      </w:pPr>
      <w:r>
        <w:rPr>
          <w:b/>
          <w:sz w:val="21"/>
        </w:rPr>
        <w:t>Why.</w:t>
      </w:r>
      <w:r>
        <w:rPr>
          <w:sz w:val="21"/>
        </w:rPr>
        <w:t xml:space="preserve"> Module 2 needs a comparable preprocessed object per donor with a counts layer. The 5000-nucleus cap keeps classroom RAM predictable; Donor_1 often finishes QC below the cap and is not subsampled. Subsampling after HVG/PCA avoids re-estimating HVGs on a random subset while still reducing neighbor-graph cost.</w:t>
      </w:r>
    </w:p>
    <w:p>
      <w:pPr>
        <w:spacing w:after="140"/>
      </w:pPr>
      <w:r>
        <w:rPr>
          <w:sz w:val="21"/>
        </w:rPr>
        <w:t>Committed parameter stamp: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step</w:t>
            </w:r>
          </w:p>
        </w:tc>
        <w:tc>
          <w:tcPr>
            <w:tcW w:type="dxa" w:w="3120"/>
            <w:shd w:val="clear" w:fill="DCE6F1"/>
          </w:tcPr>
          <w:p>
            <w:r/>
            <w:r>
              <w:rPr>
                <w:b/>
                <w:sz w:val="17"/>
              </w:rPr>
              <w:t>parameters</w:t>
            </w:r>
          </w:p>
        </w:tc>
        <w:tc>
          <w:tcPr>
            <w:tcW w:type="dxa" w:w="3120"/>
            <w:shd w:val="clear" w:fill="DCE6F1"/>
          </w:tcPr>
          <w:p>
            <w:r/>
            <w:r>
              <w:rPr>
                <w:b/>
                <w:sz w:val="17"/>
              </w:rPr>
              <w:t>package_or_function</w:t>
            </w:r>
          </w:p>
        </w:tc>
      </w:tr>
      <w:tr>
        <w:tc>
          <w:tcPr>
            <w:tcW w:type="dxa" w:w="3120"/>
          </w:tcPr>
          <w:p>
            <w:r/>
            <w:r>
              <w:rPr>
                <w:sz w:val="17"/>
              </w:rPr>
              <w:t>Input matrix</w:t>
            </w:r>
          </w:p>
        </w:tc>
        <w:tc>
          <w:tcPr>
            <w:tcW w:type="dxa" w:w="3120"/>
          </w:tcPr>
          <w:p>
            <w:r/>
            <w:r>
              <w:rPr>
                <w:sz w:val="17"/>
              </w:rPr>
              <w:t xml:space="preserve">HuBMAP Salmon </w:t>
            </w:r>
            <w:r>
              <w:rPr>
                <w:rFonts w:ascii="Menlo" w:hAnsi="Menlo"/>
                <w:color w:val="1A3E6E"/>
                <w:sz w:val="15"/>
              </w:rPr>
              <w:t>raw_expr.h5ad</w:t>
            </w:r>
            <w:r>
              <w:rPr>
                <w:sz w:val="17"/>
              </w:rPr>
              <w:t xml:space="preserve"> (counts-like)</w:t>
            </w:r>
          </w:p>
        </w:tc>
        <w:tc>
          <w:tcPr>
            <w:tcW w:type="dxa" w:w="3120"/>
          </w:tcPr>
          <w:p>
            <w:r/>
            <w:r>
              <w:rPr>
                <w:sz w:val="17"/>
              </w:rPr>
              <w:t>anndata / scanpy</w:t>
            </w:r>
          </w:p>
        </w:tc>
      </w:tr>
      <w:tr>
        <w:tc>
          <w:tcPr>
            <w:tcW w:type="dxa" w:w="3120"/>
          </w:tcPr>
          <w:p>
            <w:r/>
            <w:r>
              <w:rPr>
                <w:sz w:val="17"/>
              </w:rPr>
              <w:t>QC metrics</w:t>
            </w:r>
          </w:p>
        </w:tc>
        <w:tc>
          <w:tcPr>
            <w:tcW w:type="dxa" w:w="3120"/>
          </w:tcPr>
          <w:p>
            <w:r/>
            <w:r>
              <w:rPr>
                <w:sz w:val="17"/>
              </w:rPr>
              <w:t>scanpy.pp.calculate_qc_metrics (mt, ribo)</w:t>
            </w:r>
          </w:p>
        </w:tc>
        <w:tc>
          <w:tcPr>
            <w:tcW w:type="dxa" w:w="3120"/>
          </w:tcPr>
          <w:p>
            <w:r/>
            <w:r>
              <w:rPr>
                <w:sz w:val="17"/>
              </w:rPr>
              <w:t>scanpy</w:t>
            </w:r>
          </w:p>
        </w:tc>
      </w:tr>
      <w:tr>
        <w:tc>
          <w:tcPr>
            <w:tcW w:type="dxa" w:w="3120"/>
          </w:tcPr>
          <w:p>
            <w:r/>
            <w:r>
              <w:rPr>
                <w:sz w:val="17"/>
              </w:rPr>
              <w:t>Gene filter</w:t>
            </w:r>
          </w:p>
        </w:tc>
        <w:tc>
          <w:tcPr>
            <w:tcW w:type="dxa" w:w="3120"/>
          </w:tcPr>
          <w:p>
            <w:r/>
            <w:r>
              <w:rPr>
                <w:sz w:val="17"/>
              </w:rPr>
              <w:t>min_cells=3</w:t>
            </w:r>
          </w:p>
        </w:tc>
        <w:tc>
          <w:tcPr>
            <w:tcW w:type="dxa" w:w="3120"/>
          </w:tcPr>
          <w:p>
            <w:r/>
            <w:r>
              <w:rPr>
                <w:sz w:val="17"/>
              </w:rPr>
              <w:t>scanpy.pp.filter_genes</w:t>
            </w:r>
          </w:p>
        </w:tc>
      </w:tr>
      <w:tr>
        <w:tc>
          <w:tcPr>
            <w:tcW w:type="dxa" w:w="3120"/>
          </w:tcPr>
          <w:p>
            <w:r/>
            <w:r>
              <w:rPr>
                <w:sz w:val="17"/>
              </w:rPr>
              <w:t>Cell filter: complexity</w:t>
            </w:r>
          </w:p>
        </w:tc>
        <w:tc>
          <w:tcPr>
            <w:tcW w:type="dxa" w:w="3120"/>
          </w:tcPr>
          <w:p>
            <w:r/>
            <w:r>
              <w:rPr>
                <w:sz w:val="17"/>
              </w:rPr>
              <w:t>min_genes=200</w:t>
            </w:r>
          </w:p>
        </w:tc>
        <w:tc>
          <w:tcPr>
            <w:tcW w:type="dxa" w:w="3120"/>
          </w:tcPr>
          <w:p>
            <w:r/>
            <w:r>
              <w:rPr>
                <w:sz w:val="17"/>
              </w:rPr>
              <w:t>scanpy.pp.filter_cells</w:t>
            </w:r>
          </w:p>
        </w:tc>
      </w:tr>
      <w:tr>
        <w:tc>
          <w:tcPr>
            <w:tcW w:type="dxa" w:w="3120"/>
          </w:tcPr>
          <w:p>
            <w:r/>
            <w:r>
              <w:rPr>
                <w:sz w:val="17"/>
              </w:rPr>
              <w:t>Cell filter: depth</w:t>
            </w:r>
          </w:p>
        </w:tc>
        <w:tc>
          <w:tcPr>
            <w:tcW w:type="dxa" w:w="3120"/>
          </w:tcPr>
          <w:p>
            <w:r/>
            <w:r>
              <w:rPr>
                <w:sz w:val="17"/>
              </w:rPr>
              <w:t>min_counts=500</w:t>
            </w:r>
          </w:p>
        </w:tc>
        <w:tc>
          <w:tcPr>
            <w:tcW w:type="dxa" w:w="3120"/>
          </w:tcPr>
          <w:p>
            <w:r/>
            <w:r>
              <w:rPr>
                <w:sz w:val="17"/>
              </w:rPr>
              <w:t>obs threshold</w:t>
            </w:r>
          </w:p>
        </w:tc>
      </w:tr>
      <w:tr>
        <w:tc>
          <w:tcPr>
            <w:tcW w:type="dxa" w:w="3120"/>
          </w:tcPr>
          <w:p>
            <w:r/>
            <w:r>
              <w:rPr>
                <w:sz w:val="17"/>
              </w:rPr>
              <w:t>Cell filter: mito</w:t>
            </w:r>
          </w:p>
        </w:tc>
        <w:tc>
          <w:tcPr>
            <w:tcW w:type="dxa" w:w="3120"/>
          </w:tcPr>
          <w:p>
            <w:r/>
            <w:r>
              <w:rPr>
                <w:sz w:val="17"/>
              </w:rPr>
              <w:t>max_mito_percent=5.0</w:t>
            </w:r>
          </w:p>
        </w:tc>
        <w:tc>
          <w:tcPr>
            <w:tcW w:type="dxa" w:w="3120"/>
          </w:tcPr>
          <w:p>
            <w:r/>
            <w:r>
              <w:rPr>
                <w:sz w:val="17"/>
              </w:rPr>
              <w:t>obs threshold</w:t>
            </w:r>
          </w:p>
        </w:tc>
      </w:tr>
      <w:tr>
        <w:tc>
          <w:tcPr>
            <w:tcW w:type="dxa" w:w="3120"/>
          </w:tcPr>
          <w:p>
            <w:r/>
            <w:r>
              <w:rPr>
                <w:sz w:val="17"/>
              </w:rPr>
              <w:t>Cell filter: max genes</w:t>
            </w:r>
          </w:p>
        </w:tc>
        <w:tc>
          <w:tcPr>
            <w:tcW w:type="dxa" w:w="3120"/>
          </w:tcPr>
          <w:p>
            <w:r/>
            <w:r>
              <w:rPr>
                <w:sz w:val="17"/>
              </w:rPr>
              <w:t>max_genes=8000</w:t>
            </w:r>
          </w:p>
        </w:tc>
        <w:tc>
          <w:tcPr>
            <w:tcW w:type="dxa" w:w="3120"/>
          </w:tcPr>
          <w:p>
            <w:r/>
            <w:r>
              <w:rPr>
                <w:sz w:val="17"/>
              </w:rPr>
              <w:t>obs threshold</w:t>
            </w:r>
          </w:p>
        </w:tc>
      </w:tr>
      <w:tr>
        <w:tc>
          <w:tcPr>
            <w:tcW w:type="dxa" w:w="3120"/>
          </w:tcPr>
          <w:p>
            <w:r/>
            <w:r>
              <w:rPr>
                <w:sz w:val="17"/>
              </w:rPr>
              <w:t>Doublet filtering</w:t>
            </w:r>
          </w:p>
        </w:tc>
        <w:tc>
          <w:tcPr>
            <w:tcW w:type="dxa" w:w="3120"/>
          </w:tcPr>
          <w:p>
            <w:r/>
            <w:r>
              <w:rPr>
                <w:sz w:val="17"/>
              </w:rPr>
              <w:t>Not applied in core path (HuBMAP processed nuclei; optional Scrublet deferred)</w:t>
            </w:r>
          </w:p>
        </w:tc>
        <w:tc>
          <w:tcPr>
            <w:tcW w:type="dxa" w:w="3120"/>
          </w:tcPr>
          <w:p>
            <w:r/>
            <w:r>
              <w:rPr>
                <w:sz w:val="17"/>
              </w:rPr>
              <w:t>n/a</w:t>
            </w:r>
          </w:p>
        </w:tc>
      </w:tr>
      <w:tr>
        <w:tc>
          <w:tcPr>
            <w:tcW w:type="dxa" w:w="3120"/>
          </w:tcPr>
          <w:p>
            <w:r/>
            <w:r>
              <w:rPr>
                <w:sz w:val="17"/>
              </w:rPr>
              <w:t>Normalization</w:t>
            </w:r>
          </w:p>
        </w:tc>
        <w:tc>
          <w:tcPr>
            <w:tcW w:type="dxa" w:w="3120"/>
          </w:tcPr>
          <w:p>
            <w:r/>
            <w:r>
              <w:rPr>
                <w:sz w:val="17"/>
              </w:rPr>
              <w:t>normalize_total target_sum=10000</w:t>
            </w:r>
          </w:p>
        </w:tc>
        <w:tc>
          <w:tcPr>
            <w:tcW w:type="dxa" w:w="3120"/>
          </w:tcPr>
          <w:p>
            <w:r/>
            <w:r>
              <w:rPr>
                <w:sz w:val="17"/>
              </w:rPr>
              <w:t>scanpy.pp.normalize_total</w:t>
            </w:r>
          </w:p>
        </w:tc>
      </w:tr>
      <w:tr>
        <w:tc>
          <w:tcPr>
            <w:tcW w:type="dxa" w:w="3120"/>
          </w:tcPr>
          <w:p>
            <w:r/>
            <w:r>
              <w:rPr>
                <w:sz w:val="17"/>
              </w:rPr>
              <w:t>Log transform</w:t>
            </w:r>
          </w:p>
        </w:tc>
        <w:tc>
          <w:tcPr>
            <w:tcW w:type="dxa" w:w="3120"/>
          </w:tcPr>
          <w:p>
            <w:r/>
            <w:r>
              <w:rPr>
                <w:sz w:val="17"/>
              </w:rPr>
              <w:t>log1p</w:t>
            </w:r>
          </w:p>
        </w:tc>
        <w:tc>
          <w:tcPr>
            <w:tcW w:type="dxa" w:w="3120"/>
          </w:tcPr>
          <w:p>
            <w:r/>
            <w:r>
              <w:rPr>
                <w:sz w:val="17"/>
              </w:rPr>
              <w:t>scanpy.pp.log1p</w:t>
            </w:r>
          </w:p>
        </w:tc>
      </w:tr>
      <w:tr>
        <w:tc>
          <w:tcPr>
            <w:tcW w:type="dxa" w:w="3120"/>
          </w:tcPr>
          <w:p>
            <w:r/>
            <w:r>
              <w:rPr>
                <w:sz w:val="17"/>
              </w:rPr>
              <w:t>Feature selection</w:t>
            </w:r>
          </w:p>
        </w:tc>
        <w:tc>
          <w:tcPr>
            <w:tcW w:type="dxa" w:w="3120"/>
          </w:tcPr>
          <w:p>
            <w:r/>
            <w:r>
              <w:rPr>
                <w:sz w:val="17"/>
              </w:rPr>
              <w:t>Seurat HVG n_top_genes=2000</w:t>
            </w:r>
          </w:p>
        </w:tc>
        <w:tc>
          <w:tcPr>
            <w:tcW w:type="dxa" w:w="3120"/>
          </w:tcPr>
          <w:p>
            <w:r/>
            <w:r>
              <w:rPr>
                <w:sz w:val="17"/>
              </w:rPr>
              <w:t>scanpy.pp.highly_variable_genes</w:t>
            </w:r>
          </w:p>
        </w:tc>
      </w:tr>
      <w:tr>
        <w:tc>
          <w:tcPr>
            <w:tcW w:type="dxa" w:w="3120"/>
          </w:tcPr>
          <w:p>
            <w:r/>
            <w:r>
              <w:rPr>
                <w:sz w:val="17"/>
              </w:rPr>
              <w:t>Scaling</w:t>
            </w:r>
          </w:p>
        </w:tc>
        <w:tc>
          <w:tcPr>
            <w:tcW w:type="dxa" w:w="3120"/>
          </w:tcPr>
          <w:p>
            <w:r/>
            <w:r>
              <w:rPr>
                <w:sz w:val="17"/>
              </w:rPr>
              <w:t>max_value=10 (HVG subset)</w:t>
            </w:r>
          </w:p>
        </w:tc>
        <w:tc>
          <w:tcPr>
            <w:tcW w:type="dxa" w:w="3120"/>
          </w:tcPr>
          <w:p>
            <w:r/>
            <w:r>
              <w:rPr>
                <w:sz w:val="17"/>
              </w:rPr>
              <w:t>scanpy.pp.scale</w:t>
            </w:r>
          </w:p>
        </w:tc>
      </w:tr>
      <w:tr>
        <w:tc>
          <w:tcPr>
            <w:tcW w:type="dxa" w:w="3120"/>
          </w:tcPr>
          <w:p>
            <w:r/>
            <w:r>
              <w:rPr>
                <w:sz w:val="17"/>
              </w:rPr>
              <w:t>PCA</w:t>
            </w:r>
          </w:p>
        </w:tc>
        <w:tc>
          <w:tcPr>
            <w:tcW w:type="dxa" w:w="3120"/>
          </w:tcPr>
          <w:p>
            <w:r/>
            <w:r>
              <w:rPr>
                <w:sz w:val="17"/>
              </w:rPr>
              <w:t>n_comps=50, svd_solver=arpack</w:t>
            </w:r>
          </w:p>
        </w:tc>
        <w:tc>
          <w:tcPr>
            <w:tcW w:type="dxa" w:w="3120"/>
          </w:tcPr>
          <w:p>
            <w:r/>
            <w:r>
              <w:rPr>
                <w:sz w:val="17"/>
              </w:rPr>
              <w:t>scanpy.tl.pca</w:t>
            </w:r>
          </w:p>
        </w:tc>
      </w:tr>
      <w:tr>
        <w:tc>
          <w:tcPr>
            <w:tcW w:type="dxa" w:w="3120"/>
          </w:tcPr>
          <w:p>
            <w:r/>
            <w:r>
              <w:rPr>
                <w:sz w:val="17"/>
              </w:rPr>
              <w:t>Neighbors graph</w:t>
            </w:r>
          </w:p>
        </w:tc>
        <w:tc>
          <w:tcPr>
            <w:tcW w:type="dxa" w:w="3120"/>
          </w:tcPr>
          <w:p>
            <w:r/>
            <w:r>
              <w:rPr>
                <w:sz w:val="17"/>
              </w:rPr>
              <w:t>n_neighbors=15, n_pcs=50</w:t>
            </w:r>
          </w:p>
        </w:tc>
        <w:tc>
          <w:tcPr>
            <w:tcW w:type="dxa" w:w="3120"/>
          </w:tcPr>
          <w:p>
            <w:r/>
            <w:r>
              <w:rPr>
                <w:sz w:val="17"/>
              </w:rPr>
              <w:t>scanpy.pp.neighbors</w:t>
            </w:r>
          </w:p>
        </w:tc>
      </w:tr>
    </w:tbl>
    <w:p>
      <w:r>
        <w:rPr>
          <w:i/>
          <w:color w:val="444444"/>
          <w:sz w:val="17"/>
        </w:rPr>
        <w:t>Showing 14 of 17 rows. Source: module1_methods_parameters.tsv</w:t>
      </w:r>
    </w:p>
    <w:p>
      <w:pPr>
        <w:pStyle w:val="Heading1"/>
      </w:pPr>
      <w:r>
        <w:rPr>
          <w:color w:val="1F4E79"/>
        </w:rPr>
        <w:t>5. Results</w:t>
      </w:r>
    </w:p>
    <w:p>
      <w:pPr>
        <w:pStyle w:val="Heading4"/>
      </w:pPr>
      <w:r>
        <w:rPr>
          <w:color w:val="1F4E79"/>
        </w:rPr>
        <w:t>Verification and download total</w:t>
      </w:r>
    </w:p>
    <w:p>
      <w:pPr>
        <w:spacing w:after="140"/>
      </w:pPr>
      <w:r>
        <w:rPr>
          <w:sz w:val="21"/>
        </w:rPr>
        <w:t>Verification covered 23 files: the 10 required teaching files, all present (</w:t>
      </w:r>
      <w:r>
        <w:rPr>
          <w:rFonts w:ascii="Menlo" w:hAnsi="Menlo"/>
          <w:color w:val="1A3E6E"/>
          <w:sz w:val="19"/>
        </w:rPr>
        <w:t>n_required_missing = 0</w:t>
      </w:r>
      <w:r>
        <w:rPr>
          <w:sz w:val="21"/>
        </w:rPr>
        <w:t xml:space="preserve">), and 13 optional files excluded from the budget. Every required row matches the manifest on </w:t>
      </w:r>
      <w:r>
        <w:rPr>
          <w:rFonts w:ascii="Menlo" w:hAnsi="Menlo"/>
          <w:color w:val="1A3E6E"/>
          <w:sz w:val="19"/>
        </w:rPr>
        <w:t>size_mb</w:t>
      </w:r>
      <w:r>
        <w:rPr>
          <w:sz w:val="21"/>
        </w:rPr>
        <w:t xml:space="preserve"> and </w:t>
      </w:r>
      <w:r>
        <w:rPr>
          <w:rFonts w:ascii="Menlo" w:hAnsi="Menlo"/>
          <w:color w:val="1A3E6E"/>
          <w:sz w:val="19"/>
        </w:rPr>
        <w:t>sha256</w:t>
      </w:r>
      <w:r>
        <w:rPr>
          <w:sz w:val="21"/>
        </w:rPr>
        <w:t>, so nothing was truncated. Those optional rows measure 19,253.5 MB together, which is why the manifest, not the inventory, defines the download.</w:t>
      </w:r>
    </w:p>
    <w:p>
      <w:pPr>
        <w:spacing w:after="140"/>
      </w:pPr>
      <w:r>
        <w:rPr>
          <w:sz w:val="21"/>
        </w:rPr>
        <w:t>Module 1 verification covers the HuBMAP files it manages directly. The full course budget, including the GTEx, GEO and OSDR files that Module 4 requires, is itemized under "Option 1: minimum download, recommended" above, with retrieval commands in Appendix A.</w:t>
      </w:r>
    </w:p>
    <w:p>
      <w:pPr>
        <w:spacing w:after="140"/>
      </w:pPr>
      <w:r>
        <w:rPr>
          <w:sz w:val="21"/>
        </w:rPr>
        <w:t xml:space="preserve">The measured HuBMAP portion of the download is 394.60 MB of </w:t>
      </w:r>
      <w:r>
        <w:rPr>
          <w:rFonts w:ascii="Menlo" w:hAnsi="Menlo"/>
          <w:color w:val="1A3E6E"/>
          <w:sz w:val="19"/>
        </w:rPr>
        <w:t>raw_expr.h5ad</w:t>
      </w:r>
      <w:r>
        <w:rPr>
          <w:sz w:val="21"/>
        </w:rPr>
        <w:t xml:space="preserve"> (68.57, 104.55, 150.92 and 70.56) plus 0.08 MB of block metadata TSVs, and the Donor_2 </w:t>
      </w:r>
      <w:r>
        <w:rPr>
          <w:rFonts w:ascii="Menlo" w:hAnsi="Menlo"/>
          <w:color w:val="1A3E6E"/>
          <w:sz w:val="19"/>
        </w:rPr>
        <w:t>multiome_mofa.hdf5</w:t>
      </w:r>
      <w:r>
        <w:rPr>
          <w:sz w:val="21"/>
        </w:rPr>
        <w:t xml:space="preserve"> listed in the download summary. With the GTEx, GEO and OSDR files that Module 4 requires, the full course download is reported in </w:t>
      </w:r>
      <w:r>
        <w:rPr>
          <w:rFonts w:ascii="Menlo" w:hAnsi="Menlo"/>
          <w:color w:val="1A3E6E"/>
          <w:sz w:val="19"/>
        </w:rPr>
        <w:t>module1_learner_download_summary.tsv</w:t>
      </w:r>
      <w:r>
        <w:rPr>
          <w:sz w:val="21"/>
        </w:rPr>
        <w:t>. Module 1 verification reports every required file as present and size-matched against the manifest.</w:t>
      </w:r>
    </w:p>
    <w:p>
      <w:pPr>
        <w:pStyle w:val="Heading4"/>
      </w:pPr>
      <w:r>
        <w:rPr>
          <w:color w:val="1F4E79"/>
        </w:rPr>
        <w:t>QC filter path (all teaching donors)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CE6F1"/>
          </w:tcPr>
          <w:p>
            <w:r/>
            <w:r>
              <w:rPr>
                <w:b/>
                <w:sz w:val="17"/>
              </w:rPr>
              <w:t>donor_label</w:t>
            </w:r>
          </w:p>
        </w:tc>
        <w:tc>
          <w:tcPr>
            <w:tcW w:type="dxa" w:w="1560"/>
            <w:shd w:val="clear" w:fill="DCE6F1"/>
          </w:tcPr>
          <w:p>
            <w:r/>
            <w:r>
              <w:rPr>
                <w:b/>
                <w:sz w:val="17"/>
              </w:rPr>
              <w:t>block_id</w:t>
            </w:r>
          </w:p>
        </w:tc>
        <w:tc>
          <w:tcPr>
            <w:tcW w:type="dxa" w:w="1560"/>
            <w:shd w:val="clear" w:fill="DCE6F1"/>
          </w:tcPr>
          <w:p>
            <w:r/>
            <w:r>
              <w:rPr>
                <w:b/>
                <w:sz w:val="17"/>
              </w:rPr>
              <w:t>step</w:t>
            </w:r>
          </w:p>
        </w:tc>
        <w:tc>
          <w:tcPr>
            <w:tcW w:type="dxa" w:w="1560"/>
            <w:shd w:val="clear" w:fill="DCE6F1"/>
          </w:tcPr>
          <w:p>
            <w:r/>
            <w:r>
              <w:rPr>
                <w:b/>
                <w:sz w:val="17"/>
              </w:rPr>
              <w:t>n_nuclei</w:t>
            </w:r>
          </w:p>
        </w:tc>
        <w:tc>
          <w:tcPr>
            <w:tcW w:type="dxa" w:w="1560"/>
            <w:shd w:val="clear" w:fill="DCE6F1"/>
          </w:tcPr>
          <w:p>
            <w:r/>
            <w:r>
              <w:rPr>
                <w:b/>
                <w:sz w:val="17"/>
              </w:rPr>
              <w:t>n_genes</w:t>
            </w:r>
          </w:p>
        </w:tc>
        <w:tc>
          <w:tcPr>
            <w:tcW w:type="dxa" w:w="1560"/>
            <w:shd w:val="clear" w:fill="DCE6F1"/>
          </w:tcPr>
          <w:p>
            <w:r/>
            <w:r>
              <w:rPr>
                <w:b/>
                <w:sz w:val="17"/>
              </w:rPr>
              <w:t>rationale</w:t>
            </w:r>
          </w:p>
        </w:tc>
      </w:tr>
      <w:tr>
        <w:tc>
          <w:tcPr>
            <w:tcW w:type="dxa" w:w="1560"/>
          </w:tcPr>
          <w:p>
            <w:r/>
            <w:r>
              <w:rPr>
                <w:sz w:val="17"/>
              </w:rPr>
              <w:t>Donor_1</w:t>
            </w:r>
          </w:p>
        </w:tc>
        <w:tc>
          <w:tcPr>
            <w:tcW w:type="dxa" w:w="1560"/>
          </w:tcPr>
          <w:p>
            <w:r/>
            <w:r>
              <w:rPr>
                <w:sz w:val="17"/>
              </w:rPr>
              <w:t>HBM347.VDHS.379</w:t>
            </w:r>
          </w:p>
        </w:tc>
        <w:tc>
          <w:tcPr>
            <w:tcW w:type="dxa" w:w="1560"/>
          </w:tcPr>
          <w:p>
            <w:r/>
            <w:r>
              <w:rPr>
                <w:sz w:val="17"/>
              </w:rPr>
              <w:t>loaded</w:t>
            </w:r>
          </w:p>
        </w:tc>
        <w:tc>
          <w:tcPr>
            <w:tcW w:type="dxa" w:w="1560"/>
          </w:tcPr>
          <w:p>
            <w:r/>
            <w:r>
              <w:rPr>
                <w:sz w:val="17"/>
              </w:rPr>
              <w:t>4899</w:t>
            </w:r>
          </w:p>
        </w:tc>
        <w:tc>
          <w:tcPr>
            <w:tcW w:type="dxa" w:w="1560"/>
          </w:tcPr>
          <w:p>
            <w:r/>
            <w:r>
              <w:rPr>
                <w:sz w:val="17"/>
              </w:rPr>
              <w:t>98000</w:t>
            </w:r>
          </w:p>
        </w:tc>
        <w:tc>
          <w:tcPr>
            <w:tcW w:type="dxa" w:w="1560"/>
          </w:tcPr>
          <w:p>
            <w:r/>
            <w:r>
              <w:rPr>
                <w:sz w:val="17"/>
              </w:rPr>
              <w:t>raw_expr.h5ad as QC starting matrix</w:t>
            </w:r>
          </w:p>
        </w:tc>
      </w:tr>
      <w:tr>
        <w:tc>
          <w:tcPr>
            <w:tcW w:type="dxa" w:w="1560"/>
          </w:tcPr>
          <w:p>
            <w:r/>
            <w:r>
              <w:rPr>
                <w:sz w:val="17"/>
              </w:rPr>
              <w:t>Donor_1</w:t>
            </w:r>
          </w:p>
        </w:tc>
        <w:tc>
          <w:tcPr>
            <w:tcW w:type="dxa" w:w="1560"/>
          </w:tcPr>
          <w:p>
            <w:r/>
            <w:r>
              <w:rPr>
                <w:sz w:val="17"/>
              </w:rPr>
              <w:t>HBM347.VDHS.379</w:t>
            </w:r>
          </w:p>
        </w:tc>
        <w:tc>
          <w:tcPr>
            <w:tcW w:type="dxa" w:w="1560"/>
          </w:tcPr>
          <w:p>
            <w:r/>
            <w:r>
              <w:rPr>
                <w:sz w:val="17"/>
              </w:rPr>
              <w:t>min_cells_per_gene</w:t>
            </w:r>
          </w:p>
        </w:tc>
        <w:tc>
          <w:tcPr>
            <w:tcW w:type="dxa" w:w="1560"/>
          </w:tcPr>
          <w:p>
            <w:r/>
            <w:r>
              <w:rPr>
                <w:sz w:val="17"/>
              </w:rPr>
              <w:t>4899</w:t>
            </w:r>
          </w:p>
        </w:tc>
        <w:tc>
          <w:tcPr>
            <w:tcW w:type="dxa" w:w="1560"/>
          </w:tcPr>
          <w:p>
            <w:r/>
            <w:r>
              <w:rPr>
                <w:sz w:val="17"/>
              </w:rPr>
              <w:t>45859</w:t>
            </w:r>
          </w:p>
        </w:tc>
        <w:tc>
          <w:tcPr>
            <w:tcW w:type="dxa" w:w="1560"/>
          </w:tcPr>
          <w:p>
            <w:r/>
            <w:r>
              <w:rPr>
                <w:sz w:val="17"/>
              </w:rPr>
              <w:t>Retain genes detected in &gt;= 3 nuclei</w:t>
            </w:r>
          </w:p>
        </w:tc>
      </w:tr>
      <w:tr>
        <w:tc>
          <w:tcPr>
            <w:tcW w:type="dxa" w:w="1560"/>
          </w:tcPr>
          <w:p>
            <w:r/>
            <w:r>
              <w:rPr>
                <w:sz w:val="17"/>
              </w:rPr>
              <w:t>Donor_1</w:t>
            </w:r>
          </w:p>
        </w:tc>
        <w:tc>
          <w:tcPr>
            <w:tcW w:type="dxa" w:w="1560"/>
          </w:tcPr>
          <w:p>
            <w:r/>
            <w:r>
              <w:rPr>
                <w:sz w:val="17"/>
              </w:rPr>
              <w:t>HBM347.VDHS.379</w:t>
            </w:r>
          </w:p>
        </w:tc>
        <w:tc>
          <w:tcPr>
            <w:tcW w:type="dxa" w:w="1560"/>
          </w:tcPr>
          <w:p>
            <w:r/>
            <w:r>
              <w:rPr>
                <w:sz w:val="17"/>
              </w:rPr>
              <w:t>min_genes</w:t>
            </w:r>
          </w:p>
        </w:tc>
        <w:tc>
          <w:tcPr>
            <w:tcW w:type="dxa" w:w="1560"/>
          </w:tcPr>
          <w:p>
            <w:r/>
            <w:r>
              <w:rPr>
                <w:sz w:val="17"/>
              </w:rPr>
              <w:t>4346</w:t>
            </w:r>
          </w:p>
        </w:tc>
        <w:tc>
          <w:tcPr>
            <w:tcW w:type="dxa" w:w="1560"/>
          </w:tcPr>
          <w:p>
            <w:r/>
            <w:r>
              <w:rPr>
                <w:sz w:val="17"/>
              </w:rPr>
              <w:t>45859</w:t>
            </w:r>
          </w:p>
        </w:tc>
        <w:tc>
          <w:tcPr>
            <w:tcW w:type="dxa" w:w="1560"/>
          </w:tcPr>
          <w:p>
            <w:r/>
            <w:r>
              <w:rPr>
                <w:sz w:val="17"/>
              </w:rPr>
              <w:t>Remove low-complexity nuclei with &lt; 200 genes</w:t>
            </w:r>
          </w:p>
        </w:tc>
      </w:tr>
      <w:tr>
        <w:tc>
          <w:tcPr>
            <w:tcW w:type="dxa" w:w="1560"/>
          </w:tcPr>
          <w:p>
            <w:r/>
            <w:r>
              <w:rPr>
                <w:sz w:val="17"/>
              </w:rPr>
              <w:t>Donor_1</w:t>
            </w:r>
          </w:p>
        </w:tc>
        <w:tc>
          <w:tcPr>
            <w:tcW w:type="dxa" w:w="1560"/>
          </w:tcPr>
          <w:p>
            <w:r/>
            <w:r>
              <w:rPr>
                <w:sz w:val="17"/>
              </w:rPr>
              <w:t>HBM347.VDHS.379</w:t>
            </w:r>
          </w:p>
        </w:tc>
        <w:tc>
          <w:tcPr>
            <w:tcW w:type="dxa" w:w="1560"/>
          </w:tcPr>
          <w:p>
            <w:r/>
            <w:r>
              <w:rPr>
                <w:sz w:val="17"/>
              </w:rPr>
              <w:t>min_counts</w:t>
            </w:r>
          </w:p>
        </w:tc>
        <w:tc>
          <w:tcPr>
            <w:tcW w:type="dxa" w:w="1560"/>
          </w:tcPr>
          <w:p>
            <w:r/>
            <w:r>
              <w:rPr>
                <w:sz w:val="17"/>
              </w:rPr>
              <w:t>3885</w:t>
            </w:r>
          </w:p>
        </w:tc>
        <w:tc>
          <w:tcPr>
            <w:tcW w:type="dxa" w:w="1560"/>
          </w:tcPr>
          <w:p>
            <w:r/>
            <w:r>
              <w:rPr>
                <w:sz w:val="17"/>
              </w:rPr>
              <w:t>45859</w:t>
            </w:r>
          </w:p>
        </w:tc>
        <w:tc>
          <w:tcPr>
            <w:tcW w:type="dxa" w:w="1560"/>
          </w:tcPr>
          <w:p>
            <w:r/>
            <w:r>
              <w:rPr>
                <w:sz w:val="17"/>
              </w:rPr>
              <w:t>Remove nuclei with &lt; 500 total counts</w:t>
            </w:r>
          </w:p>
        </w:tc>
      </w:tr>
      <w:tr>
        <w:tc>
          <w:tcPr>
            <w:tcW w:type="dxa" w:w="1560"/>
          </w:tcPr>
          <w:p>
            <w:r/>
            <w:r>
              <w:rPr>
                <w:sz w:val="17"/>
              </w:rPr>
              <w:t>Donor_1</w:t>
            </w:r>
          </w:p>
        </w:tc>
        <w:tc>
          <w:tcPr>
            <w:tcW w:type="dxa" w:w="1560"/>
          </w:tcPr>
          <w:p>
            <w:r/>
            <w:r>
              <w:rPr>
                <w:sz w:val="17"/>
              </w:rPr>
              <w:t>HBM347.VDHS.379</w:t>
            </w:r>
          </w:p>
        </w:tc>
        <w:tc>
          <w:tcPr>
            <w:tcW w:type="dxa" w:w="1560"/>
          </w:tcPr>
          <w:p>
            <w:r/>
            <w:r>
              <w:rPr>
                <w:sz w:val="17"/>
              </w:rPr>
              <w:t>max_mito_percent</w:t>
            </w:r>
          </w:p>
        </w:tc>
        <w:tc>
          <w:tcPr>
            <w:tcW w:type="dxa" w:w="1560"/>
          </w:tcPr>
          <w:p>
            <w:r/>
            <w:r>
              <w:rPr>
                <w:sz w:val="17"/>
              </w:rPr>
              <w:t>3885</w:t>
            </w:r>
          </w:p>
        </w:tc>
        <w:tc>
          <w:tcPr>
            <w:tcW w:type="dxa" w:w="1560"/>
          </w:tcPr>
          <w:p>
            <w:r/>
            <w:r>
              <w:rPr>
                <w:sz w:val="17"/>
              </w:rPr>
              <w:t>45859</w:t>
            </w:r>
          </w:p>
        </w:tc>
        <w:tc>
          <w:tcPr>
            <w:tcW w:type="dxa" w:w="1560"/>
          </w:tcPr>
          <w:p>
            <w:r/>
            <w:r>
              <w:rPr>
                <w:sz w:val="17"/>
              </w:rPr>
              <w:t>Remove nuclei with mitochondrial percent &gt; 5.0 (snRNA typically low mito; threshold is diagnostic)</w:t>
            </w:r>
          </w:p>
        </w:tc>
      </w:tr>
      <w:tr>
        <w:tc>
          <w:tcPr>
            <w:tcW w:type="dxa" w:w="1560"/>
          </w:tcPr>
          <w:p>
            <w:r/>
            <w:r>
              <w:rPr>
                <w:sz w:val="17"/>
              </w:rPr>
              <w:t>Donor_1</w:t>
            </w:r>
          </w:p>
        </w:tc>
        <w:tc>
          <w:tcPr>
            <w:tcW w:type="dxa" w:w="1560"/>
          </w:tcPr>
          <w:p>
            <w:r/>
            <w:r>
              <w:rPr>
                <w:sz w:val="17"/>
              </w:rPr>
              <w:t>HBM347.VDHS.379</w:t>
            </w:r>
          </w:p>
        </w:tc>
        <w:tc>
          <w:tcPr>
            <w:tcW w:type="dxa" w:w="1560"/>
          </w:tcPr>
          <w:p>
            <w:r/>
            <w:r>
              <w:rPr>
                <w:sz w:val="17"/>
              </w:rPr>
              <w:t>max_genes</w:t>
            </w:r>
          </w:p>
        </w:tc>
        <w:tc>
          <w:tcPr>
            <w:tcW w:type="dxa" w:w="1560"/>
          </w:tcPr>
          <w:p>
            <w:r/>
            <w:r>
              <w:rPr>
                <w:sz w:val="17"/>
              </w:rPr>
              <w:t>3884</w:t>
            </w:r>
          </w:p>
        </w:tc>
        <w:tc>
          <w:tcPr>
            <w:tcW w:type="dxa" w:w="1560"/>
          </w:tcPr>
          <w:p>
            <w:r/>
            <w:r>
              <w:rPr>
                <w:sz w:val="17"/>
              </w:rPr>
              <w:t>45859</w:t>
            </w:r>
          </w:p>
        </w:tc>
        <w:tc>
          <w:tcPr>
            <w:tcW w:type="dxa" w:w="1560"/>
          </w:tcPr>
          <w:p>
            <w:r/>
            <w:r>
              <w:rPr>
                <w:sz w:val="17"/>
              </w:rPr>
              <w:t>Remove extreme high-gene outliers &gt; 8000</w:t>
            </w:r>
          </w:p>
        </w:tc>
      </w:tr>
      <w:tr>
        <w:tc>
          <w:tcPr>
            <w:tcW w:type="dxa" w:w="1560"/>
          </w:tcPr>
          <w:p>
            <w:r/>
            <w:r>
              <w:rPr>
                <w:sz w:val="17"/>
              </w:rPr>
              <w:t>Donor_1</w:t>
            </w:r>
          </w:p>
        </w:tc>
        <w:tc>
          <w:tcPr>
            <w:tcW w:type="dxa" w:w="1560"/>
          </w:tcPr>
          <w:p>
            <w:r/>
            <w:r>
              <w:rPr>
                <w:sz w:val="17"/>
              </w:rPr>
              <w:t>HBM347.VDHS.379</w:t>
            </w:r>
          </w:p>
        </w:tc>
        <w:tc>
          <w:tcPr>
            <w:tcW w:type="dxa" w:w="1560"/>
          </w:tcPr>
          <w:p>
            <w:r/>
            <w:r>
              <w:rPr>
                <w:sz w:val="17"/>
              </w:rPr>
              <w:t>final_qc</w:t>
            </w:r>
          </w:p>
        </w:tc>
        <w:tc>
          <w:tcPr>
            <w:tcW w:type="dxa" w:w="1560"/>
          </w:tcPr>
          <w:p>
            <w:r/>
            <w:r>
              <w:rPr>
                <w:sz w:val="17"/>
              </w:rPr>
              <w:t>3884</w:t>
            </w:r>
          </w:p>
        </w:tc>
        <w:tc>
          <w:tcPr>
            <w:tcW w:type="dxa" w:w="1560"/>
          </w:tcPr>
          <w:p>
            <w:r/>
            <w:r>
              <w:rPr>
                <w:sz w:val="17"/>
              </w:rPr>
              <w:t>45859</w:t>
            </w:r>
          </w:p>
        </w:tc>
        <w:tc>
          <w:tcPr>
            <w:tcW w:type="dxa" w:w="1560"/>
          </w:tcPr>
          <w:p>
            <w:r/>
            <w:r>
              <w:rPr>
                <w:sz w:val="17"/>
              </w:rPr>
              <w:t>Input for normalization / HVG / PCA / UMAP</w:t>
            </w:r>
          </w:p>
        </w:tc>
      </w:tr>
      <w:tr>
        <w:tc>
          <w:tcPr>
            <w:tcW w:type="dxa" w:w="1560"/>
          </w:tcPr>
          <w:p>
            <w:r/>
            <w:r>
              <w:rPr>
                <w:sz w:val="17"/>
              </w:rPr>
              <w:t>Donor_1</w:t>
            </w:r>
          </w:p>
        </w:tc>
        <w:tc>
          <w:tcPr>
            <w:tcW w:type="dxa" w:w="1560"/>
          </w:tcPr>
          <w:p>
            <w:r/>
            <w:r>
              <w:rPr>
                <w:sz w:val="17"/>
              </w:rPr>
              <w:t>HBM347.VDHS.379</w:t>
            </w:r>
          </w:p>
        </w:tc>
        <w:tc>
          <w:tcPr>
            <w:tcW w:type="dxa" w:w="1560"/>
          </w:tcPr>
          <w:p>
            <w:r/>
            <w:r>
              <w:rPr>
                <w:sz w:val="17"/>
              </w:rPr>
              <w:t>teaching_subsample</w:t>
            </w:r>
          </w:p>
        </w:tc>
        <w:tc>
          <w:tcPr>
            <w:tcW w:type="dxa" w:w="1560"/>
          </w:tcPr>
          <w:p>
            <w:r/>
            <w:r>
              <w:rPr>
                <w:sz w:val="17"/>
              </w:rPr>
              <w:t>3884</w:t>
            </w:r>
          </w:p>
        </w:tc>
        <w:tc>
          <w:tcPr>
            <w:tcW w:type="dxa" w:w="1560"/>
          </w:tcPr>
          <w:p>
            <w:r/>
            <w:r>
              <w:rPr>
                <w:sz w:val="17"/>
              </w:rPr>
              <w:t>45859</w:t>
            </w:r>
          </w:p>
        </w:tc>
        <w:tc>
          <w:tcPr>
            <w:tcW w:type="dxa" w:w="1560"/>
          </w:tcPr>
          <w:p>
            <w:r/>
            <w:r>
              <w:rPr>
                <w:sz w:val="17"/>
              </w:rPr>
              <w:t>no teaching subsample (n_nuclei=3884 &lt;= module1.max_nuclei=5000)</w:t>
            </w:r>
          </w:p>
        </w:tc>
      </w:tr>
      <w:tr>
        <w:tc>
          <w:tcPr>
            <w:tcW w:type="dxa" w:w="1560"/>
          </w:tcPr>
          <w:p>
            <w:r/>
            <w:r>
              <w:rPr>
                <w:sz w:val="17"/>
              </w:rPr>
              <w:t>Donor_4</w:t>
            </w:r>
          </w:p>
        </w:tc>
        <w:tc>
          <w:tcPr>
            <w:tcW w:type="dxa" w:w="1560"/>
          </w:tcPr>
          <w:p>
            <w:r/>
            <w:r>
              <w:rPr>
                <w:sz w:val="17"/>
              </w:rPr>
              <w:t>HBM379.QCJT.435</w:t>
            </w:r>
          </w:p>
        </w:tc>
        <w:tc>
          <w:tcPr>
            <w:tcW w:type="dxa" w:w="1560"/>
          </w:tcPr>
          <w:p>
            <w:r/>
            <w:r>
              <w:rPr>
                <w:sz w:val="17"/>
              </w:rPr>
              <w:t>loaded</w:t>
            </w:r>
          </w:p>
        </w:tc>
        <w:tc>
          <w:tcPr>
            <w:tcW w:type="dxa" w:w="1560"/>
          </w:tcPr>
          <w:p>
            <w:r/>
            <w:r>
              <w:rPr>
                <w:sz w:val="17"/>
              </w:rPr>
              <w:t>7999</w:t>
            </w:r>
          </w:p>
        </w:tc>
        <w:tc>
          <w:tcPr>
            <w:tcW w:type="dxa" w:w="1560"/>
          </w:tcPr>
          <w:p>
            <w:r/>
            <w:r>
              <w:rPr>
                <w:sz w:val="17"/>
              </w:rPr>
              <w:t>98000</w:t>
            </w:r>
          </w:p>
        </w:tc>
        <w:tc>
          <w:tcPr>
            <w:tcW w:type="dxa" w:w="1560"/>
          </w:tcPr>
          <w:p>
            <w:r/>
            <w:r>
              <w:rPr>
                <w:sz w:val="17"/>
              </w:rPr>
              <w:t>raw_expr.h5ad as QC starting matrix</w:t>
            </w:r>
          </w:p>
        </w:tc>
      </w:tr>
      <w:tr>
        <w:tc>
          <w:tcPr>
            <w:tcW w:type="dxa" w:w="1560"/>
          </w:tcPr>
          <w:p>
            <w:r/>
            <w:r>
              <w:rPr>
                <w:sz w:val="17"/>
              </w:rPr>
              <w:t>Donor_4</w:t>
            </w:r>
          </w:p>
        </w:tc>
        <w:tc>
          <w:tcPr>
            <w:tcW w:type="dxa" w:w="1560"/>
          </w:tcPr>
          <w:p>
            <w:r/>
            <w:r>
              <w:rPr>
                <w:sz w:val="17"/>
              </w:rPr>
              <w:t>HBM379.QCJT.435</w:t>
            </w:r>
          </w:p>
        </w:tc>
        <w:tc>
          <w:tcPr>
            <w:tcW w:type="dxa" w:w="1560"/>
          </w:tcPr>
          <w:p>
            <w:r/>
            <w:r>
              <w:rPr>
                <w:sz w:val="17"/>
              </w:rPr>
              <w:t>min_cells_per_gene</w:t>
            </w:r>
          </w:p>
        </w:tc>
        <w:tc>
          <w:tcPr>
            <w:tcW w:type="dxa" w:w="1560"/>
          </w:tcPr>
          <w:p>
            <w:r/>
            <w:r>
              <w:rPr>
                <w:sz w:val="17"/>
              </w:rPr>
              <w:t>7999</w:t>
            </w:r>
          </w:p>
        </w:tc>
        <w:tc>
          <w:tcPr>
            <w:tcW w:type="dxa" w:w="1560"/>
          </w:tcPr>
          <w:p>
            <w:r/>
            <w:r>
              <w:rPr>
                <w:sz w:val="17"/>
              </w:rPr>
              <w:t>47770</w:t>
            </w:r>
          </w:p>
        </w:tc>
        <w:tc>
          <w:tcPr>
            <w:tcW w:type="dxa" w:w="1560"/>
          </w:tcPr>
          <w:p>
            <w:r/>
            <w:r>
              <w:rPr>
                <w:sz w:val="17"/>
              </w:rPr>
              <w:t>Retain genes detected in &gt;= 3 nuclei</w:t>
            </w:r>
          </w:p>
        </w:tc>
      </w:tr>
      <w:tr>
        <w:tc>
          <w:tcPr>
            <w:tcW w:type="dxa" w:w="1560"/>
          </w:tcPr>
          <w:p>
            <w:r/>
            <w:r>
              <w:rPr>
                <w:sz w:val="17"/>
              </w:rPr>
              <w:t>Donor_4</w:t>
            </w:r>
          </w:p>
        </w:tc>
        <w:tc>
          <w:tcPr>
            <w:tcW w:type="dxa" w:w="1560"/>
          </w:tcPr>
          <w:p>
            <w:r/>
            <w:r>
              <w:rPr>
                <w:sz w:val="17"/>
              </w:rPr>
              <w:t>HBM379.QCJT.435</w:t>
            </w:r>
          </w:p>
        </w:tc>
        <w:tc>
          <w:tcPr>
            <w:tcW w:type="dxa" w:w="1560"/>
          </w:tcPr>
          <w:p>
            <w:r/>
            <w:r>
              <w:rPr>
                <w:sz w:val="17"/>
              </w:rPr>
              <w:t>min_genes</w:t>
            </w:r>
          </w:p>
        </w:tc>
        <w:tc>
          <w:tcPr>
            <w:tcW w:type="dxa" w:w="1560"/>
          </w:tcPr>
          <w:p>
            <w:r/>
            <w:r>
              <w:rPr>
                <w:sz w:val="17"/>
              </w:rPr>
              <w:t>7746</w:t>
            </w:r>
          </w:p>
        </w:tc>
        <w:tc>
          <w:tcPr>
            <w:tcW w:type="dxa" w:w="1560"/>
          </w:tcPr>
          <w:p>
            <w:r/>
            <w:r>
              <w:rPr>
                <w:sz w:val="17"/>
              </w:rPr>
              <w:t>47770</w:t>
            </w:r>
          </w:p>
        </w:tc>
        <w:tc>
          <w:tcPr>
            <w:tcW w:type="dxa" w:w="1560"/>
          </w:tcPr>
          <w:p>
            <w:r/>
            <w:r>
              <w:rPr>
                <w:sz w:val="17"/>
              </w:rPr>
              <w:t>Remove low-complexity nuclei with &lt; 200 genes</w:t>
            </w:r>
          </w:p>
        </w:tc>
      </w:tr>
      <w:tr>
        <w:tc>
          <w:tcPr>
            <w:tcW w:type="dxa" w:w="1560"/>
          </w:tcPr>
          <w:p>
            <w:r/>
            <w:r>
              <w:rPr>
                <w:sz w:val="17"/>
              </w:rPr>
              <w:t>Donor_4</w:t>
            </w:r>
          </w:p>
        </w:tc>
        <w:tc>
          <w:tcPr>
            <w:tcW w:type="dxa" w:w="1560"/>
          </w:tcPr>
          <w:p>
            <w:r/>
            <w:r>
              <w:rPr>
                <w:sz w:val="17"/>
              </w:rPr>
              <w:t>HBM379.QCJT.435</w:t>
            </w:r>
          </w:p>
        </w:tc>
        <w:tc>
          <w:tcPr>
            <w:tcW w:type="dxa" w:w="1560"/>
          </w:tcPr>
          <w:p>
            <w:r/>
            <w:r>
              <w:rPr>
                <w:sz w:val="17"/>
              </w:rPr>
              <w:t>min_counts</w:t>
            </w:r>
          </w:p>
        </w:tc>
        <w:tc>
          <w:tcPr>
            <w:tcW w:type="dxa" w:w="1560"/>
          </w:tcPr>
          <w:p>
            <w:r/>
            <w:r>
              <w:rPr>
                <w:sz w:val="17"/>
              </w:rPr>
              <w:t>6282</w:t>
            </w:r>
          </w:p>
        </w:tc>
        <w:tc>
          <w:tcPr>
            <w:tcW w:type="dxa" w:w="1560"/>
          </w:tcPr>
          <w:p>
            <w:r/>
            <w:r>
              <w:rPr>
                <w:sz w:val="17"/>
              </w:rPr>
              <w:t>47770</w:t>
            </w:r>
          </w:p>
        </w:tc>
        <w:tc>
          <w:tcPr>
            <w:tcW w:type="dxa" w:w="1560"/>
          </w:tcPr>
          <w:p>
            <w:r/>
            <w:r>
              <w:rPr>
                <w:sz w:val="17"/>
              </w:rPr>
              <w:t>Remove nuclei with &lt; 500 total counts</w:t>
            </w:r>
          </w:p>
        </w:tc>
      </w:tr>
      <w:tr>
        <w:tc>
          <w:tcPr>
            <w:tcW w:type="dxa" w:w="1560"/>
          </w:tcPr>
          <w:p>
            <w:r/>
            <w:r>
              <w:rPr>
                <w:sz w:val="17"/>
              </w:rPr>
              <w:t>Donor_4</w:t>
            </w:r>
          </w:p>
        </w:tc>
        <w:tc>
          <w:tcPr>
            <w:tcW w:type="dxa" w:w="1560"/>
          </w:tcPr>
          <w:p>
            <w:r/>
            <w:r>
              <w:rPr>
                <w:sz w:val="17"/>
              </w:rPr>
              <w:t>HBM379.QCJT.435</w:t>
            </w:r>
          </w:p>
        </w:tc>
        <w:tc>
          <w:tcPr>
            <w:tcW w:type="dxa" w:w="1560"/>
          </w:tcPr>
          <w:p>
            <w:r/>
            <w:r>
              <w:rPr>
                <w:sz w:val="17"/>
              </w:rPr>
              <w:t>max_mito_percent</w:t>
            </w:r>
          </w:p>
        </w:tc>
        <w:tc>
          <w:tcPr>
            <w:tcW w:type="dxa" w:w="1560"/>
          </w:tcPr>
          <w:p>
            <w:r/>
            <w:r>
              <w:rPr>
                <w:sz w:val="17"/>
              </w:rPr>
              <w:t>6278</w:t>
            </w:r>
          </w:p>
        </w:tc>
        <w:tc>
          <w:tcPr>
            <w:tcW w:type="dxa" w:w="1560"/>
          </w:tcPr>
          <w:p>
            <w:r/>
            <w:r>
              <w:rPr>
                <w:sz w:val="17"/>
              </w:rPr>
              <w:t>47770</w:t>
            </w:r>
          </w:p>
        </w:tc>
        <w:tc>
          <w:tcPr>
            <w:tcW w:type="dxa" w:w="1560"/>
          </w:tcPr>
          <w:p>
            <w:r/>
            <w:r>
              <w:rPr>
                <w:sz w:val="17"/>
              </w:rPr>
              <w:t>Remove nuclei with mitochondrial percent &gt; 5.0 (snRNA typically low mito; threshold is diagnostic)</w:t>
            </w:r>
          </w:p>
        </w:tc>
      </w:tr>
      <w:tr>
        <w:tc>
          <w:tcPr>
            <w:tcW w:type="dxa" w:w="1560"/>
          </w:tcPr>
          <w:p>
            <w:r/>
            <w:r>
              <w:rPr>
                <w:sz w:val="17"/>
              </w:rPr>
              <w:t>Donor_4</w:t>
            </w:r>
          </w:p>
        </w:tc>
        <w:tc>
          <w:tcPr>
            <w:tcW w:type="dxa" w:w="1560"/>
          </w:tcPr>
          <w:p>
            <w:r/>
            <w:r>
              <w:rPr>
                <w:sz w:val="17"/>
              </w:rPr>
              <w:t>HBM379.QCJT.435</w:t>
            </w:r>
          </w:p>
        </w:tc>
        <w:tc>
          <w:tcPr>
            <w:tcW w:type="dxa" w:w="1560"/>
          </w:tcPr>
          <w:p>
            <w:r/>
            <w:r>
              <w:rPr>
                <w:sz w:val="17"/>
              </w:rPr>
              <w:t>max_genes</w:t>
            </w:r>
          </w:p>
        </w:tc>
        <w:tc>
          <w:tcPr>
            <w:tcW w:type="dxa" w:w="1560"/>
          </w:tcPr>
          <w:p>
            <w:r/>
            <w:r>
              <w:rPr>
                <w:sz w:val="17"/>
              </w:rPr>
              <w:t>6278</w:t>
            </w:r>
          </w:p>
        </w:tc>
        <w:tc>
          <w:tcPr>
            <w:tcW w:type="dxa" w:w="1560"/>
          </w:tcPr>
          <w:p>
            <w:r/>
            <w:r>
              <w:rPr>
                <w:sz w:val="17"/>
              </w:rPr>
              <w:t>47770</w:t>
            </w:r>
          </w:p>
        </w:tc>
        <w:tc>
          <w:tcPr>
            <w:tcW w:type="dxa" w:w="1560"/>
          </w:tcPr>
          <w:p>
            <w:r/>
            <w:r>
              <w:rPr>
                <w:sz w:val="17"/>
              </w:rPr>
              <w:t>Remove extreme high-gene outliers &gt; 8000</w:t>
            </w:r>
          </w:p>
        </w:tc>
      </w:tr>
    </w:tbl>
    <w:p>
      <w:r>
        <w:rPr>
          <w:i/>
          <w:color w:val="444444"/>
          <w:sz w:val="17"/>
        </w:rPr>
        <w:t>Showing 14 of 32 rows. Source: module1_qc_filter_log_all_donors.tsv</w:t>
      </w:r>
    </w:p>
    <w:p>
      <w:pPr>
        <w:spacing w:after="140"/>
      </w:pPr>
      <w:r>
        <w:rPr>
          <w:b/>
          <w:sz w:val="21"/>
        </w:rPr>
        <w:t>Reading the table.</w:t>
      </w:r>
      <w:r>
        <w:rPr>
          <w:sz w:val="21"/>
        </w:rPr>
        <w:t xml:space="preserve"> 35,890 nuclei enter QC (4,899; 10,996; 11,996; 7,999 for Donors 1, 2, 3 and 4) and 28,948 survive to </w:t>
      </w:r>
      <w:r>
        <w:rPr>
          <w:rFonts w:ascii="Menlo" w:hAnsi="Menlo"/>
          <w:color w:val="1A3E6E"/>
          <w:sz w:val="19"/>
        </w:rPr>
        <w:t>final_qc</w:t>
      </w:r>
      <w:r>
        <w:rPr>
          <w:sz w:val="21"/>
        </w:rPr>
        <w:t xml:space="preserve"> (3,884; 8,508; 10,278; 6,278), 77.4 to 85.7 percent per donor. Depth and complexity dominate: </w:t>
      </w:r>
      <w:r>
        <w:rPr>
          <w:rFonts w:ascii="Menlo" w:hAnsi="Menlo"/>
          <w:color w:val="1A3E6E"/>
          <w:sz w:val="19"/>
        </w:rPr>
        <w:t>min_genes</w:t>
      </w:r>
      <w:r>
        <w:rPr>
          <w:sz w:val="21"/>
        </w:rPr>
        <w:t xml:space="preserve"> removes 829 cohort-wide and </w:t>
      </w:r>
      <w:r>
        <w:rPr>
          <w:rFonts w:ascii="Menlo" w:hAnsi="Menlo"/>
          <w:color w:val="1A3E6E"/>
          <w:sz w:val="19"/>
        </w:rPr>
        <w:t>min_counts</w:t>
      </w:r>
      <w:r>
        <w:rPr>
          <w:sz w:val="21"/>
        </w:rPr>
        <w:t xml:space="preserve"> 6,105, while </w:t>
      </w:r>
      <w:r>
        <w:rPr>
          <w:rFonts w:ascii="Menlo" w:hAnsi="Menlo"/>
          <w:color w:val="1A3E6E"/>
          <w:sz w:val="19"/>
        </w:rPr>
        <w:t>max_mito_percent</w:t>
      </w:r>
      <w:r>
        <w:rPr>
          <w:sz w:val="21"/>
        </w:rPr>
        <w:t xml:space="preserve"> at 5.0 removes 4 (all in Donor_4) and </w:t>
      </w:r>
      <w:r>
        <w:rPr>
          <w:rFonts w:ascii="Menlo" w:hAnsi="Menlo"/>
          <w:color w:val="1A3E6E"/>
          <w:sz w:val="19"/>
        </w:rPr>
        <w:t>max_genes</w:t>
      </w:r>
      <w:r>
        <w:rPr>
          <w:sz w:val="21"/>
        </w:rPr>
        <w:t xml:space="preserve"> 4 more. The </w:t>
      </w:r>
      <w:r>
        <w:rPr>
          <w:rFonts w:ascii="Menlo" w:hAnsi="Menlo"/>
          <w:color w:val="1A3E6E"/>
          <w:sz w:val="19"/>
        </w:rPr>
        <w:t>teaching_subsample</w:t>
      </w:r>
      <w:r>
        <w:rPr>
          <w:sz w:val="21"/>
        </w:rPr>
        <w:t xml:space="preserve"> row then caps Donor_2, Donor_3 and Donor_4 at </w:t>
      </w:r>
      <w:r>
        <w:rPr>
          <w:rFonts w:ascii="Menlo" w:hAnsi="Menlo"/>
          <w:color w:val="1A3E6E"/>
          <w:sz w:val="19"/>
        </w:rPr>
        <w:t>max_nuclei = 5000</w:t>
      </w:r>
      <w:r>
        <w:rPr>
          <w:sz w:val="21"/>
        </w:rPr>
        <w:t xml:space="preserve"> with seed 0 and leaves Donor_1 at 3,884, already below the cap and logged as no subsample; 18,884 nuclei reach Module 2.</w:t>
      </w:r>
    </w:p>
    <w:p>
      <w:pPr>
        <w:pStyle w:val="Heading4"/>
      </w:pPr>
      <w:r>
        <w:rPr>
          <w:color w:val="1F4E79"/>
        </w:rPr>
        <w:t>Azimuth join coverage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donor_label</w:t>
            </w:r>
          </w:p>
        </w:tc>
        <w:tc>
          <w:tcPr>
            <w:tcW w:type="dxa" w:w="1872"/>
            <w:shd w:val="clear" w:fill="DCE6F1"/>
          </w:tcPr>
          <w:p>
            <w:r/>
            <w:r>
              <w:rPr>
                <w:b/>
                <w:sz w:val="17"/>
              </w:rPr>
              <w:t>n_raw</w:t>
            </w:r>
          </w:p>
        </w:tc>
        <w:tc>
          <w:tcPr>
            <w:tcW w:type="dxa" w:w="1872"/>
            <w:shd w:val="clear" w:fill="DCE6F1"/>
          </w:tcPr>
          <w:p>
            <w:r/>
            <w:r>
              <w:rPr>
                <w:b/>
                <w:sz w:val="17"/>
              </w:rPr>
              <w:t>n_overlap</w:t>
            </w:r>
          </w:p>
        </w:tc>
        <w:tc>
          <w:tcPr>
            <w:tcW w:type="dxa" w:w="1872"/>
            <w:shd w:val="clear" w:fill="DCE6F1"/>
          </w:tcPr>
          <w:p>
            <w:r/>
            <w:r>
              <w:rPr>
                <w:b/>
                <w:sz w:val="17"/>
              </w:rPr>
              <w:t>n_raw_without_label</w:t>
            </w:r>
          </w:p>
        </w:tc>
        <w:tc>
          <w:tcPr>
            <w:tcW w:type="dxa" w:w="1872"/>
            <w:shd w:val="clear" w:fill="DCE6F1"/>
          </w:tcPr>
          <w:p>
            <w:r/>
            <w:r>
              <w:rPr>
                <w:b/>
                <w:sz w:val="17"/>
              </w:rPr>
              <w:t>fraction_raw_with_label</w:t>
            </w:r>
          </w:p>
        </w:tc>
      </w:tr>
      <w:tr>
        <w:tc>
          <w:tcPr>
            <w:tcW w:type="dxa" w:w="1872"/>
          </w:tcPr>
          <w:p>
            <w:r/>
            <w:r>
              <w:rPr>
                <w:sz w:val="17"/>
              </w:rPr>
              <w:t>Donor_1</w:t>
            </w:r>
          </w:p>
        </w:tc>
        <w:tc>
          <w:tcPr>
            <w:tcW w:type="dxa" w:w="1872"/>
          </w:tcPr>
          <w:p>
            <w:r/>
            <w:r>
              <w:rPr>
                <w:sz w:val="17"/>
              </w:rPr>
              <w:t>4899</w:t>
            </w:r>
          </w:p>
        </w:tc>
        <w:tc>
          <w:tcPr>
            <w:tcW w:type="dxa" w:w="1872"/>
          </w:tcPr>
          <w:p>
            <w:r/>
            <w:r>
              <w:rPr>
                <w:sz w:val="17"/>
              </w:rPr>
              <w:t>4251</w:t>
            </w:r>
          </w:p>
        </w:tc>
        <w:tc>
          <w:tcPr>
            <w:tcW w:type="dxa" w:w="1872"/>
          </w:tcPr>
          <w:p>
            <w:r/>
            <w:r>
              <w:rPr>
                <w:sz w:val="17"/>
              </w:rPr>
              <w:t>648.0</w:t>
            </w:r>
          </w:p>
        </w:tc>
        <w:tc>
          <w:tcPr>
            <w:tcW w:type="dxa" w:w="1872"/>
          </w:tcPr>
          <w:p>
            <w:r/>
            <w:r>
              <w:rPr>
                <w:sz w:val="17"/>
              </w:rPr>
              <w:t>0.867728</w:t>
            </w:r>
          </w:p>
        </w:tc>
      </w:tr>
      <w:tr>
        <w:tc>
          <w:tcPr>
            <w:tcW w:type="dxa" w:w="1872"/>
          </w:tcPr>
          <w:p>
            <w:r/>
            <w:r>
              <w:rPr>
                <w:sz w:val="17"/>
              </w:rPr>
              <w:t>Donor_2</w:t>
            </w:r>
          </w:p>
        </w:tc>
        <w:tc>
          <w:tcPr>
            <w:tcW w:type="dxa" w:w="1872"/>
          </w:tcPr>
          <w:p>
            <w:r/>
            <w:r>
              <w:rPr>
                <w:sz w:val="17"/>
              </w:rPr>
              <w:t>10996</w:t>
            </w:r>
          </w:p>
        </w:tc>
        <w:tc>
          <w:tcPr>
            <w:tcW w:type="dxa" w:w="1872"/>
          </w:tcPr>
          <w:p>
            <w:r/>
            <w:r>
              <w:rPr>
                <w:sz w:val="17"/>
              </w:rPr>
              <w:t>10989</w:t>
            </w:r>
          </w:p>
        </w:tc>
        <w:tc>
          <w:tcPr>
            <w:tcW w:type="dxa" w:w="1872"/>
          </w:tcPr>
          <w:p>
            <w:r/>
            <w:r>
              <w:rPr>
                <w:sz w:val="17"/>
              </w:rPr>
              <w:t>7.0</w:t>
            </w:r>
          </w:p>
        </w:tc>
        <w:tc>
          <w:tcPr>
            <w:tcW w:type="dxa" w:w="1872"/>
          </w:tcPr>
          <w:p>
            <w:r/>
            <w:r>
              <w:rPr>
                <w:sz w:val="17"/>
              </w:rPr>
              <w:t>0.999363</w:t>
            </w:r>
          </w:p>
        </w:tc>
      </w:tr>
      <w:tr>
        <w:tc>
          <w:tcPr>
            <w:tcW w:type="dxa" w:w="1872"/>
          </w:tcPr>
          <w:p>
            <w:r/>
            <w:r>
              <w:rPr>
                <w:sz w:val="17"/>
              </w:rPr>
              <w:t>Donor_3</w:t>
            </w:r>
          </w:p>
        </w:tc>
        <w:tc>
          <w:tcPr>
            <w:tcW w:type="dxa" w:w="1872"/>
          </w:tcPr>
          <w:p>
            <w:r/>
            <w:r>
              <w:rPr>
                <w:sz w:val="17"/>
              </w:rPr>
              <w:t>11996</w:t>
            </w:r>
          </w:p>
        </w:tc>
        <w:tc>
          <w:tcPr>
            <w:tcW w:type="dxa" w:w="1872"/>
          </w:tcPr>
          <w:p>
            <w:r/>
            <w:r>
              <w:rPr>
                <w:sz w:val="17"/>
              </w:rPr>
              <w:t>11980</w:t>
            </w:r>
          </w:p>
        </w:tc>
        <w:tc>
          <w:tcPr>
            <w:tcW w:type="dxa" w:w="1872"/>
          </w:tcPr>
          <w:p>
            <w:r/>
            <w:r>
              <w:rPr>
                <w:sz w:val="17"/>
              </w:rPr>
              <w:t>16.0</w:t>
            </w:r>
          </w:p>
        </w:tc>
        <w:tc>
          <w:tcPr>
            <w:tcW w:type="dxa" w:w="1872"/>
          </w:tcPr>
          <w:p>
            <w:r/>
            <w:r>
              <w:rPr>
                <w:sz w:val="17"/>
              </w:rPr>
              <w:t>0.998666</w:t>
            </w:r>
          </w:p>
        </w:tc>
      </w:tr>
      <w:tr>
        <w:tc>
          <w:tcPr>
            <w:tcW w:type="dxa" w:w="1872"/>
          </w:tcPr>
          <w:p>
            <w:r/>
            <w:r>
              <w:rPr>
                <w:sz w:val="17"/>
              </w:rPr>
              <w:t>Donor_4</w:t>
            </w:r>
          </w:p>
        </w:tc>
        <w:tc>
          <w:tcPr>
            <w:tcW w:type="dxa" w:w="1872"/>
          </w:tcPr>
          <w:p>
            <w:r/>
            <w:r>
              <w:rPr>
                <w:sz w:val="17"/>
              </w:rPr>
              <w:t>7999</w:t>
            </w:r>
          </w:p>
        </w:tc>
        <w:tc>
          <w:tcPr>
            <w:tcW w:type="dxa" w:w="1872"/>
          </w:tcPr>
          <w:p>
            <w:r/>
            <w:r>
              <w:rPr>
                <w:sz w:val="17"/>
              </w:rPr>
              <w:t>7657</w:t>
            </w:r>
          </w:p>
        </w:tc>
        <w:tc>
          <w:tcPr>
            <w:tcW w:type="dxa" w:w="1872"/>
          </w:tcPr>
          <w:p>
            <w:r/>
            <w:r>
              <w:rPr>
                <w:sz w:val="17"/>
              </w:rPr>
              <w:t>342.0</w:t>
            </w:r>
          </w:p>
        </w:tc>
        <w:tc>
          <w:tcPr>
            <w:tcW w:type="dxa" w:w="1872"/>
          </w:tcPr>
          <w:p>
            <w:r/>
            <w:r>
              <w:rPr>
                <w:sz w:val="17"/>
              </w:rPr>
              <w:t>0.957245</w:t>
            </w:r>
          </w:p>
        </w:tc>
      </w:tr>
    </w:tbl>
    <w:p>
      <w:r>
        <w:rPr>
          <w:i/>
          <w:color w:val="444444"/>
          <w:sz w:val="17"/>
        </w:rPr>
        <w:t>5 further columns in the source file. Source: module1_azimuth_join_coverage.tsv</w:t>
      </w:r>
    </w:p>
    <w:p>
      <w:pPr>
        <w:spacing w:after="140"/>
      </w:pPr>
      <w:r>
        <w:rPr>
          <w:sz w:val="21"/>
        </w:rPr>
        <w:t xml:space="preserve">34,877 of the 35,890 raw barcodes carry a secondary-analysis label, 97.2 percent, and all four joins ran. Donor_2 and Donor_3 are effectively complete (0.9994 and 0.9987; 7 and 16 barcodes missed), Donor_4 sits at 0.9572 (342 unlabeled) and Donor_1 at 0.8677 (648 of 4,899 unlabeled). Module 2 </w:t>
      </w:r>
      <w:r>
        <w:rPr>
          <w:rFonts w:ascii="Menlo" w:hAnsi="Menlo"/>
          <w:color w:val="1A3E6E"/>
          <w:sz w:val="19"/>
        </w:rPr>
        <w:t>cell_class</w:t>
      </w:r>
      <w:r>
        <w:rPr>
          <w:sz w:val="21"/>
        </w:rPr>
        <w:t xml:space="preserve"> mapping inherits this join.</w:t>
      </w:r>
    </w:p>
    <w:p>
      <w:pPr>
        <w:pStyle w:val="Heading4"/>
      </w:pPr>
      <w:r>
        <w:rPr>
          <w:color w:val="1F4E79"/>
        </w:rPr>
        <w:t>Airway-lineage composition gate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donor_label</w:t>
            </w:r>
          </w:p>
        </w:tc>
        <w:tc>
          <w:tcPr>
            <w:tcW w:type="dxa" w:w="1872"/>
            <w:shd w:val="clear" w:fill="DCE6F1"/>
          </w:tcPr>
          <w:p>
            <w:r/>
            <w:r>
              <w:rPr>
                <w:b/>
                <w:sz w:val="17"/>
              </w:rPr>
              <w:t>block_id</w:t>
            </w:r>
          </w:p>
        </w:tc>
        <w:tc>
          <w:tcPr>
            <w:tcW w:type="dxa" w:w="1872"/>
            <w:shd w:val="clear" w:fill="DCE6F1"/>
          </w:tcPr>
          <w:p>
            <w:r/>
            <w:r>
              <w:rPr>
                <w:b/>
                <w:sz w:val="17"/>
              </w:rPr>
              <w:t>airway_lineage_nuclei</w:t>
            </w:r>
          </w:p>
        </w:tc>
        <w:tc>
          <w:tcPr>
            <w:tcW w:type="dxa" w:w="1872"/>
            <w:shd w:val="clear" w:fill="DCE6F1"/>
          </w:tcPr>
          <w:p>
            <w:r/>
            <w:r>
              <w:rPr>
                <w:b/>
                <w:sz w:val="17"/>
              </w:rPr>
              <w:t>labels_present</w:t>
            </w:r>
          </w:p>
        </w:tc>
        <w:tc>
          <w:tcPr>
            <w:tcW w:type="dxa" w:w="1872"/>
            <w:shd w:val="clear" w:fill="DCE6F1"/>
          </w:tcPr>
          <w:p>
            <w:r/>
            <w:r>
              <w:rPr>
                <w:b/>
                <w:sz w:val="17"/>
              </w:rPr>
              <w:t>note</w:t>
            </w:r>
          </w:p>
        </w:tc>
      </w:tr>
      <w:tr>
        <w:tc>
          <w:tcPr>
            <w:tcW w:type="dxa" w:w="1872"/>
          </w:tcPr>
          <w:p>
            <w:r/>
            <w:r>
              <w:rPr>
                <w:sz w:val="17"/>
              </w:rPr>
              <w:t>Donor_1</w:t>
            </w:r>
          </w:p>
        </w:tc>
        <w:tc>
          <w:tcPr>
            <w:tcW w:type="dxa" w:w="1872"/>
          </w:tcPr>
          <w:p>
            <w:r/>
            <w:r>
              <w:rPr>
                <w:sz w:val="17"/>
              </w:rPr>
              <w:t>HBM347.VDHS.379</w:t>
            </w:r>
          </w:p>
        </w:tc>
        <w:tc>
          <w:tcPr>
            <w:tcW w:type="dxa" w:w="1872"/>
          </w:tcPr>
          <w:p>
            <w:r/>
            <w:r>
              <w:rPr>
                <w:sz w:val="17"/>
              </w:rPr>
              <w:t>183</w:t>
            </w:r>
          </w:p>
        </w:tc>
        <w:tc>
          <w:tcPr>
            <w:tcW w:type="dxa" w:w="1872"/>
          </w:tcPr>
          <w:p>
            <w:r/>
            <w:r>
              <w:rPr>
                <w:sz w:val="17"/>
              </w:rPr>
              <w:t>Basal resting; Club (non-nasal); Ionocyte; Multiciliated (non-nasal); Suprabasal; Transitional Club-AT2</w:t>
            </w:r>
          </w:p>
        </w:tc>
        <w:tc>
          <w:tcPr>
            <w:tcW w:type="dxa" w:w="1872"/>
          </w:tcPr>
          <w:p>
            <w:r/>
            <w:r>
              <w:rPr>
                <w:sz w:val="17"/>
              </w:rPr>
              <w:t>composition summary only; not a DE group certificate</w:t>
            </w:r>
          </w:p>
        </w:tc>
      </w:tr>
      <w:tr>
        <w:tc>
          <w:tcPr>
            <w:tcW w:type="dxa" w:w="1872"/>
          </w:tcPr>
          <w:p>
            <w:r/>
            <w:r>
              <w:rPr>
                <w:sz w:val="17"/>
              </w:rPr>
              <w:t>Donor_2</w:t>
            </w:r>
          </w:p>
        </w:tc>
        <w:tc>
          <w:tcPr>
            <w:tcW w:type="dxa" w:w="1872"/>
          </w:tcPr>
          <w:p>
            <w:r/>
            <w:r>
              <w:rPr>
                <w:sz w:val="17"/>
              </w:rPr>
              <w:t>HBM473.NKMR.872</w:t>
            </w:r>
          </w:p>
        </w:tc>
        <w:tc>
          <w:tcPr>
            <w:tcW w:type="dxa" w:w="1872"/>
          </w:tcPr>
          <w:p>
            <w:r/>
            <w:r>
              <w:rPr>
                <w:sz w:val="17"/>
              </w:rPr>
              <w:t>429</w:t>
            </w:r>
          </w:p>
        </w:tc>
        <w:tc>
          <w:tcPr>
            <w:tcW w:type="dxa" w:w="1872"/>
          </w:tcPr>
          <w:p>
            <w:r/>
            <w:r>
              <w:rPr>
                <w:sz w:val="17"/>
              </w:rPr>
              <w:t>Basal resting; Ionocyte; Multiciliated (non-nasal); Suprabasal; Transitional Club-AT2</w:t>
            </w:r>
          </w:p>
        </w:tc>
        <w:tc>
          <w:tcPr>
            <w:tcW w:type="dxa" w:w="1872"/>
          </w:tcPr>
          <w:p>
            <w:r/>
            <w:r>
              <w:rPr>
                <w:sz w:val="17"/>
              </w:rPr>
              <w:t>composition summary only; not a DE group certificate</w:t>
            </w:r>
          </w:p>
        </w:tc>
      </w:tr>
      <w:tr>
        <w:tc>
          <w:tcPr>
            <w:tcW w:type="dxa" w:w="1872"/>
          </w:tcPr>
          <w:p>
            <w:r/>
            <w:r>
              <w:rPr>
                <w:sz w:val="17"/>
              </w:rPr>
              <w:t>Donor_3</w:t>
            </w:r>
          </w:p>
        </w:tc>
        <w:tc>
          <w:tcPr>
            <w:tcW w:type="dxa" w:w="1872"/>
          </w:tcPr>
          <w:p>
            <w:r/>
            <w:r>
              <w:rPr>
                <w:sz w:val="17"/>
              </w:rPr>
              <w:t>HBM484.RGWP.797</w:t>
            </w:r>
          </w:p>
        </w:tc>
        <w:tc>
          <w:tcPr>
            <w:tcW w:type="dxa" w:w="1872"/>
          </w:tcPr>
          <w:p>
            <w:r/>
            <w:r>
              <w:rPr>
                <w:sz w:val="17"/>
              </w:rPr>
              <w:t>622</w:t>
            </w:r>
          </w:p>
        </w:tc>
        <w:tc>
          <w:tcPr>
            <w:tcW w:type="dxa" w:w="1872"/>
          </w:tcPr>
          <w:p>
            <w:r/>
            <w:r>
              <w:rPr>
                <w:sz w:val="17"/>
              </w:rPr>
              <w:t>Basal resting; Club (non-nasal); Ionocyte; Multiciliated (non-nasal); Transitional Club-AT2</w:t>
            </w:r>
          </w:p>
        </w:tc>
        <w:tc>
          <w:tcPr>
            <w:tcW w:type="dxa" w:w="1872"/>
          </w:tcPr>
          <w:p>
            <w:r/>
            <w:r>
              <w:rPr>
                <w:sz w:val="17"/>
              </w:rPr>
              <w:t>composition summary only; not a DE group certificate</w:t>
            </w:r>
          </w:p>
        </w:tc>
      </w:tr>
      <w:tr>
        <w:tc>
          <w:tcPr>
            <w:tcW w:type="dxa" w:w="1872"/>
          </w:tcPr>
          <w:p>
            <w:r/>
            <w:r>
              <w:rPr>
                <w:sz w:val="17"/>
              </w:rPr>
              <w:t>Donor_4</w:t>
            </w:r>
          </w:p>
        </w:tc>
        <w:tc>
          <w:tcPr>
            <w:tcW w:type="dxa" w:w="1872"/>
          </w:tcPr>
          <w:p>
            <w:r/>
            <w:r>
              <w:rPr>
                <w:sz w:val="17"/>
              </w:rPr>
              <w:t>HBM379.QCJT.435</w:t>
            </w:r>
          </w:p>
        </w:tc>
        <w:tc>
          <w:tcPr>
            <w:tcW w:type="dxa" w:w="1872"/>
          </w:tcPr>
          <w:p>
            <w:r/>
            <w:r>
              <w:rPr>
                <w:sz w:val="17"/>
              </w:rPr>
              <w:t>412</w:t>
            </w:r>
          </w:p>
        </w:tc>
        <w:tc>
          <w:tcPr>
            <w:tcW w:type="dxa" w:w="1872"/>
          </w:tcPr>
          <w:p>
            <w:r/>
            <w:r>
              <w:rPr>
                <w:sz w:val="17"/>
              </w:rPr>
              <w:t>Basal resting; Club (non-nasal); Deuterosomal; Goblet (bronchial); Ionocyte; Multiciliated (non-nasal); Transitional Club-AT2</w:t>
            </w:r>
          </w:p>
        </w:tc>
        <w:tc>
          <w:tcPr>
            <w:tcW w:type="dxa" w:w="1872"/>
          </w:tcPr>
          <w:p>
            <w:r/>
            <w:r>
              <w:rPr>
                <w:sz w:val="17"/>
              </w:rPr>
              <w:t>composition summary only; not a DE group certificate</w:t>
            </w:r>
          </w:p>
        </w:tc>
      </w:tr>
    </w:tbl>
    <w:p>
      <w:r>
        <w:rPr>
          <w:i/>
          <w:color w:val="444444"/>
          <w:sz w:val="17"/>
        </w:rPr>
        <w:t>Source: module1_epithelial_airway_lineage_composition.tsv</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CE6F1"/>
          </w:tcPr>
          <w:p>
            <w:r/>
            <w:r>
              <w:rPr>
                <w:b/>
                <w:sz w:val="15"/>
              </w:rPr>
              <w:t>donor_label</w:t>
            </w:r>
          </w:p>
        </w:tc>
        <w:tc>
          <w:tcPr>
            <w:tcW w:type="dxa" w:w="1170"/>
            <w:shd w:val="clear" w:fill="DCE6F1"/>
          </w:tcPr>
          <w:p>
            <w:r/>
            <w:r>
              <w:rPr>
                <w:b/>
                <w:sz w:val="15"/>
              </w:rPr>
              <w:t>block_id</w:t>
            </w:r>
          </w:p>
        </w:tc>
        <w:tc>
          <w:tcPr>
            <w:tcW w:type="dxa" w:w="1170"/>
            <w:shd w:val="clear" w:fill="DCE6F1"/>
          </w:tcPr>
          <w:p>
            <w:r/>
            <w:r>
              <w:rPr>
                <w:b/>
                <w:sz w:val="15"/>
              </w:rPr>
              <w:t>Basal resting</w:t>
            </w:r>
          </w:p>
        </w:tc>
        <w:tc>
          <w:tcPr>
            <w:tcW w:type="dxa" w:w="1170"/>
            <w:shd w:val="clear" w:fill="DCE6F1"/>
          </w:tcPr>
          <w:p>
            <w:r/>
            <w:r>
              <w:rPr>
                <w:b/>
                <w:sz w:val="15"/>
              </w:rPr>
              <w:t>Club (non-nasal)</w:t>
            </w:r>
          </w:p>
        </w:tc>
        <w:tc>
          <w:tcPr>
            <w:tcW w:type="dxa" w:w="1170"/>
            <w:shd w:val="clear" w:fill="DCE6F1"/>
          </w:tcPr>
          <w:p>
            <w:r/>
            <w:r>
              <w:rPr>
                <w:b/>
                <w:sz w:val="15"/>
              </w:rPr>
              <w:t>Deuterosomal</w:t>
            </w:r>
          </w:p>
        </w:tc>
        <w:tc>
          <w:tcPr>
            <w:tcW w:type="dxa" w:w="1170"/>
            <w:shd w:val="clear" w:fill="DCE6F1"/>
          </w:tcPr>
          <w:p>
            <w:r/>
            <w:r>
              <w:rPr>
                <w:b/>
                <w:sz w:val="15"/>
              </w:rPr>
              <w:t>Goblet (bronchial)</w:t>
            </w:r>
          </w:p>
        </w:tc>
        <w:tc>
          <w:tcPr>
            <w:tcW w:type="dxa" w:w="1170"/>
            <w:shd w:val="clear" w:fill="DCE6F1"/>
          </w:tcPr>
          <w:p>
            <w:r/>
            <w:r>
              <w:rPr>
                <w:b/>
                <w:sz w:val="15"/>
              </w:rPr>
              <w:t>Ionocyte</w:t>
            </w:r>
          </w:p>
        </w:tc>
        <w:tc>
          <w:tcPr>
            <w:tcW w:type="dxa" w:w="1170"/>
            <w:shd w:val="clear" w:fill="DCE6F1"/>
          </w:tcPr>
          <w:p>
            <w:r/>
            <w:r>
              <w:rPr>
                <w:b/>
                <w:sz w:val="15"/>
              </w:rPr>
              <w:t>Multiciliated (non-nasal)</w:t>
            </w:r>
          </w:p>
        </w:tc>
      </w:tr>
      <w:tr>
        <w:tc>
          <w:tcPr>
            <w:tcW w:type="dxa" w:w="1170"/>
          </w:tcPr>
          <w:p>
            <w:r/>
            <w:r>
              <w:rPr>
                <w:sz w:val="15"/>
              </w:rPr>
              <w:t>Donor_1</w:t>
            </w:r>
          </w:p>
        </w:tc>
        <w:tc>
          <w:tcPr>
            <w:tcW w:type="dxa" w:w="1170"/>
          </w:tcPr>
          <w:p>
            <w:r/>
            <w:r>
              <w:rPr>
                <w:sz w:val="15"/>
              </w:rPr>
              <w:t>HBM347.VDHS.379</w:t>
            </w:r>
          </w:p>
        </w:tc>
        <w:tc>
          <w:tcPr>
            <w:tcW w:type="dxa" w:w="1170"/>
          </w:tcPr>
          <w:p>
            <w:r/>
            <w:r>
              <w:rPr>
                <w:sz w:val="15"/>
              </w:rPr>
              <w:t>20</w:t>
            </w:r>
          </w:p>
        </w:tc>
        <w:tc>
          <w:tcPr>
            <w:tcW w:type="dxa" w:w="1170"/>
          </w:tcPr>
          <w:p>
            <w:r/>
            <w:r>
              <w:rPr>
                <w:sz w:val="15"/>
              </w:rPr>
              <w:t>15</w:t>
            </w:r>
          </w:p>
        </w:tc>
        <w:tc>
          <w:tcPr>
            <w:tcW w:type="dxa" w:w="1170"/>
          </w:tcPr>
          <w:p>
            <w:r/>
            <w:r>
              <w:rPr>
                <w:sz w:val="15"/>
              </w:rPr>
              <w:t>0</w:t>
            </w:r>
          </w:p>
        </w:tc>
        <w:tc>
          <w:tcPr>
            <w:tcW w:type="dxa" w:w="1170"/>
          </w:tcPr>
          <w:p>
            <w:r/>
            <w:r>
              <w:rPr>
                <w:sz w:val="15"/>
              </w:rPr>
              <w:t>0</w:t>
            </w:r>
          </w:p>
        </w:tc>
        <w:tc>
          <w:tcPr>
            <w:tcW w:type="dxa" w:w="1170"/>
          </w:tcPr>
          <w:p>
            <w:r/>
            <w:r>
              <w:rPr>
                <w:sz w:val="15"/>
              </w:rPr>
              <w:t>3</w:t>
            </w:r>
          </w:p>
        </w:tc>
        <w:tc>
          <w:tcPr>
            <w:tcW w:type="dxa" w:w="1170"/>
          </w:tcPr>
          <w:p>
            <w:r/>
            <w:r>
              <w:rPr>
                <w:sz w:val="15"/>
              </w:rPr>
              <w:t>55</w:t>
            </w:r>
          </w:p>
        </w:tc>
      </w:tr>
      <w:tr>
        <w:tc>
          <w:tcPr>
            <w:tcW w:type="dxa" w:w="1170"/>
          </w:tcPr>
          <w:p>
            <w:r/>
            <w:r>
              <w:rPr>
                <w:sz w:val="15"/>
              </w:rPr>
              <w:t>Donor_2</w:t>
            </w:r>
          </w:p>
        </w:tc>
        <w:tc>
          <w:tcPr>
            <w:tcW w:type="dxa" w:w="1170"/>
          </w:tcPr>
          <w:p>
            <w:r/>
            <w:r>
              <w:rPr>
                <w:sz w:val="15"/>
              </w:rPr>
              <w:t>HBM473.NKMR.872</w:t>
            </w:r>
          </w:p>
        </w:tc>
        <w:tc>
          <w:tcPr>
            <w:tcW w:type="dxa" w:w="1170"/>
          </w:tcPr>
          <w:p>
            <w:r/>
            <w:r>
              <w:rPr>
                <w:sz w:val="15"/>
              </w:rPr>
              <w:t>3</w:t>
            </w:r>
          </w:p>
        </w:tc>
        <w:tc>
          <w:tcPr>
            <w:tcW w:type="dxa" w:w="1170"/>
          </w:tcPr>
          <w:p>
            <w:r/>
            <w:r>
              <w:rPr>
                <w:sz w:val="15"/>
              </w:rPr>
              <w:t>0</w:t>
            </w:r>
          </w:p>
        </w:tc>
        <w:tc>
          <w:tcPr>
            <w:tcW w:type="dxa" w:w="1170"/>
          </w:tcPr>
          <w:p>
            <w:r/>
            <w:r>
              <w:rPr>
                <w:sz w:val="15"/>
              </w:rPr>
              <w:t>0</w:t>
            </w:r>
          </w:p>
        </w:tc>
        <w:tc>
          <w:tcPr>
            <w:tcW w:type="dxa" w:w="1170"/>
          </w:tcPr>
          <w:p>
            <w:r/>
            <w:r>
              <w:rPr>
                <w:sz w:val="15"/>
              </w:rPr>
              <w:t>0</w:t>
            </w:r>
          </w:p>
        </w:tc>
        <w:tc>
          <w:tcPr>
            <w:tcW w:type="dxa" w:w="1170"/>
          </w:tcPr>
          <w:p>
            <w:r/>
            <w:r>
              <w:rPr>
                <w:sz w:val="15"/>
              </w:rPr>
              <w:t>167</w:t>
            </w:r>
          </w:p>
        </w:tc>
        <w:tc>
          <w:tcPr>
            <w:tcW w:type="dxa" w:w="1170"/>
          </w:tcPr>
          <w:p>
            <w:r/>
            <w:r>
              <w:rPr>
                <w:sz w:val="15"/>
              </w:rPr>
              <w:t>171</w:t>
            </w:r>
          </w:p>
        </w:tc>
      </w:tr>
      <w:tr>
        <w:tc>
          <w:tcPr>
            <w:tcW w:type="dxa" w:w="1170"/>
          </w:tcPr>
          <w:p>
            <w:r/>
            <w:r>
              <w:rPr>
                <w:sz w:val="15"/>
              </w:rPr>
              <w:t>Donor_3</w:t>
            </w:r>
          </w:p>
        </w:tc>
        <w:tc>
          <w:tcPr>
            <w:tcW w:type="dxa" w:w="1170"/>
          </w:tcPr>
          <w:p>
            <w:r/>
            <w:r>
              <w:rPr>
                <w:sz w:val="15"/>
              </w:rPr>
              <w:t>HBM484.RGWP.797</w:t>
            </w:r>
          </w:p>
        </w:tc>
        <w:tc>
          <w:tcPr>
            <w:tcW w:type="dxa" w:w="1170"/>
          </w:tcPr>
          <w:p>
            <w:r/>
            <w:r>
              <w:rPr>
                <w:sz w:val="15"/>
              </w:rPr>
              <w:t>42</w:t>
            </w:r>
          </w:p>
        </w:tc>
        <w:tc>
          <w:tcPr>
            <w:tcW w:type="dxa" w:w="1170"/>
          </w:tcPr>
          <w:p>
            <w:r/>
            <w:r>
              <w:rPr>
                <w:sz w:val="15"/>
              </w:rPr>
              <w:t>4</w:t>
            </w:r>
          </w:p>
        </w:tc>
        <w:tc>
          <w:tcPr>
            <w:tcW w:type="dxa" w:w="1170"/>
          </w:tcPr>
          <w:p>
            <w:r/>
            <w:r>
              <w:rPr>
                <w:sz w:val="15"/>
              </w:rPr>
              <w:t>0</w:t>
            </w:r>
          </w:p>
        </w:tc>
        <w:tc>
          <w:tcPr>
            <w:tcW w:type="dxa" w:w="1170"/>
          </w:tcPr>
          <w:p>
            <w:r/>
            <w:r>
              <w:rPr>
                <w:sz w:val="15"/>
              </w:rPr>
              <w:t>0</w:t>
            </w:r>
          </w:p>
        </w:tc>
        <w:tc>
          <w:tcPr>
            <w:tcW w:type="dxa" w:w="1170"/>
          </w:tcPr>
          <w:p>
            <w:r/>
            <w:r>
              <w:rPr>
                <w:sz w:val="15"/>
              </w:rPr>
              <w:t>74</w:t>
            </w:r>
          </w:p>
        </w:tc>
        <w:tc>
          <w:tcPr>
            <w:tcW w:type="dxa" w:w="1170"/>
          </w:tcPr>
          <w:p>
            <w:r/>
            <w:r>
              <w:rPr>
                <w:sz w:val="15"/>
              </w:rPr>
              <w:t>226</w:t>
            </w:r>
          </w:p>
        </w:tc>
      </w:tr>
      <w:tr>
        <w:tc>
          <w:tcPr>
            <w:tcW w:type="dxa" w:w="1170"/>
          </w:tcPr>
          <w:p>
            <w:r/>
            <w:r>
              <w:rPr>
                <w:sz w:val="15"/>
              </w:rPr>
              <w:t>Donor_4</w:t>
            </w:r>
          </w:p>
        </w:tc>
        <w:tc>
          <w:tcPr>
            <w:tcW w:type="dxa" w:w="1170"/>
          </w:tcPr>
          <w:p>
            <w:r/>
            <w:r>
              <w:rPr>
                <w:sz w:val="15"/>
              </w:rPr>
              <w:t>HBM379.QCJT.435</w:t>
            </w:r>
          </w:p>
        </w:tc>
        <w:tc>
          <w:tcPr>
            <w:tcW w:type="dxa" w:w="1170"/>
          </w:tcPr>
          <w:p>
            <w:r/>
            <w:r>
              <w:rPr>
                <w:sz w:val="15"/>
              </w:rPr>
              <w:t>2</w:t>
            </w:r>
          </w:p>
        </w:tc>
        <w:tc>
          <w:tcPr>
            <w:tcW w:type="dxa" w:w="1170"/>
          </w:tcPr>
          <w:p>
            <w:r/>
            <w:r>
              <w:rPr>
                <w:sz w:val="15"/>
              </w:rPr>
              <w:t>25</w:t>
            </w:r>
          </w:p>
        </w:tc>
        <w:tc>
          <w:tcPr>
            <w:tcW w:type="dxa" w:w="1170"/>
          </w:tcPr>
          <w:p>
            <w:r/>
            <w:r>
              <w:rPr>
                <w:sz w:val="15"/>
              </w:rPr>
              <w:t>2</w:t>
            </w:r>
          </w:p>
        </w:tc>
        <w:tc>
          <w:tcPr>
            <w:tcW w:type="dxa" w:w="1170"/>
          </w:tcPr>
          <w:p>
            <w:r/>
            <w:r>
              <w:rPr>
                <w:sz w:val="15"/>
              </w:rPr>
              <w:t>2</w:t>
            </w:r>
          </w:p>
        </w:tc>
        <w:tc>
          <w:tcPr>
            <w:tcW w:type="dxa" w:w="1170"/>
          </w:tcPr>
          <w:p>
            <w:r/>
            <w:r>
              <w:rPr>
                <w:sz w:val="15"/>
              </w:rPr>
              <w:t>33</w:t>
            </w:r>
          </w:p>
        </w:tc>
        <w:tc>
          <w:tcPr>
            <w:tcW w:type="dxa" w:w="1170"/>
          </w:tcPr>
          <w:p>
            <w:r/>
            <w:r>
              <w:rPr>
                <w:sz w:val="15"/>
              </w:rPr>
              <w:t>295</w:t>
            </w:r>
          </w:p>
        </w:tc>
      </w:tr>
    </w:tbl>
    <w:p>
      <w:r>
        <w:rPr>
          <w:i/>
          <w:color w:val="444444"/>
          <w:sz w:val="17"/>
        </w:rPr>
        <w:t>2 further columns in the source file. Source: module1_epithelial_airway_lineage_by_donor.tsv</w:t>
      </w:r>
    </w:p>
    <w:p>
      <w:pPr>
        <w:spacing w:after="140"/>
      </w:pPr>
      <w:r>
        <w:rPr>
          <w:b/>
          <w:sz w:val="21"/>
        </w:rPr>
        <w:t>Reading the gate.</w:t>
      </w:r>
      <w:r>
        <w:rPr>
          <w:sz w:val="21"/>
        </w:rPr>
        <w:t xml:space="preserve"> The gate passes: all four donors contribute airway-lineage nuclei, 1,646 across the cohort (183, 429, 622 and 412 for Donors 1, 2, 3 and 4) over eight labels. Multiciliated (non-nasal) leads at 747, then Transitional Club-AT2 at 505 and Ionocyte at 277, each in every donor. The tail is thin: Basal resting 67, Club (non-nasal) 44, Suprabasal 2, Deuterosomal and Goblet (bronchial) 2 each and only in Donor_4, and no submucosal gland label. Module 2 therefore gets airway-aware </w:t>
      </w:r>
      <w:r>
        <w:rPr>
          <w:b/>
          <w:sz w:val="21"/>
        </w:rPr>
        <w:t>epithelial</w:t>
      </w:r>
      <w:r>
        <w:rPr>
          <w:sz w:val="21"/>
        </w:rPr>
        <w:t xml:space="preserve"> membership, thin outside the top three labels, with no fifth coarse airway class.</w:t>
      </w:r>
    </w:p>
    <w:p>
      <w:pPr>
        <w:pStyle w:val="Heading4"/>
      </w:pPr>
      <w:r>
        <w:rPr>
          <w:color w:val="1F4E79"/>
        </w:rPr>
        <w:t>QC figures (Donor_1 teaching scaffold)</w:t>
      </w:r>
    </w:p>
    <w:p>
      <w:pPr>
        <w:spacing w:after="140"/>
      </w:pPr>
      <w:r>
        <w:rPr>
          <w:sz w:val="21"/>
        </w:rPr>
        <w:t xml:space="preserve">Donor_1 is the notebook's single-block dry-run; the same plots exist for every teaching block under </w:t>
      </w:r>
      <w:r>
        <w:rPr>
          <w:rFonts w:ascii="Menlo" w:hAnsi="Menlo"/>
          <w:color w:val="1A3E6E"/>
          <w:sz w:val="19"/>
        </w:rPr>
        <w:t>outputs/figures/</w:t>
      </w:r>
      <w:r>
        <w:rPr>
          <w:sz w:val="21"/>
        </w:rPr>
        <w:t>.</w:t>
      </w:r>
    </w:p>
    <w:p>
      <w:pPr>
        <w:jc w:val="center"/>
      </w:pPr>
      <w:r>
        <w:drawing>
          <wp:inline xmlns:a="http://schemas.openxmlformats.org/drawingml/2006/main" xmlns:pic="http://schemas.openxmlformats.org/drawingml/2006/picture">
            <wp:extent cx="5943600" cy="2127491"/>
            <wp:docPr id="1" name="Picture 1"/>
            <wp:cNvGraphicFramePr>
              <a:graphicFrameLocks noChangeAspect="1"/>
            </wp:cNvGraphicFramePr>
            <a:graphic>
              <a:graphicData uri="http://schemas.openxmlformats.org/drawingml/2006/picture">
                <pic:pic>
                  <pic:nvPicPr>
                    <pic:cNvPr id="0" name="module1_HBM347.VDHS.379_qc_violins.png"/>
                    <pic:cNvPicPr/>
                  </pic:nvPicPr>
                  <pic:blipFill>
                    <a:blip r:embed="rId10"/>
                    <a:stretch>
                      <a:fillRect/>
                    </a:stretch>
                  </pic:blipFill>
                  <pic:spPr>
                    <a:xfrm>
                      <a:off x="0" y="0"/>
                      <a:ext cx="5943600" cy="2127491"/>
                    </a:xfrm>
                    <a:prstGeom prst="rect"/>
                  </pic:spPr>
                </pic:pic>
              </a:graphicData>
            </a:graphic>
          </wp:inline>
        </w:drawing>
      </w:r>
    </w:p>
    <w:p>
      <w:pPr>
        <w:jc w:val="center"/>
      </w:pPr>
      <w:r>
        <w:rPr>
          <w:i/>
          <w:color w:val="444444"/>
          <w:sz w:val="18"/>
        </w:rPr>
        <w:t>Violin plots of QC metrics for Donor_1 teaching block HBM347.VDHS.379</w:t>
      </w:r>
    </w:p>
    <w:p>
      <w:pPr>
        <w:jc w:val="center"/>
      </w:pPr>
      <w:r>
        <w:drawing>
          <wp:inline xmlns:a="http://schemas.openxmlformats.org/drawingml/2006/main" xmlns:pic="http://schemas.openxmlformats.org/drawingml/2006/picture">
            <wp:extent cx="5943600" cy="3748761"/>
            <wp:docPr id="2" name="Picture 2"/>
            <wp:cNvGraphicFramePr>
              <a:graphicFrameLocks noChangeAspect="1"/>
            </wp:cNvGraphicFramePr>
            <a:graphic>
              <a:graphicData uri="http://schemas.openxmlformats.org/drawingml/2006/picture">
                <pic:pic>
                  <pic:nvPicPr>
                    <pic:cNvPr id="0" name="module1_HBM347.VDHS.379_qc_counts_vs_genes.png"/>
                    <pic:cNvPicPr/>
                  </pic:nvPicPr>
                  <pic:blipFill>
                    <a:blip r:embed="rId11"/>
                    <a:stretch>
                      <a:fillRect/>
                    </a:stretch>
                  </pic:blipFill>
                  <pic:spPr>
                    <a:xfrm>
                      <a:off x="0" y="0"/>
                      <a:ext cx="5943600" cy="3748761"/>
                    </a:xfrm>
                    <a:prstGeom prst="rect"/>
                  </pic:spPr>
                </pic:pic>
              </a:graphicData>
            </a:graphic>
          </wp:inline>
        </w:drawing>
      </w:r>
    </w:p>
    <w:p>
      <w:pPr>
        <w:jc w:val="center"/>
      </w:pPr>
      <w:r>
        <w:rPr>
          <w:i/>
          <w:color w:val="444444"/>
          <w:sz w:val="18"/>
        </w:rPr>
        <w:t>Total counts versus genes detected for Donor_1 after QC metrics calculation</w:t>
      </w:r>
    </w:p>
    <w:p>
      <w:pPr>
        <w:jc w:val="center"/>
      </w:pPr>
      <w:r>
        <w:drawing>
          <wp:inline xmlns:a="http://schemas.openxmlformats.org/drawingml/2006/main" xmlns:pic="http://schemas.openxmlformats.org/drawingml/2006/picture">
            <wp:extent cx="5943600" cy="3361956"/>
            <wp:docPr id="3" name="Picture 3"/>
            <wp:cNvGraphicFramePr>
              <a:graphicFrameLocks noChangeAspect="1"/>
            </wp:cNvGraphicFramePr>
            <a:graphic>
              <a:graphicData uri="http://schemas.openxmlformats.org/drawingml/2006/picture">
                <pic:pic>
                  <pic:nvPicPr>
                    <pic:cNvPr id="0" name="module1_HBM347.VDHS.379_umap.png"/>
                    <pic:cNvPicPr/>
                  </pic:nvPicPr>
                  <pic:blipFill>
                    <a:blip r:embed="rId12"/>
                    <a:stretch>
                      <a:fillRect/>
                    </a:stretch>
                  </pic:blipFill>
                  <pic:spPr>
                    <a:xfrm>
                      <a:off x="0" y="0"/>
                      <a:ext cx="5943600" cy="3361956"/>
                    </a:xfrm>
                    <a:prstGeom prst="rect"/>
                  </pic:spPr>
                </pic:pic>
              </a:graphicData>
            </a:graphic>
          </wp:inline>
        </w:drawing>
      </w:r>
    </w:p>
    <w:p>
      <w:pPr>
        <w:jc w:val="center"/>
      </w:pPr>
      <w:r>
        <w:rPr>
          <w:i/>
          <w:color w:val="444444"/>
          <w:sz w:val="18"/>
        </w:rPr>
        <w:t>UMAP of QC-preprocessed nuclei for Donor_1 teaching block HBM347.VDHS.379</w:t>
      </w:r>
    </w:p>
    <w:p>
      <w:pPr>
        <w:pStyle w:val="Heading1"/>
      </w:pPr>
      <w:r>
        <w:rPr>
          <w:color w:val="1F4E79"/>
        </w:rPr>
        <w:t>6. Interpretation</w:t>
      </w:r>
    </w:p>
    <w:p>
      <w:pPr>
        <w:spacing w:after="140"/>
      </w:pPr>
      <w:r>
        <w:rPr>
          <w:sz w:val="21"/>
        </w:rPr>
        <w:t>Module 1 establishes a verified local teaching set and a documented QC trail. The scientific claim at this stage is modest and procedural: the four HuBMAP lung snRNA blocks required for Module 2 are present, size-checked, composition-gated, and preprocessed under explicit thresholds.</w:t>
      </w:r>
    </w:p>
    <w:p>
      <w:pPr>
        <w:spacing w:after="140"/>
      </w:pPr>
      <w:r>
        <w:rPr>
          <w:b/>
          <w:sz w:val="21"/>
        </w:rPr>
        <w:t>What the results support.</w:t>
      </w:r>
    </w:p>
    <w:p>
      <w:pPr>
        <w:pStyle w:val="ListBullet"/>
        <w:spacing w:after="40"/>
      </w:pPr>
      <w:r>
        <w:rPr>
          <w:sz w:val="21"/>
        </w:rPr>
        <w:t>A learner can reconstruct which files are required for the whole course and where they belong on disk from this companion alone.</w:t>
      </w:r>
    </w:p>
    <w:p>
      <w:pPr>
        <w:pStyle w:val="ListBullet"/>
        <w:spacing w:after="40"/>
      </w:pPr>
      <w:r>
        <w:rPr>
          <w:sz w:val="21"/>
        </w:rPr>
        <w:t>QC logs show which filters remove nuclei; preprocess objects are ready for Harmony integration.</w:t>
      </w:r>
    </w:p>
    <w:p>
      <w:pPr>
        <w:pStyle w:val="ListBullet"/>
        <w:spacing w:after="40"/>
      </w:pPr>
      <w:r>
        <w:rPr>
          <w:sz w:val="21"/>
        </w:rPr>
        <w:t>Primary DOI vs processed download ID is an operational fact of HuBMAP access, not a paperwork detail.</w:t>
      </w:r>
    </w:p>
    <w:p>
      <w:pPr>
        <w:pStyle w:val="ListBullet"/>
        <w:spacing w:after="40"/>
      </w:pPr>
      <w:r>
        <w:rPr>
          <w:sz w:val="21"/>
        </w:rPr>
        <w:t>Airway-lineage labels are present across donors at teaching-relevant counts, with donor-to-donor imbalance that Module 2 must not over-interpret.</w:t>
      </w:r>
    </w:p>
    <w:p>
      <w:pPr>
        <w:spacing w:after="140"/>
      </w:pPr>
      <w:r>
        <w:rPr>
          <w:b/>
          <w:sz w:val="21"/>
        </w:rPr>
        <w:t>Interpretation of the QC pattern.</w:t>
      </w:r>
      <w:r>
        <w:rPr>
          <w:sz w:val="21"/>
        </w:rPr>
        <w:t xml:space="preserve"> Depth and complexity filters dominate removals; mitochondrial filtering at 5% is nearly inactive on these snRNA objects. That pattern matches nuclear RNA expectations and is why the mito threshold is described as diagnostic rather than as the main cleaning lever. The teaching subsample then equalizes RAM: three donors are capped at 5000 nuclei while Donor_1 remains at its post-QC count when already below the cap.</w:t>
      </w:r>
    </w:p>
    <w:p>
      <w:pPr>
        <w:spacing w:after="140"/>
      </w:pPr>
      <w:r>
        <w:rPr>
          <w:b/>
          <w:sz w:val="21"/>
        </w:rPr>
        <w:t>Interpretation of label join.</w:t>
      </w:r>
      <w:r>
        <w:rPr>
          <w:sz w:val="21"/>
        </w:rPr>
        <w:t xml:space="preserve"> Incomplete Azimuth join on Donor_1 (hundreds of raw barcodes without labels) means composition summaries that require labels are conditioned on the overlapping barcode set. Reporting </w:t>
      </w:r>
      <w:r>
        <w:rPr>
          <w:rFonts w:ascii="Menlo" w:hAnsi="Menlo"/>
          <w:color w:val="1A3E6E"/>
          <w:sz w:val="19"/>
        </w:rPr>
        <w:t>module1_azimuth_join_coverage.tsv</w:t>
      </w:r>
      <w:r>
        <w:rPr>
          <w:sz w:val="21"/>
        </w:rPr>
        <w:t xml:space="preserve"> keeps that conditioning visible when Module 2 maps </w:t>
      </w:r>
      <w:r>
        <w:rPr>
          <w:rFonts w:ascii="Menlo" w:hAnsi="Menlo"/>
          <w:color w:val="1A3E6E"/>
          <w:sz w:val="19"/>
        </w:rPr>
        <w:t>cell_class</w:t>
      </w:r>
      <w:r>
        <w:rPr>
          <w:sz w:val="21"/>
        </w:rPr>
        <w:t>.</w:t>
      </w:r>
    </w:p>
    <w:p>
      <w:pPr>
        <w:pStyle w:val="Heading1"/>
      </w:pPr>
      <w:r>
        <w:rPr>
          <w:color w:val="1F4E79"/>
        </w:rPr>
        <w:t>7. Extending this analysis</w:t>
      </w:r>
    </w:p>
    <w:p>
      <w:pPr>
        <w:spacing w:after="140"/>
      </w:pPr>
      <w:r>
        <w:rPr>
          <w:sz w:val="21"/>
        </w:rPr>
        <w:t>Each item below states what a stronger version of this work would require to support a claim Module 1 leaves open, and what the current evidence does support.</w:t>
      </w:r>
    </w:p>
    <w:p>
      <w:pPr>
        <w:pStyle w:val="ListBullet"/>
        <w:spacing w:after="40"/>
      </w:pPr>
      <w:r>
        <w:rPr>
          <w:b/>
          <w:sz w:val="21"/>
        </w:rPr>
        <w:t>Cohort selection by live query.</w:t>
      </w:r>
      <w:r>
        <w:rPr>
          <w:sz w:val="21"/>
        </w:rPr>
        <w:t xml:space="preserve"> Showing that a live Search API query selects this cohort would mean running the query at teaching time and recording the returned IDs beside the curated list; </w:t>
      </w:r>
      <w:r>
        <w:rPr>
          <w:rFonts w:ascii="Menlo" w:hAnsi="Menlo"/>
          <w:color w:val="1A3E6E"/>
          <w:sz w:val="19"/>
        </w:rPr>
        <w:t>module1.discovery.live_query</w:t>
      </w:r>
      <w:r>
        <w:rPr>
          <w:sz w:val="21"/>
        </w:rPr>
        <w:t xml:space="preserve"> (default </w:t>
      </w:r>
      <w:r>
        <w:rPr>
          <w:rFonts w:ascii="Menlo" w:hAnsi="Menlo"/>
          <w:color w:val="1A3E6E"/>
          <w:sz w:val="19"/>
        </w:rPr>
        <w:t>false</w:t>
      </w:r>
      <w:r>
        <w:rPr>
          <w:sz w:val="21"/>
        </w:rPr>
        <w:t>) turns that check on. This cohort was curated for teaching value, so the two lists have not yet been compared.</w:t>
      </w:r>
    </w:p>
    <w:p>
      <w:pPr>
        <w:pStyle w:val="ListBullet"/>
        <w:spacing w:after="40"/>
      </w:pPr>
      <w:r>
        <w:rPr>
          <w:b/>
          <w:sz w:val="21"/>
        </w:rPr>
        <w:t>Donor integration and biological contrasts.</w:t>
      </w:r>
      <w:r>
        <w:rPr>
          <w:sz w:val="21"/>
        </w:rPr>
        <w:t xml:space="preserve"> Testing differences across age or disease needs a joint embedding and a DE model, which is exactly what Module 2 builds on these QC objects and Module 4 extends across ecosystems. Module 1 stops at per-donor objects on purpose; the next step is Module 2 concatenation.</w:t>
      </w:r>
    </w:p>
    <w:p>
      <w:pPr>
        <w:pStyle w:val="ListBullet"/>
        <w:spacing w:after="40"/>
      </w:pPr>
      <w:r>
        <w:rPr>
          <w:b/>
          <w:sz w:val="21"/>
        </w:rPr>
        <w:t>A powered donor-age contrast</w:t>
      </w:r>
      <w:r>
        <w:rPr>
          <w:sz w:val="21"/>
        </w:rPr>
        <w:t xml:space="preserve"> would need many more donors per arm. This four-donor split (younger Donor_2 and Donor_1 versus older Donor_4 and Donor_3) is a design illustration of how an age variable enters the design, and the next step is a larger cohort pulled through the same HuBMAP access path.</w:t>
      </w:r>
    </w:p>
    <w:p>
      <w:pPr>
        <w:pStyle w:val="ListBullet"/>
        <w:spacing w:after="40"/>
      </w:pPr>
      <w:r>
        <w:rPr>
          <w:b/>
          <w:sz w:val="21"/>
        </w:rPr>
        <w:t>Label quality.</w:t>
      </w:r>
      <w:r>
        <w:rPr>
          <w:sz w:val="21"/>
        </w:rPr>
        <w:t xml:space="preserve"> Treating Azimuth labels as ground truth would require an independent annotation, marker-based or expert, to compare against. Until that exists, </w:t>
      </w:r>
      <w:r>
        <w:rPr>
          <w:rFonts w:ascii="Menlo" w:hAnsi="Menlo"/>
          <w:color w:val="1A3E6E"/>
          <w:sz w:val="19"/>
        </w:rPr>
        <w:t>module1_azimuth_join_coverage.tsv</w:t>
      </w:r>
      <w:r>
        <w:rPr>
          <w:sz w:val="21"/>
        </w:rPr>
        <w:t xml:space="preserve"> travels with the labels so any label-conditioned count can be discounted by the barcodes that never received one (648 of 4,899 in Donor_1).</w:t>
      </w:r>
    </w:p>
    <w:p>
      <w:pPr>
        <w:pStyle w:val="ListBullet"/>
        <w:spacing w:after="40"/>
      </w:pPr>
      <w:r>
        <w:rPr>
          <w:b/>
          <w:sz w:val="21"/>
        </w:rPr>
        <w:t>Blocks outside the manifest.</w:t>
      </w:r>
      <w:r>
        <w:rPr>
          <w:sz w:val="21"/>
        </w:rPr>
        <w:t xml:space="preserve"> Bringing an extra HuBMAP block from </w:t>
      </w:r>
      <w:r>
        <w:rPr>
          <w:rFonts w:ascii="Menlo" w:hAnsi="Menlo"/>
          <w:color w:val="1A3E6E"/>
          <w:sz w:val="19"/>
        </w:rPr>
        <w:t>data/source/</w:t>
      </w:r>
      <w:r>
        <w:rPr>
          <w:sz w:val="21"/>
        </w:rPr>
        <w:t xml:space="preserve"> into the analysis means adding it to </w:t>
      </w:r>
      <w:r>
        <w:rPr>
          <w:rFonts w:ascii="Menlo" w:hAnsi="Menlo"/>
          <w:color w:val="1A3E6E"/>
          <w:sz w:val="19"/>
        </w:rPr>
        <w:t>module2.inputs</w:t>
      </w:r>
      <w:r>
        <w:rPr>
          <w:sz w:val="21"/>
        </w:rPr>
        <w:t>, then re-running verification, the composition gate, and QC before Module 2; that is the same path used to widen the cohort. Until then those blocks are inventoried only, which is what keeps the download budget stable.</w:t>
      </w:r>
    </w:p>
    <w:p>
      <w:pPr>
        <w:spacing w:after="140"/>
      </w:pPr>
      <w:r>
        <w:rPr>
          <w:b/>
          <w:sz w:val="21"/>
        </w:rPr>
        <w:t>Forward link.</w:t>
      </w:r>
      <w:r>
        <w:rPr>
          <w:sz w:val="21"/>
        </w:rPr>
        <w:t xml:space="preserve"> Module 2 concatenates these QC objects, measures donor mixing with Harmony, and runs within-HuBMAP DE and pathway enrichment. GTEx, GEO, and OSDR appear in Module 4; Donor_2 multiome (</w:t>
      </w:r>
      <w:r>
        <w:rPr>
          <w:rFonts w:ascii="Menlo" w:hAnsi="Menlo"/>
          <w:color w:val="1A3E6E"/>
          <w:sz w:val="19"/>
        </w:rPr>
        <w:t>multiome_mofa.hdf5</w:t>
      </w:r>
      <w:r>
        <w:rPr>
          <w:sz w:val="21"/>
        </w:rPr>
        <w:t>) is interpreted in Module 3.</w:t>
      </w:r>
    </w:p>
    <w:p>
      <w:pPr>
        <w:pStyle w:val="Heading1"/>
      </w:pPr>
      <w:r>
        <w:rPr>
          <w:color w:val="1F4E79"/>
        </w:rPr>
        <w:t>8. Open questions</w:t>
      </w:r>
    </w:p>
    <w:p>
      <w:pPr>
        <w:spacing w:after="140"/>
      </w:pPr>
      <w:r>
        <w:rPr>
          <w:sz w:val="21"/>
        </w:rPr>
        <w:t xml:space="preserve">Use the Module 1 tables and figures already written under </w:t>
      </w:r>
      <w:r>
        <w:rPr>
          <w:rFonts w:ascii="Menlo" w:hAnsi="Menlo"/>
          <w:color w:val="1A3E6E"/>
          <w:sz w:val="19"/>
        </w:rPr>
        <w:t>outputs/</w:t>
      </w:r>
      <w:r>
        <w:rPr>
          <w:sz w:val="21"/>
        </w:rPr>
        <w:t>.</w:t>
      </w:r>
    </w:p>
    <w:p>
      <w:pPr>
        <w:pStyle w:val="ListNumber"/>
        <w:spacing w:after="40"/>
      </w:pPr>
      <w:r>
        <w:rPr>
          <w:sz w:val="21"/>
        </w:rPr>
        <w:t>Which QC threshold removed the most nuclei, and would a neighboring cut change the donor composition story?</w:t>
      </w:r>
    </w:p>
    <w:p>
      <w:pPr>
        <w:pStyle w:val="ListNumber"/>
        <w:spacing w:after="40"/>
      </w:pPr>
      <w:r>
        <w:rPr>
          <w:sz w:val="21"/>
        </w:rPr>
        <w:t>What does Azimuth join coverage tell you about unlabeled barcodes on Donor_1 versus Donor_4?</w:t>
      </w:r>
    </w:p>
    <w:p>
      <w:pPr>
        <w:pStyle w:val="ListNumber"/>
        <w:spacing w:after="40"/>
      </w:pPr>
      <w:r>
        <w:rPr>
          <w:sz w:val="21"/>
        </w:rPr>
        <w:t xml:space="preserve">What claim about airway lineages is </w:t>
      </w:r>
      <w:r>
        <w:rPr>
          <w:b/>
          <w:sz w:val="21"/>
        </w:rPr>
        <w:t>not</w:t>
      </w:r>
      <w:r>
        <w:rPr>
          <w:sz w:val="21"/>
        </w:rPr>
        <w:t xml:space="preserve"> supported by this cohort after QC?</w:t>
      </w:r>
    </w:p>
    <w:p>
      <w:pPr>
        <w:pStyle w:val="ListNumber"/>
        <w:spacing w:after="40"/>
      </w:pPr>
      <w:r>
        <w:rPr>
          <w:sz w:val="21"/>
        </w:rPr>
        <w:t>If a colleague treated HubMAP processed IDs as interchangeable with primary DOIs, what would go wrong?</w:t>
      </w:r>
    </w:p>
    <w:p>
      <w:r>
        <w:br w:type="page"/>
      </w:r>
    </w:p>
    <w:p>
      <w:pPr>
        <w:pStyle w:val="Heading1"/>
      </w:pPr>
      <w:r>
        <w:rPr>
          <w:color w:val="1F4E79"/>
        </w:rPr>
        <w:t>Appendix A: obtaining the files from a terminal</w:t>
      </w:r>
    </w:p>
    <w:p>
      <w:pPr>
        <w:spacing w:after="140"/>
      </w:pPr>
      <w:r>
        <w:rPr>
          <w:sz w:val="21"/>
        </w:rPr>
        <w:t>The screencast walks the same acquisition through each portal's web interface. This appendix is the equivalent from a terminal, for a learner who prefers a scripted, repeatable pull. Every command was executed against the live endpoints and every size confirmed against the download manifest.</w:t>
      </w:r>
    </w:p>
    <w:p>
      <w:pPr>
        <w:spacing w:after="140"/>
      </w:pPr>
      <w:r>
        <w:rPr>
          <w:sz w:val="21"/>
        </w:rPr>
        <w:t xml:space="preserve">Run these from the package root. Each command writes into the folder </w:t>
      </w:r>
      <w:r>
        <w:rPr>
          <w:rFonts w:ascii="Menlo" w:hAnsi="Menlo"/>
          <w:color w:val="1A3E6E"/>
          <w:sz w:val="19"/>
        </w:rPr>
        <w:t>config/paths.yaml</w:t>
      </w:r>
      <w:r>
        <w:rPr>
          <w:sz w:val="21"/>
        </w:rPr>
        <w:t xml:space="preserve"> expects, so no file needs moving afterwards.</w:t>
      </w:r>
    </w:p>
    <w:p>
      <w:pPr>
        <w:pStyle w:val="Heading4"/>
      </w:pPr>
      <w:r>
        <w:rPr>
          <w:color w:val="1F4E79"/>
        </w:rPr>
        <w:t>A.1 Finding the APIs: the SmartAPI registry</w:t>
      </w:r>
    </w:p>
    <w:p>
      <w:pPr>
        <w:spacing w:after="140"/>
      </w:pPr>
      <w:r>
        <w:rPr>
          <w:sz w:val="21"/>
        </w:rPr>
        <w:t>The registry is the entry point. This returns the registered HuBMAP entries, including the Search and Entity APIs used below:</w:t>
      </w:r>
    </w:p>
    <w:p>
      <w:pPr>
        <w:spacing w:before="80" w:after="160"/>
        <w:ind w:left="317"/>
        <w:shd w:val="clear" w:fill="F4F4F4"/>
      </w:pPr>
      <w:r>
        <w:rPr>
          <w:rFonts w:ascii="Menlo" w:hAnsi="Menlo"/>
          <w:sz w:val="17"/>
        </w:rPr>
        <w:t>curl -s "https://smart-api.info/api/query?q=hubmap&amp;fields=info.title,info.version,servers"</w:t>
      </w:r>
    </w:p>
    <w:p>
      <w:pPr>
        <w:pStyle w:val="Heading4"/>
      </w:pPr>
      <w:r>
        <w:rPr>
          <w:color w:val="1F4E79"/>
        </w:rPr>
        <w:t>A.2 Resolving a HuBMAP identifier to an asset UUID</w:t>
      </w:r>
    </w:p>
    <w:p>
      <w:pPr>
        <w:spacing w:after="140"/>
      </w:pPr>
      <w:r>
        <w:rPr>
          <w:sz w:val="21"/>
        </w:rPr>
        <w:t>Asset URLs are addressed by UUID, not by the HuBMAP identifier you see in a portal. The Entity API performs the translation. For the Donor_1 processed release:</w:t>
      </w:r>
    </w:p>
    <w:p>
      <w:pPr>
        <w:spacing w:before="80" w:after="160"/>
        <w:ind w:left="317"/>
        <w:shd w:val="clear" w:fill="F4F4F4"/>
      </w:pPr>
      <w:r>
        <w:rPr>
          <w:rFonts w:ascii="Menlo" w:hAnsi="Menlo"/>
          <w:sz w:val="17"/>
        </w:rPr>
        <w:t>curl -s https://entity.api.hubmapconsortium.org/entities/HBM675.RVGB.258 \</w:t>
        <w:br/>
        <w:t xml:space="preserve">  | python -c "import json,sys; print(json.load(sys.stdin)['uuid'])"</w:t>
      </w:r>
    </w:p>
    <w:p>
      <w:pPr>
        <w:spacing w:after="140"/>
      </w:pPr>
      <w:r>
        <w:rPr>
          <w:sz w:val="21"/>
        </w:rPr>
        <w:t xml:space="preserve">The same call on a primary block returns </w:t>
      </w:r>
      <w:r>
        <w:rPr>
          <w:rFonts w:ascii="Menlo" w:hAnsi="Menlo"/>
          <w:color w:val="1A3E6E"/>
          <w:sz w:val="19"/>
        </w:rPr>
        <w:t>data_access_level: protected</w:t>
      </w:r>
      <w:r>
        <w:rPr>
          <w:sz w:val="21"/>
        </w:rPr>
        <w:t>, which is the access tier distinction above expressed as a field you can test in code.</w:t>
      </w:r>
    </w:p>
    <w:p>
      <w:pPr>
        <w:pStyle w:val="Heading4"/>
      </w:pPr>
      <w:r>
        <w:rPr>
          <w:color w:val="1F4E79"/>
        </w:rPr>
        <w:t>A.3 HuBMAP matrices and the multiome object</w:t>
      </w:r>
    </w:p>
    <w:p>
      <w:pPr>
        <w:spacing w:before="80" w:after="160"/>
        <w:ind w:left="317"/>
        <w:shd w:val="clear" w:fill="F4F4F4"/>
      </w:pPr>
      <w:r>
        <w:rPr>
          <w:rFonts w:ascii="Menlo" w:hAnsi="Menlo"/>
          <w:sz w:val="17"/>
        </w:rPr>
        <w:t>mkdir -p data/source/HUBMAP/Donor_1/snRNAseq/HBM347.VDHS.379 \</w:t>
        <w:br/>
        <w:t xml:space="preserve">         data/source/HUBMAP/Donor_2/snRNAseq/HBM473.NKMR.872 \</w:t>
        <w:br/>
        <w:t xml:space="preserve">         data/source/HUBMAP/Donor_3/snRNAseq/HBM484.RGWP.797 \</w:t>
        <w:br/>
        <w:t xml:space="preserve">         data/source/HUBMAP/Donor_4/snRNAseq/HBM379.QCJT.435 \</w:t>
        <w:br/>
        <w:t xml:space="preserve">         data/source/HUBMAP/Donor_2/SNAREseq/HBM828.GPVG.252</w:t>
        <w:br/>
        <w:br/>
        <w:t>BASE=https://assets.hubmapconsortium.org</w:t>
        <w:br/>
        <w:t>curl -L -o data/source/HUBMAP/Donor_1/snRNAseq/HBM347.VDHS.379/raw_expr.h5ad \</w:t>
        <w:br/>
        <w:t xml:space="preserve">  $BASE/171bd6114652ce2a1ff0e4757b5eaef9/raw_expr.h5ad</w:t>
        <w:br/>
        <w:t>curl -L -o data/source/HUBMAP/Donor_2/snRNAseq/HBM473.NKMR.872/raw_expr.h5ad \</w:t>
        <w:br/>
        <w:t xml:space="preserve">  $BASE/4c031c4aba3b656a07a5ab14a305cbba/raw_expr.h5ad</w:t>
        <w:br/>
        <w:t>curl -L -o data/source/HUBMAP/Donor_3/snRNAseq/HBM484.RGWP.797/raw_expr.h5ad \</w:t>
        <w:br/>
        <w:t xml:space="preserve">  $BASE/ab3942cee59a994d73f6f89f8f5eb84a/raw_expr.h5ad</w:t>
        <w:br/>
        <w:t>curl -L -o data/source/HUBMAP/Donor_4/snRNAseq/HBM379.QCJT.435/raw_expr.h5ad \</w:t>
        <w:br/>
        <w:t xml:space="preserve">  $BASE/f5ce0bfcef8d17a18e0a3911fb2b2726/raw_expr.h5ad</w:t>
        <w:br/>
        <w:t>curl -L -o data/source/HUBMAP/Donor_2/SNAREseq/HBM828.GPVG.252/multiome_mofa.hdf5 \</w:t>
        <w:br/>
        <w:t xml:space="preserve">  $BASE/772d0ce4657bb306359c0230c57ee1e9/multiome_mofa.hdf5</w:t>
      </w:r>
    </w:p>
    <w:p>
      <w:pPr>
        <w:pStyle w:val="Heading4"/>
      </w:pPr>
      <w:r>
        <w:rPr>
          <w:color w:val="1F4E79"/>
        </w:rPr>
        <w:t>A.4 The four block metadata TSVs: portal interface only</w:t>
      </w:r>
    </w:p>
    <w:p>
      <w:pPr>
        <w:spacing w:after="140"/>
      </w:pPr>
      <w:r>
        <w:rPr>
          <w:sz w:val="21"/>
        </w:rPr>
        <w:t xml:space="preserve">These four files have no scriptable URL. The pipeline reads them in HuBMAP's Key/Value export format, with columns </w:t>
      </w:r>
      <w:r>
        <w:rPr>
          <w:rFonts w:ascii="Menlo" w:hAnsi="Menlo"/>
          <w:color w:val="1A3E6E"/>
          <w:sz w:val="19"/>
        </w:rPr>
        <w:t>HuBMAP ID</w:t>
      </w:r>
      <w:r>
        <w:rPr>
          <w:sz w:val="21"/>
        </w:rPr>
        <w:t xml:space="preserve">, </w:t>
      </w:r>
      <w:r>
        <w:rPr>
          <w:rFonts w:ascii="Menlo" w:hAnsi="Menlo"/>
          <w:color w:val="1A3E6E"/>
          <w:sz w:val="19"/>
        </w:rPr>
        <w:t>Entity</w:t>
      </w:r>
      <w:r>
        <w:rPr>
          <w:sz w:val="21"/>
        </w:rPr>
        <w:t xml:space="preserve">, </w:t>
      </w:r>
      <w:r>
        <w:rPr>
          <w:rFonts w:ascii="Menlo" w:hAnsi="Menlo"/>
          <w:color w:val="1A3E6E"/>
          <w:sz w:val="19"/>
        </w:rPr>
        <w:t>Key</w:t>
      </w:r>
      <w:r>
        <w:rPr>
          <w:sz w:val="21"/>
        </w:rPr>
        <w:t xml:space="preserve"> and </w:t>
      </w:r>
      <w:r>
        <w:rPr>
          <w:rFonts w:ascii="Menlo" w:hAnsi="Menlo"/>
          <w:color w:val="1A3E6E"/>
          <w:sz w:val="19"/>
        </w:rPr>
        <w:t>Value</w:t>
      </w:r>
      <w:r>
        <w:rPr>
          <w:sz w:val="21"/>
        </w:rPr>
        <w:t xml:space="preserve">, and </w:t>
      </w:r>
      <w:r>
        <w:rPr>
          <w:rFonts w:ascii="Menlo" w:hAnsi="Menlo"/>
          <w:color w:val="1A3E6E"/>
          <w:sz w:val="19"/>
        </w:rPr>
        <w:t>scripts/common/io.py</w:t>
      </w:r>
      <w:r>
        <w:rPr>
          <w:sz w:val="21"/>
        </w:rPr>
        <w:t xml:space="preserve"> raises if any is absent. The programmatic metadata endpoints return a different, wide layout that will not parse.</w:t>
      </w:r>
    </w:p>
    <w:p>
      <w:pPr>
        <w:spacing w:after="140"/>
      </w:pPr>
      <w:r>
        <w:rPr>
          <w:sz w:val="21"/>
        </w:rPr>
        <w:t xml:space="preserve">Obtain each from the portal instead, at </w:t>
      </w:r>
      <w:r>
        <w:rPr>
          <w:rFonts w:ascii="Menlo" w:hAnsi="Menlo"/>
          <w:color w:val="1A3E6E"/>
          <w:sz w:val="19"/>
        </w:rPr>
        <w:t>https://portal.hubmapconsortium.org/browse/dataset/&lt;primary block ID&gt;</w:t>
      </w:r>
      <w:r>
        <w:rPr>
          <w:sz w:val="21"/>
        </w:rPr>
        <w:t xml:space="preserve">, using the metadata download control on the dataset page, and save it beside that donor's </w:t>
      </w:r>
      <w:r>
        <w:rPr>
          <w:rFonts w:ascii="Menlo" w:hAnsi="Menlo"/>
          <w:color w:val="1A3E6E"/>
          <w:sz w:val="19"/>
        </w:rPr>
        <w:t>raw_expr.h5ad</w:t>
      </w:r>
      <w:r>
        <w:rPr>
          <w:sz w:val="21"/>
        </w:rPr>
        <w:t xml:space="preserve"> under the primary block ID with a </w:t>
      </w:r>
      <w:r>
        <w:rPr>
          <w:rFonts w:ascii="Menlo" w:hAnsi="Menlo"/>
          <w:color w:val="1A3E6E"/>
          <w:sz w:val="19"/>
        </w:rPr>
        <w:t>.tsv</w:t>
      </w:r>
      <w:r>
        <w:rPr>
          <w:sz w:val="21"/>
        </w:rPr>
        <w:t xml:space="preserve"> extension: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Donor</w:t>
            </w:r>
          </w:p>
        </w:tc>
        <w:tc>
          <w:tcPr>
            <w:tcW w:type="dxa" w:w="3120"/>
            <w:shd w:val="clear" w:fill="DCE6F1"/>
          </w:tcPr>
          <w:p>
            <w:r/>
            <w:r>
              <w:rPr>
                <w:b/>
                <w:sz w:val="17"/>
              </w:rPr>
              <w:t>Portal page</w:t>
            </w:r>
          </w:p>
        </w:tc>
        <w:tc>
          <w:tcPr>
            <w:tcW w:type="dxa" w:w="3120"/>
            <w:shd w:val="clear" w:fill="DCE6F1"/>
          </w:tcPr>
          <w:p>
            <w:r/>
            <w:r>
              <w:rPr>
                <w:b/>
                <w:sz w:val="17"/>
              </w:rPr>
              <w:t>Save as</w:t>
            </w:r>
          </w:p>
        </w:tc>
      </w:tr>
      <w:tr>
        <w:tc>
          <w:tcPr>
            <w:tcW w:type="dxa" w:w="3120"/>
          </w:tcPr>
          <w:p>
            <w:r/>
            <w:r>
              <w:rPr>
                <w:sz w:val="17"/>
              </w:rPr>
              <w:t>Donor_1</w:t>
            </w:r>
          </w:p>
        </w:tc>
        <w:tc>
          <w:tcPr>
            <w:tcW w:type="dxa" w:w="3120"/>
          </w:tcPr>
          <w:p>
            <w:r/>
            <w:r>
              <w:rPr>
                <w:rFonts w:ascii="Menlo" w:hAnsi="Menlo"/>
                <w:color w:val="1A3E6E"/>
                <w:sz w:val="15"/>
              </w:rPr>
              <w:t>HBM347.VDHS.379</w:t>
            </w:r>
          </w:p>
        </w:tc>
        <w:tc>
          <w:tcPr>
            <w:tcW w:type="dxa" w:w="3120"/>
          </w:tcPr>
          <w:p>
            <w:r/>
            <w:r>
              <w:rPr>
                <w:rFonts w:ascii="Menlo" w:hAnsi="Menlo"/>
                <w:color w:val="1A3E6E"/>
                <w:sz w:val="15"/>
              </w:rPr>
              <w:t>Donor_1/snRNAseq/HBM347.VDHS.379/HBM347.VDHS.379.tsv</w:t>
            </w:r>
          </w:p>
        </w:tc>
      </w:tr>
      <w:tr>
        <w:tc>
          <w:tcPr>
            <w:tcW w:type="dxa" w:w="3120"/>
          </w:tcPr>
          <w:p>
            <w:r/>
            <w:r>
              <w:rPr>
                <w:sz w:val="17"/>
              </w:rPr>
              <w:t>Donor_2</w:t>
            </w:r>
          </w:p>
        </w:tc>
        <w:tc>
          <w:tcPr>
            <w:tcW w:type="dxa" w:w="3120"/>
          </w:tcPr>
          <w:p>
            <w:r/>
            <w:r>
              <w:rPr>
                <w:rFonts w:ascii="Menlo" w:hAnsi="Menlo"/>
                <w:color w:val="1A3E6E"/>
                <w:sz w:val="15"/>
              </w:rPr>
              <w:t>HBM473.NKMR.872</w:t>
            </w:r>
          </w:p>
        </w:tc>
        <w:tc>
          <w:tcPr>
            <w:tcW w:type="dxa" w:w="3120"/>
          </w:tcPr>
          <w:p>
            <w:r/>
            <w:r>
              <w:rPr>
                <w:rFonts w:ascii="Menlo" w:hAnsi="Menlo"/>
                <w:color w:val="1A3E6E"/>
                <w:sz w:val="15"/>
              </w:rPr>
              <w:t>Donor_2/snRNAseq/HBM473.NKMR.872/HBM473.NKMR.872.tsv</w:t>
            </w:r>
          </w:p>
        </w:tc>
      </w:tr>
      <w:tr>
        <w:tc>
          <w:tcPr>
            <w:tcW w:type="dxa" w:w="3120"/>
          </w:tcPr>
          <w:p>
            <w:r/>
            <w:r>
              <w:rPr>
                <w:sz w:val="17"/>
              </w:rPr>
              <w:t>Donor_3</w:t>
            </w:r>
          </w:p>
        </w:tc>
        <w:tc>
          <w:tcPr>
            <w:tcW w:type="dxa" w:w="3120"/>
          </w:tcPr>
          <w:p>
            <w:r/>
            <w:r>
              <w:rPr>
                <w:rFonts w:ascii="Menlo" w:hAnsi="Menlo"/>
                <w:color w:val="1A3E6E"/>
                <w:sz w:val="15"/>
              </w:rPr>
              <w:t>HBM484.RGWP.797</w:t>
            </w:r>
          </w:p>
        </w:tc>
        <w:tc>
          <w:tcPr>
            <w:tcW w:type="dxa" w:w="3120"/>
          </w:tcPr>
          <w:p>
            <w:r/>
            <w:r>
              <w:rPr>
                <w:rFonts w:ascii="Menlo" w:hAnsi="Menlo"/>
                <w:color w:val="1A3E6E"/>
                <w:sz w:val="15"/>
              </w:rPr>
              <w:t>Donor_3/snRNAseq/HBM484.RGWP.797/HBM484.RGWP.797.tsv</w:t>
            </w:r>
          </w:p>
        </w:tc>
      </w:tr>
      <w:tr>
        <w:tc>
          <w:tcPr>
            <w:tcW w:type="dxa" w:w="3120"/>
          </w:tcPr>
          <w:p>
            <w:r/>
            <w:r>
              <w:rPr>
                <w:sz w:val="17"/>
              </w:rPr>
              <w:t>Donor_4</w:t>
            </w:r>
          </w:p>
        </w:tc>
        <w:tc>
          <w:tcPr>
            <w:tcW w:type="dxa" w:w="3120"/>
          </w:tcPr>
          <w:p>
            <w:r/>
            <w:r>
              <w:rPr>
                <w:rFonts w:ascii="Menlo" w:hAnsi="Menlo"/>
                <w:color w:val="1A3E6E"/>
                <w:sz w:val="15"/>
              </w:rPr>
              <w:t>HBM379.QCJT.435</w:t>
            </w:r>
          </w:p>
        </w:tc>
        <w:tc>
          <w:tcPr>
            <w:tcW w:type="dxa" w:w="3120"/>
          </w:tcPr>
          <w:p>
            <w:r/>
            <w:r>
              <w:rPr>
                <w:rFonts w:ascii="Menlo" w:hAnsi="Menlo"/>
                <w:color w:val="1A3E6E"/>
                <w:sz w:val="15"/>
              </w:rPr>
              <w:t>Donor_4/snRNAseq/HBM379.QCJT.435/HBM379.QCJT.435.tsv</w:t>
            </w:r>
          </w:p>
        </w:tc>
      </w:tr>
    </w:tbl>
    <w:p>
      <w:pPr>
        <w:spacing w:after="140"/>
      </w:pPr>
      <w:r>
        <w:rPr>
          <w:sz w:val="21"/>
        </w:rPr>
        <w:t>That a public repository serves most of its files at stable URLs and one export only through a browser is worth noticing rather than working around. Automating an acquisition means finding these boundaries, and they are not documented anywhere except by trying.</w:t>
      </w:r>
    </w:p>
    <w:p>
      <w:pPr>
        <w:pStyle w:val="Heading4"/>
      </w:pPr>
      <w:r>
        <w:rPr>
          <w:color w:val="1F4E79"/>
        </w:rPr>
        <w:t>A.5 GTEx</w:t>
      </w:r>
    </w:p>
    <w:p>
      <w:pPr>
        <w:spacing w:before="80" w:after="160"/>
        <w:ind w:left="317"/>
        <w:shd w:val="clear" w:fill="F4F4F4"/>
      </w:pPr>
      <w:r>
        <w:rPr>
          <w:rFonts w:ascii="Menlo" w:hAnsi="Menlo"/>
          <w:sz w:val="17"/>
        </w:rPr>
        <w:t>mkdir -p data/source/GTEX</w:t>
        <w:br/>
        <w:t>GTEX=https://storage.googleapis.com/adult-gtex</w:t>
        <w:br/>
        <w:t>curl -L -o data/source/GTEX/gene_tpm_v10_lung.gct.gz \</w:t>
        <w:br/>
        <w:t xml:space="preserve">  $GTEX/bulk-gex/v10/rna-seq/tpms-by-tissue/gene_tpm_v10_lung.gct.gz</w:t>
        <w:br/>
        <w:t>curl -L -o data/source/GTEX/gene_reads_v10_lung.gct.gz \</w:t>
        <w:br/>
        <w:t xml:space="preserve">  $GTEX/bulk-gex/v10/rna-seq/counts-by-tissue/gene_reads_v10_lung.gct.gz</w:t>
        <w:br/>
        <w:t>curl -L -o data/source/GTEX/GTEx_Analysis_v10_Annotations_SampleAttributesDS.txt \</w:t>
        <w:br/>
        <w:t xml:space="preserve">  $GTEX/annotations/v10/metadata-files/GTEx_Analysis_v10_Annotations_SampleAttributesDS.txt</w:t>
        <w:br/>
        <w:t>curl -L -o data/source/GTEX/GTEx_Analysis_v10_Annotations_SubjectPhenotypesDS.txt \</w:t>
        <w:br/>
        <w:t xml:space="preserve">  $GTEX/annotations/v10/metadata-files/GTEx_Analysis_v10_Annotations_SubjectPhenotypesDS.txt</w:t>
      </w:r>
    </w:p>
    <w:p>
      <w:pPr>
        <w:pStyle w:val="Heading4"/>
      </w:pPr>
      <w:r>
        <w:rPr>
          <w:color w:val="1F4E79"/>
        </w:rPr>
        <w:t>A.6 GEO</w:t>
      </w:r>
    </w:p>
    <w:p>
      <w:pPr>
        <w:spacing w:before="80" w:after="160"/>
        <w:ind w:left="317"/>
        <w:shd w:val="clear" w:fill="F4F4F4"/>
      </w:pPr>
      <w:r>
        <w:rPr>
          <w:rFonts w:ascii="Menlo" w:hAnsi="Menlo"/>
          <w:sz w:val="17"/>
        </w:rPr>
        <w:t>mkdir -p data/source/GEO/GSE150910</w:t>
        <w:br/>
        <w:t>GEO=https://ftp.ncbi.nlm.nih.gov/geo/series/GSE150nnn/GSE150910</w:t>
        <w:br/>
        <w:t>curl -L -o data/source/GEO/GSE150910/GSE150910_gene-level_count_file.csv.gz \</w:t>
        <w:br/>
        <w:t xml:space="preserve">  $GEO/suppl/GSE150910_gene-level_count_file.csv.gz</w:t>
        <w:br/>
        <w:t>curl -L -o data/source/GEO/GSE150910/GSE150910_series_matrix.txt.gz \</w:t>
        <w:br/>
        <w:t xml:space="preserve">  $GEO/matrix/GSE150910_series_matrix.txt.gz</w:t>
      </w:r>
    </w:p>
    <w:p>
      <w:pPr>
        <w:pStyle w:val="Heading4"/>
      </w:pPr>
      <w:r>
        <w:rPr>
          <w:color w:val="1F4E79"/>
        </w:rPr>
        <w:t>A.7 NASA OSDR</w:t>
      </w:r>
    </w:p>
    <w:p>
      <w:pPr>
        <w:spacing w:after="140"/>
      </w:pPr>
      <w:r>
        <w:rPr>
          <w:sz w:val="21"/>
        </w:rPr>
        <w:t>OSDR serves files through a study-scoped download endpoint. The ISA metadata arrives as one archive whose members are flat, so it must be expanded into the directory name the config resolves:</w:t>
      </w:r>
    </w:p>
    <w:p>
      <w:pPr>
        <w:spacing w:before="80" w:after="160"/>
        <w:ind w:left="317"/>
        <w:shd w:val="clear" w:fill="F4F4F4"/>
      </w:pPr>
      <w:r>
        <w:rPr>
          <w:rFonts w:ascii="Menlo" w:hAnsi="Menlo"/>
          <w:sz w:val="17"/>
        </w:rPr>
        <w:t>mkdir -p data/source/OSDR/OSD-248</w:t>
        <w:br/>
        <w:t>OSDR="https://osdr.nasa.gov/geode-py/ws/studies/OSD-248/download?source=datamanager&amp;file="</w:t>
        <w:br/>
        <w:t>cd data/source/OSDR/OSD-248</w:t>
        <w:br/>
        <w:t>curl -L -o GLDS-248_rna_seq_RSEM_Unnormalized_Counts_rRNArm_GLbulkRNAseq.csv \</w:t>
        <w:br/>
        <w:t xml:space="preserve">  "${OSDR}GLDS-248_rna_seq_RSEM_Unnormalized_Counts_rRNArm_GLbulkRNAseq.csv"</w:t>
        <w:br/>
        <w:t>curl -L -o GLDS-248_rna_seq_differential_expression_rRNArm_GLbulkRNAseq.csv \</w:t>
        <w:br/>
        <w:t xml:space="preserve">  "${OSDR}GLDS-248_rna_seq_differential_expression_rRNArm_GLbulkRNAseq.csv"</w:t>
        <w:br/>
        <w:t>curl -L -o GLDS-248_rna_seq_contrasts_GLbulkRNAseq.csv \</w:t>
        <w:br/>
        <w:t xml:space="preserve">  "${OSDR}GLDS-248_rna_seq_contrasts_GLbulkRNAseq.csv"</w:t>
        <w:br/>
        <w:t>curl -L -o isa.zip "${OSDR}OSD-248_metadata_OSD-248-ISA.zip"</w:t>
        <w:br/>
        <w:t>unzip -o isa.zip -d OSD-248_metadata_GLDS-248-ISA &amp;&amp; rm isa.zip</w:t>
        <w:br/>
        <w:t>cd -</w:t>
      </w:r>
    </w:p>
    <w:p>
      <w:pPr>
        <w:spacing w:after="140"/>
      </w:pPr>
      <w:r>
        <w:rPr>
          <w:sz w:val="21"/>
        </w:rPr>
        <w:t xml:space="preserve">The archive is named </w:t>
      </w:r>
      <w:r>
        <w:rPr>
          <w:rFonts w:ascii="Menlo" w:hAnsi="Menlo"/>
          <w:color w:val="1A3E6E"/>
          <w:sz w:val="19"/>
        </w:rPr>
        <w:t>OSD-248_metadata_OSD-248-ISA.zip</w:t>
      </w:r>
      <w:r>
        <w:rPr>
          <w:sz w:val="21"/>
        </w:rPr>
        <w:t xml:space="preserve"> while </w:t>
      </w:r>
      <w:r>
        <w:rPr>
          <w:rFonts w:ascii="Menlo" w:hAnsi="Menlo"/>
          <w:color w:val="1A3E6E"/>
          <w:sz w:val="19"/>
        </w:rPr>
        <w:t>config/paths.yaml</w:t>
      </w:r>
      <w:r>
        <w:rPr>
          <w:sz w:val="21"/>
        </w:rPr>
        <w:t xml:space="preserve"> resolves </w:t>
      </w:r>
      <w:r>
        <w:rPr>
          <w:rFonts w:ascii="Menlo" w:hAnsi="Menlo"/>
          <w:color w:val="1A3E6E"/>
          <w:sz w:val="19"/>
        </w:rPr>
        <w:t>OSD-248_metadata_GLDS-248-ISA/</w:t>
      </w:r>
      <w:r>
        <w:rPr>
          <w:sz w:val="21"/>
        </w:rPr>
        <w:t xml:space="preserve">, which is why </w:t>
      </w:r>
      <w:r>
        <w:rPr>
          <w:rFonts w:ascii="Menlo" w:hAnsi="Menlo"/>
          <w:color w:val="1A3E6E"/>
          <w:sz w:val="19"/>
        </w:rPr>
        <w:t>unzip -d</w:t>
      </w:r>
      <w:r>
        <w:rPr>
          <w:sz w:val="21"/>
        </w:rPr>
        <w:t xml:space="preserve"> names the destination explicitly. To see what a study holds before choosing files, </w:t>
      </w:r>
      <w:r>
        <w:rPr>
          <w:rFonts w:ascii="Menlo" w:hAnsi="Menlo"/>
          <w:color w:val="1A3E6E"/>
          <w:sz w:val="19"/>
        </w:rPr>
        <w:t>https://osdr.nasa.gov/osdr/data/osd/files/248</w:t>
      </w:r>
      <w:r>
        <w:rPr>
          <w:sz w:val="21"/>
        </w:rPr>
        <w:t xml:space="preserve"> returns the full listing as JSON.</w:t>
      </w:r>
    </w:p>
    <w:p>
      <w:pPr>
        <w:pStyle w:val="Heading4"/>
      </w:pPr>
      <w:r>
        <w:rPr>
          <w:color w:val="1F4E79"/>
        </w:rPr>
        <w:t>A.8 Confirming what you retrieved</w:t>
      </w:r>
    </w:p>
    <w:p>
      <w:pPr>
        <w:spacing w:before="80" w:after="160"/>
        <w:ind w:left="317"/>
        <w:shd w:val="clear" w:fill="F4F4F4"/>
      </w:pPr>
      <w:r>
        <w:rPr>
          <w:rFonts w:ascii="Menlo" w:hAnsi="Menlo"/>
          <w:sz w:val="17"/>
        </w:rPr>
        <w:t>python scripts/verify_access.py</w:t>
      </w:r>
    </w:p>
    <w:p>
      <w:pPr>
        <w:spacing w:after="140"/>
      </w:pPr>
      <w:r>
        <w:rPr>
          <w:sz w:val="21"/>
        </w:rPr>
        <w:t>One caution, and it is the reason this course asks you to date-stamp a measurement. Portal files are republished. The OSD-248 ISA assay table measured 0.16 MB on the authoring run and measures 0.22 MB today, so a total recomputed now will not match the committed manifest to the last decimal. That is the repository behaving normally, not an error in your download. A size that is wildly different, or a file that is absent, is a real failure; a small drift in a metadata table is provenance, and the right response is to record what you measured and when.</w:t>
      </w:r>
    </w:p>
    <w:p>
      <w:r>
        <w:br w:type="page"/>
      </w:r>
    </w:p>
    <w:p>
      <w:pPr>
        <w:pStyle w:val="Heading1"/>
      </w:pPr>
      <w:r>
        <w:rPr>
          <w:color w:val="1F4E79"/>
        </w:rPr>
        <w:t>Appendix B: parameters</w:t>
      </w:r>
    </w:p>
    <w:p>
      <w:pPr>
        <w:spacing w:after="140"/>
      </w:pPr>
      <w:r>
        <w:rPr>
          <w:sz w:val="21"/>
        </w:rPr>
        <w:t xml:space="preserve">Config keys and defaults for each Methods step. Section numbers match the Methods subsections; values are the live entries in </w:t>
      </w:r>
      <w:r>
        <w:rPr>
          <w:rFonts w:ascii="Menlo" w:hAnsi="Menlo"/>
          <w:color w:val="1A3E6E"/>
          <w:sz w:val="19"/>
        </w:rPr>
        <w:t>config/paths.yaml</w:t>
      </w:r>
      <w:r>
        <w:rPr>
          <w:sz w:val="21"/>
        </w:rPr>
        <w:t xml:space="preserve"> under </w:t>
      </w:r>
      <w:r>
        <w:rPr>
          <w:rFonts w:ascii="Menlo" w:hAnsi="Menlo"/>
          <w:color w:val="1A3E6E"/>
          <w:sz w:val="19"/>
        </w:rPr>
        <w:t>module1</w:t>
      </w:r>
      <w:r>
        <w:rPr>
          <w:sz w:val="21"/>
        </w:rPr>
        <w:t xml:space="preserve"> (and related keys).</w:t>
      </w:r>
    </w:p>
    <w:p>
      <w:pPr>
        <w:pStyle w:val="Heading4"/>
      </w:pPr>
      <w:r>
        <w:rPr>
          <w:color w:val="1F4E79"/>
        </w:rPr>
        <w:t>1. Identify and place teaching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module1.donor_label</w:t>
            </w:r>
          </w:p>
        </w:tc>
        <w:tc>
          <w:tcPr>
            <w:tcW w:type="dxa" w:w="1872"/>
          </w:tcPr>
          <w:p>
            <w:r/>
            <w:r>
              <w:rPr>
                <w:rFonts w:ascii="Menlo" w:hAnsi="Menlo"/>
                <w:color w:val="1A3E6E"/>
                <w:sz w:val="15"/>
              </w:rPr>
              <w:t>Donor_1</w:t>
            </w:r>
          </w:p>
        </w:tc>
        <w:tc>
          <w:tcPr>
            <w:tcW w:type="dxa" w:w="1872"/>
          </w:tcPr>
          <w:p>
            <w:r/>
            <w:r>
              <w:rPr>
                <w:sz w:val="17"/>
              </w:rPr>
              <w:t>Notebook dry-run donor for single-block QC figures</w:t>
            </w:r>
          </w:p>
        </w:tc>
        <w:tc>
          <w:tcPr>
            <w:tcW w:type="dxa" w:w="1872"/>
          </w:tcPr>
          <w:p>
            <w:r/>
            <w:r>
              <w:rPr>
                <w:sz w:val="17"/>
              </w:rPr>
              <w:t>Switch donor</w:t>
            </w:r>
          </w:p>
        </w:tc>
        <w:tc>
          <w:tcPr>
            <w:tcW w:type="dxa" w:w="1872"/>
          </w:tcPr>
          <w:p>
            <w:r/>
            <w:r>
              <w:rPr>
                <w:sz w:val="17"/>
              </w:rPr>
              <w:t>Changes which block is used for Module 1 scaffold plots only</w:t>
            </w:r>
          </w:p>
        </w:tc>
      </w:tr>
      <w:tr>
        <w:tc>
          <w:tcPr>
            <w:tcW w:type="dxa" w:w="1872"/>
          </w:tcPr>
          <w:p>
            <w:r/>
            <w:r>
              <w:rPr>
                <w:rFonts w:ascii="Menlo" w:hAnsi="Menlo"/>
                <w:color w:val="1A3E6E"/>
                <w:sz w:val="15"/>
              </w:rPr>
              <w:t>module1.block_id</w:t>
            </w:r>
            <w:r>
              <w:rPr>
                <w:sz w:val="17"/>
              </w:rPr>
              <w:t xml:space="preserve"> / </w:t>
            </w:r>
            <w:r>
              <w:rPr>
                <w:rFonts w:ascii="Menlo" w:hAnsi="Menlo"/>
                <w:color w:val="1A3E6E"/>
                <w:sz w:val="15"/>
              </w:rPr>
              <w:t>primary_id</w:t>
            </w:r>
          </w:p>
        </w:tc>
        <w:tc>
          <w:tcPr>
            <w:tcW w:type="dxa" w:w="1872"/>
          </w:tcPr>
          <w:p>
            <w:r/>
            <w:r>
              <w:rPr>
                <w:rFonts w:ascii="Menlo" w:hAnsi="Menlo"/>
                <w:color w:val="1A3E6E"/>
                <w:sz w:val="15"/>
              </w:rPr>
              <w:t>HBM347.VDHS.379</w:t>
            </w:r>
          </w:p>
        </w:tc>
        <w:tc>
          <w:tcPr>
            <w:tcW w:type="dxa" w:w="1872"/>
          </w:tcPr>
          <w:p>
            <w:r/>
            <w:r>
              <w:rPr>
                <w:sz w:val="17"/>
              </w:rPr>
              <w:t>Primary teaching block ID and folder name</w:t>
            </w:r>
          </w:p>
        </w:tc>
        <w:tc>
          <w:tcPr>
            <w:tcW w:type="dxa" w:w="1872"/>
          </w:tcPr>
          <w:p>
            <w:r/>
            <w:r>
              <w:rPr>
                <w:sz w:val="17"/>
              </w:rPr>
              <w:t>Pin another primary</w:t>
            </w:r>
          </w:p>
        </w:tc>
        <w:tc>
          <w:tcPr>
            <w:tcW w:type="dxa" w:w="1872"/>
          </w:tcPr>
          <w:p>
            <w:r/>
            <w:r>
              <w:rPr>
                <w:sz w:val="17"/>
              </w:rPr>
              <w:t>New matrix and barcodes; full Module 1+2 rebuild</w:t>
            </w:r>
          </w:p>
        </w:tc>
      </w:tr>
      <w:tr>
        <w:tc>
          <w:tcPr>
            <w:tcW w:type="dxa" w:w="1872"/>
          </w:tcPr>
          <w:p>
            <w:r/>
            <w:r>
              <w:rPr>
                <w:rFonts w:ascii="Menlo" w:hAnsi="Menlo"/>
                <w:color w:val="1A3E6E"/>
                <w:sz w:val="15"/>
              </w:rPr>
              <w:t>module1.processed_id</w:t>
            </w:r>
          </w:p>
        </w:tc>
        <w:tc>
          <w:tcPr>
            <w:tcW w:type="dxa" w:w="1872"/>
          </w:tcPr>
          <w:p>
            <w:r/>
            <w:r>
              <w:rPr>
                <w:rFonts w:ascii="Menlo" w:hAnsi="Menlo"/>
                <w:color w:val="1A3E6E"/>
                <w:sz w:val="15"/>
              </w:rPr>
              <w:t>HBM675.RVGB.258</w:t>
            </w:r>
          </w:p>
        </w:tc>
        <w:tc>
          <w:tcPr>
            <w:tcW w:type="dxa" w:w="1872"/>
          </w:tcPr>
          <w:p>
            <w:r/>
            <w:r>
              <w:rPr>
                <w:sz w:val="17"/>
              </w:rPr>
              <w:t>Public processed release actually downloaded</w:t>
            </w:r>
          </w:p>
        </w:tc>
        <w:tc>
          <w:tcPr>
            <w:tcW w:type="dxa" w:w="1872"/>
          </w:tcPr>
          <w:p>
            <w:r/>
            <w:r>
              <w:rPr>
                <w:sz w:val="17"/>
              </w:rPr>
              <w:t>Pin different descendant</w:t>
            </w:r>
          </w:p>
        </w:tc>
        <w:tc>
          <w:tcPr>
            <w:tcW w:type="dxa" w:w="1872"/>
          </w:tcPr>
          <w:p>
            <w:r/>
            <w:r>
              <w:rPr>
                <w:sz w:val="17"/>
              </w:rPr>
              <w:t>Different bytes and possibly barcode set; re-verify sizes</w:t>
            </w:r>
          </w:p>
        </w:tc>
      </w:tr>
      <w:tr>
        <w:tc>
          <w:tcPr>
            <w:tcW w:type="dxa" w:w="1872"/>
          </w:tcPr>
          <w:p>
            <w:r/>
            <w:r>
              <w:rPr>
                <w:rFonts w:ascii="Menlo" w:hAnsi="Menlo"/>
                <w:color w:val="1A3E6E"/>
                <w:sz w:val="15"/>
              </w:rPr>
              <w:t>module1.primary_doi</w:t>
            </w:r>
          </w:p>
        </w:tc>
        <w:tc>
          <w:tcPr>
            <w:tcW w:type="dxa" w:w="1872"/>
          </w:tcPr>
          <w:p>
            <w:r/>
            <w:r>
              <w:rPr>
                <w:rFonts w:ascii="Menlo" w:hAnsi="Menlo"/>
                <w:color w:val="1A3E6E"/>
                <w:sz w:val="15"/>
              </w:rPr>
              <w:t>10.35079/HBM347.VDHS.379</w:t>
            </w:r>
          </w:p>
        </w:tc>
        <w:tc>
          <w:tcPr>
            <w:tcW w:type="dxa" w:w="1872"/>
          </w:tcPr>
          <w:p>
            <w:r/>
            <w:r>
              <w:rPr>
                <w:sz w:val="17"/>
              </w:rPr>
              <w:t>Citation DOI for the primary</w:t>
            </w:r>
          </w:p>
        </w:tc>
        <w:tc>
          <w:tcPr>
            <w:tcW w:type="dxa" w:w="1872"/>
          </w:tcPr>
          <w:p>
            <w:r/>
            <w:r>
              <w:rPr>
                <w:sz w:val="17"/>
              </w:rPr>
              <w:t>Editorial only</w:t>
            </w:r>
          </w:p>
        </w:tc>
        <w:tc>
          <w:tcPr>
            <w:tcW w:type="dxa" w:w="1872"/>
          </w:tcPr>
          <w:p>
            <w:r/>
            <w:r>
              <w:rPr>
                <w:sz w:val="17"/>
              </w:rPr>
              <w:t>Does not change analysis matrices</w:t>
            </w:r>
          </w:p>
        </w:tc>
      </w:tr>
      <w:tr>
        <w:tc>
          <w:tcPr>
            <w:tcW w:type="dxa" w:w="1872"/>
          </w:tcPr>
          <w:p>
            <w:r/>
            <w:r>
              <w:rPr>
                <w:rFonts w:ascii="Menlo" w:hAnsi="Menlo"/>
                <w:color w:val="1A3E6E"/>
                <w:sz w:val="15"/>
              </w:rPr>
              <w:t>module2.inputs[*]</w:t>
            </w:r>
          </w:p>
        </w:tc>
        <w:tc>
          <w:tcPr>
            <w:tcW w:type="dxa" w:w="1872"/>
          </w:tcPr>
          <w:p>
            <w:r/>
            <w:r>
              <w:rPr>
                <w:sz w:val="17"/>
              </w:rPr>
              <w:t>four donor blocks</w:t>
            </w:r>
          </w:p>
        </w:tc>
        <w:tc>
          <w:tcPr>
            <w:tcW w:type="dxa" w:w="1872"/>
          </w:tcPr>
          <w:p>
            <w:r/>
            <w:r>
              <w:rPr>
                <w:sz w:val="17"/>
              </w:rPr>
              <w:t>Full integration cohort Module 1 verifies</w:t>
            </w:r>
          </w:p>
        </w:tc>
        <w:tc>
          <w:tcPr>
            <w:tcW w:type="dxa" w:w="1872"/>
          </w:tcPr>
          <w:p>
            <w:r/>
            <w:r>
              <w:rPr>
                <w:sz w:val="17"/>
              </w:rPr>
              <w:t>Add/drop a donor</w:t>
            </w:r>
          </w:p>
        </w:tc>
        <w:tc>
          <w:tcPr>
            <w:tcW w:type="dxa" w:w="1872"/>
          </w:tcPr>
          <w:p>
            <w:r/>
            <w:r>
              <w:rPr>
                <w:sz w:val="17"/>
              </w:rPr>
              <w:t>Changes inventory, QC objects, and all Module 2 counts</w:t>
            </w:r>
          </w:p>
        </w:tc>
      </w:tr>
    </w:tbl>
    <w:p>
      <w:pPr>
        <w:pStyle w:val="Heading4"/>
      </w:pPr>
      <w:r>
        <w:rPr>
          <w:color w:val="1F4E79"/>
        </w:rPr>
        <w:t>2. Inventory and measured-size verification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paths.hubmap_source</w:t>
            </w:r>
          </w:p>
        </w:tc>
        <w:tc>
          <w:tcPr>
            <w:tcW w:type="dxa" w:w="1872"/>
          </w:tcPr>
          <w:p>
            <w:r/>
            <w:r>
              <w:rPr>
                <w:rFonts w:ascii="Menlo" w:hAnsi="Menlo"/>
                <w:color w:val="1A3E6E"/>
                <w:sz w:val="15"/>
              </w:rPr>
              <w:t>data/source/HUBMAP</w:t>
            </w:r>
          </w:p>
        </w:tc>
        <w:tc>
          <w:tcPr>
            <w:tcW w:type="dxa" w:w="1872"/>
          </w:tcPr>
          <w:p>
            <w:r/>
            <w:r>
              <w:rPr>
                <w:sz w:val="17"/>
              </w:rPr>
              <w:t>Root for donor trees</w:t>
            </w:r>
          </w:p>
        </w:tc>
        <w:tc>
          <w:tcPr>
            <w:tcW w:type="dxa" w:w="1872"/>
          </w:tcPr>
          <w:p>
            <w:r/>
            <w:r>
              <w:rPr>
                <w:sz w:val="17"/>
              </w:rPr>
              <w:t>Relocate tree</w:t>
            </w:r>
          </w:p>
        </w:tc>
        <w:tc>
          <w:tcPr>
            <w:tcW w:type="dxa" w:w="1872"/>
          </w:tcPr>
          <w:p>
            <w:r/>
            <w:r>
              <w:rPr>
                <w:sz w:val="17"/>
              </w:rPr>
              <w:t>Inventory and verification paths break until files move</w:t>
            </w:r>
          </w:p>
        </w:tc>
      </w:tr>
      <w:tr>
        <w:tc>
          <w:tcPr>
            <w:tcW w:type="dxa" w:w="1872"/>
          </w:tcPr>
          <w:p>
            <w:r/>
            <w:r>
              <w:rPr>
                <w:rFonts w:ascii="Menlo" w:hAnsi="Menlo"/>
                <w:color w:val="1A3E6E"/>
                <w:sz w:val="15"/>
              </w:rPr>
              <w:t>module2.inputs</w:t>
            </w:r>
          </w:p>
        </w:tc>
        <w:tc>
          <w:tcPr>
            <w:tcW w:type="dxa" w:w="1872"/>
          </w:tcPr>
          <w:p>
            <w:r/>
            <w:r>
              <w:rPr>
                <w:sz w:val="17"/>
              </w:rPr>
              <w:t>four blocks</w:t>
            </w:r>
          </w:p>
        </w:tc>
        <w:tc>
          <w:tcPr>
            <w:tcW w:type="dxa" w:w="1872"/>
          </w:tcPr>
          <w:p>
            <w:r/>
            <w:r>
              <w:rPr>
                <w:sz w:val="17"/>
              </w:rPr>
              <w:t xml:space="preserve">Teaching set used by </w:t>
            </w:r>
            <w:r>
              <w:rPr>
                <w:rFonts w:ascii="Menlo" w:hAnsi="Menlo"/>
                <w:color w:val="1A3E6E"/>
                <w:sz w:val="15"/>
              </w:rPr>
              <w:t>teaching_inputs()</w:t>
            </w:r>
          </w:p>
        </w:tc>
        <w:tc>
          <w:tcPr>
            <w:tcW w:type="dxa" w:w="1872"/>
          </w:tcPr>
          <w:p>
            <w:r/>
            <w:r>
              <w:rPr>
                <w:sz w:val="17"/>
              </w:rPr>
              <w:t>Change cohort</w:t>
            </w:r>
          </w:p>
        </w:tc>
        <w:tc>
          <w:tcPr>
            <w:tcW w:type="dxa" w:w="1872"/>
          </w:tcPr>
          <w:p>
            <w:r/>
            <w:r>
              <w:rPr>
                <w:sz w:val="17"/>
              </w:rPr>
              <w:t>Manifest rows and verification targets change</w:t>
            </w:r>
          </w:p>
        </w:tc>
      </w:tr>
      <w:tr>
        <w:tc>
          <w:tcPr>
            <w:tcW w:type="dxa" w:w="1872"/>
          </w:tcPr>
          <w:p>
            <w:r/>
            <w:r>
              <w:rPr>
                <w:rFonts w:ascii="Menlo" w:hAnsi="Menlo"/>
                <w:color w:val="1A3E6E"/>
                <w:sz w:val="15"/>
              </w:rPr>
              <w:t>module1.discovery.live_query</w:t>
            </w:r>
          </w:p>
        </w:tc>
        <w:tc>
          <w:tcPr>
            <w:tcW w:type="dxa" w:w="1872"/>
          </w:tcPr>
          <w:p>
            <w:r/>
            <w:r>
              <w:rPr>
                <w:rFonts w:ascii="Menlo" w:hAnsi="Menlo"/>
                <w:color w:val="1A3E6E"/>
                <w:sz w:val="15"/>
              </w:rPr>
              <w:t>false</w:t>
            </w:r>
          </w:p>
        </w:tc>
        <w:tc>
          <w:tcPr>
            <w:tcW w:type="dxa" w:w="1872"/>
          </w:tcPr>
          <w:p>
            <w:r/>
            <w:r>
              <w:rPr>
                <w:sz w:val="17"/>
              </w:rPr>
              <w:t>Live SmartAPI / Search API (deferred)</w:t>
            </w:r>
          </w:p>
        </w:tc>
        <w:tc>
          <w:tcPr>
            <w:tcW w:type="dxa" w:w="1872"/>
          </w:tcPr>
          <w:p>
            <w:r/>
            <w:r>
              <w:rPr>
                <w:sz w:val="17"/>
              </w:rPr>
              <w:t xml:space="preserve">Set </w:t>
            </w:r>
            <w:r>
              <w:rPr>
                <w:rFonts w:ascii="Menlo" w:hAnsi="Menlo"/>
                <w:color w:val="1A3E6E"/>
                <w:sz w:val="15"/>
              </w:rPr>
              <w:t>true</w:t>
            </w:r>
          </w:p>
        </w:tc>
        <w:tc>
          <w:tcPr>
            <w:tcW w:type="dxa" w:w="1872"/>
          </w:tcPr>
          <w:p>
            <w:r/>
            <w:r>
              <w:rPr>
                <w:sz w:val="17"/>
              </w:rPr>
              <w:t>Optional registry tables; does not replace local verify</w:t>
            </w:r>
          </w:p>
        </w:tc>
      </w:tr>
      <w:tr>
        <w:tc>
          <w:tcPr>
            <w:tcW w:type="dxa" w:w="1872"/>
          </w:tcPr>
          <w:p>
            <w:r/>
            <w:r>
              <w:rPr>
                <w:rFonts w:ascii="Menlo" w:hAnsi="Menlo"/>
                <w:color w:val="1A3E6E"/>
                <w:sz w:val="15"/>
              </w:rPr>
              <w:t>module1.discovery.cache_registry</w:t>
            </w:r>
          </w:p>
        </w:tc>
        <w:tc>
          <w:tcPr>
            <w:tcW w:type="dxa" w:w="1872"/>
          </w:tcPr>
          <w:p>
            <w:r/>
            <w:r>
              <w:rPr>
                <w:rFonts w:ascii="Menlo" w:hAnsi="Menlo"/>
                <w:color w:val="1A3E6E"/>
                <w:sz w:val="15"/>
              </w:rPr>
              <w:t>outputs/tables/module1_smartapi_registry.tsv</w:t>
            </w:r>
          </w:p>
        </w:tc>
        <w:tc>
          <w:tcPr>
            <w:tcW w:type="dxa" w:w="1872"/>
          </w:tcPr>
          <w:p>
            <w:r/>
            <w:r>
              <w:rPr>
                <w:sz w:val="17"/>
              </w:rPr>
              <w:t>Offline cache path for registry</w:t>
            </w:r>
          </w:p>
        </w:tc>
        <w:tc>
          <w:tcPr>
            <w:tcW w:type="dxa" w:w="1872"/>
          </w:tcPr>
          <w:p>
            <w:r/>
            <w:r>
              <w:rPr>
                <w:sz w:val="17"/>
              </w:rPr>
              <w:t>Path change</w:t>
            </w:r>
          </w:p>
        </w:tc>
        <w:tc>
          <w:tcPr>
            <w:tcW w:type="dxa" w:w="1872"/>
          </w:tcPr>
          <w:p>
            <w:r/>
            <w:r>
              <w:rPr>
                <w:sz w:val="17"/>
              </w:rPr>
              <w:t>Affects discovery cache only</w:t>
            </w:r>
          </w:p>
        </w:tc>
      </w:tr>
    </w:tbl>
    <w:p>
      <w:pPr>
        <w:pStyle w:val="Heading4"/>
      </w:pPr>
      <w:r>
        <w:rPr>
          <w:color w:val="1F4E79"/>
        </w:rPr>
        <w:t>3. Provenance and access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module1.primary_doi</w:t>
            </w:r>
            <w:r>
              <w:rPr>
                <w:sz w:val="17"/>
              </w:rPr>
              <w:t xml:space="preserve"> / per-donor </w:t>
            </w:r>
            <w:r>
              <w:rPr>
                <w:rFonts w:ascii="Menlo" w:hAnsi="Menlo"/>
                <w:color w:val="1A3E6E"/>
                <w:sz w:val="15"/>
              </w:rPr>
              <w:t>primary_doi</w:t>
            </w:r>
          </w:p>
        </w:tc>
        <w:tc>
          <w:tcPr>
            <w:tcW w:type="dxa" w:w="1872"/>
          </w:tcPr>
          <w:p>
            <w:r/>
            <w:r>
              <w:rPr>
                <w:sz w:val="17"/>
              </w:rPr>
              <w:t>see cohort block</w:t>
            </w:r>
          </w:p>
        </w:tc>
        <w:tc>
          <w:tcPr>
            <w:tcW w:type="dxa" w:w="1872"/>
          </w:tcPr>
          <w:p>
            <w:r/>
            <w:r>
              <w:rPr>
                <w:sz w:val="17"/>
              </w:rPr>
              <w:t>DOI cited for each primary</w:t>
            </w:r>
          </w:p>
        </w:tc>
        <w:tc>
          <w:tcPr>
            <w:tcW w:type="dxa" w:w="1872"/>
          </w:tcPr>
          <w:p>
            <w:r/>
            <w:r>
              <w:rPr>
                <w:sz w:val="17"/>
              </w:rPr>
              <w:t>Editorial</w:t>
            </w:r>
          </w:p>
        </w:tc>
        <w:tc>
          <w:tcPr>
            <w:tcW w:type="dxa" w:w="1872"/>
          </w:tcPr>
          <w:p>
            <w:r/>
            <w:r>
              <w:rPr>
                <w:sz w:val="17"/>
              </w:rPr>
              <w:t>Provenance text only</w:t>
            </w:r>
          </w:p>
        </w:tc>
      </w:tr>
      <w:tr>
        <w:tc>
          <w:tcPr>
            <w:tcW w:type="dxa" w:w="1872"/>
          </w:tcPr>
          <w:p>
            <w:r/>
            <w:r>
              <w:rPr>
                <w:rFonts w:ascii="Menlo" w:hAnsi="Menlo"/>
                <w:color w:val="1A3E6E"/>
                <w:sz w:val="15"/>
              </w:rPr>
              <w:t>module3.dataset_id</w:t>
            </w:r>
          </w:p>
        </w:tc>
        <w:tc>
          <w:tcPr>
            <w:tcW w:type="dxa" w:w="1872"/>
          </w:tcPr>
          <w:p>
            <w:r/>
            <w:r>
              <w:rPr>
                <w:rFonts w:ascii="Menlo" w:hAnsi="Menlo"/>
                <w:color w:val="1A3E6E"/>
                <w:sz w:val="15"/>
              </w:rPr>
              <w:t>HBM828.GPVG.252</w:t>
            </w:r>
          </w:p>
        </w:tc>
        <w:tc>
          <w:tcPr>
            <w:tcW w:type="dxa" w:w="1872"/>
          </w:tcPr>
          <w:p>
            <w:r/>
            <w:r>
              <w:rPr>
                <w:sz w:val="17"/>
              </w:rPr>
              <w:t>Multiome product listed for access</w:t>
            </w:r>
          </w:p>
        </w:tc>
        <w:tc>
          <w:tcPr>
            <w:tcW w:type="dxa" w:w="1872"/>
          </w:tcPr>
          <w:p>
            <w:r/>
            <w:r>
              <w:rPr>
                <w:sz w:val="17"/>
              </w:rPr>
              <w:t>Change product</w:t>
            </w:r>
          </w:p>
        </w:tc>
        <w:tc>
          <w:tcPr>
            <w:tcW w:type="dxa" w:w="1872"/>
          </w:tcPr>
          <w:p>
            <w:r/>
            <w:r>
              <w:rPr>
                <w:sz w:val="17"/>
              </w:rPr>
              <w:t>Provenance row for Module 3 input</w:t>
            </w:r>
          </w:p>
        </w:tc>
      </w:tr>
      <w:tr>
        <w:tc>
          <w:tcPr>
            <w:tcW w:type="dxa" w:w="1872"/>
          </w:tcPr>
          <w:p>
            <w:r/>
            <w:r>
              <w:rPr>
                <w:rFonts w:ascii="Menlo" w:hAnsi="Menlo"/>
                <w:color w:val="1A3E6E"/>
                <w:sz w:val="15"/>
              </w:rPr>
              <w:t>module4.data.gtex_tpm</w:t>
            </w:r>
          </w:p>
        </w:tc>
        <w:tc>
          <w:tcPr>
            <w:tcW w:type="dxa" w:w="1872"/>
          </w:tcPr>
          <w:p>
            <w:r/>
            <w:r>
              <w:rPr>
                <w:rFonts w:ascii="Menlo" w:hAnsi="Menlo"/>
                <w:color w:val="1A3E6E"/>
                <w:sz w:val="15"/>
              </w:rPr>
              <w:t>data/source/GTEX/gene_tpm_v10_lung.gct.gz</w:t>
            </w:r>
          </w:p>
        </w:tc>
        <w:tc>
          <w:tcPr>
            <w:tcW w:type="dxa" w:w="1872"/>
          </w:tcPr>
          <w:p>
            <w:r/>
            <w:r>
              <w:rPr>
                <w:sz w:val="17"/>
              </w:rPr>
              <w:t>GTEx TPM path in access map</w:t>
            </w:r>
          </w:p>
        </w:tc>
        <w:tc>
          <w:tcPr>
            <w:tcW w:type="dxa" w:w="1872"/>
          </w:tcPr>
          <w:p>
            <w:r/>
            <w:r>
              <w:rPr>
                <w:sz w:val="17"/>
              </w:rPr>
              <w:t>Relocate</w:t>
            </w:r>
          </w:p>
        </w:tc>
        <w:tc>
          <w:tcPr>
            <w:tcW w:type="dxa" w:w="1872"/>
          </w:tcPr>
          <w:p>
            <w:r/>
            <w:r>
              <w:rPr>
                <w:sz w:val="17"/>
              </w:rPr>
              <w:t>Provenance path string; Module 4 load must match</w:t>
            </w:r>
          </w:p>
        </w:tc>
      </w:tr>
    </w:tbl>
    <w:p>
      <w:pPr>
        <w:pStyle w:val="Heading4"/>
      </w:pPr>
      <w:r>
        <w:rPr>
          <w:color w:val="1F4E79"/>
        </w:rPr>
        <w:t>4. Composition gate (airway-lineage epithelial labels)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module1.join_azimuth_labels</w:t>
            </w:r>
          </w:p>
        </w:tc>
        <w:tc>
          <w:tcPr>
            <w:tcW w:type="dxa" w:w="1872"/>
          </w:tcPr>
          <w:p>
            <w:r/>
            <w:r>
              <w:rPr>
                <w:rFonts w:ascii="Menlo" w:hAnsi="Menlo"/>
                <w:color w:val="1A3E6E"/>
                <w:sz w:val="15"/>
              </w:rPr>
              <w:t>true</w:t>
            </w:r>
          </w:p>
        </w:tc>
        <w:tc>
          <w:tcPr>
            <w:tcW w:type="dxa" w:w="1872"/>
          </w:tcPr>
          <w:p>
            <w:r/>
            <w:r>
              <w:rPr>
                <w:sz w:val="17"/>
              </w:rPr>
              <w:t>Whether QC export joins labels onto barcodes</w:t>
            </w:r>
          </w:p>
        </w:tc>
        <w:tc>
          <w:tcPr>
            <w:tcW w:type="dxa" w:w="1872"/>
          </w:tcPr>
          <w:p>
            <w:r/>
            <w:r>
              <w:rPr>
                <w:sz w:val="17"/>
              </w:rPr>
              <w:t xml:space="preserve">Set </w:t>
            </w:r>
            <w:r>
              <w:rPr>
                <w:rFonts w:ascii="Menlo" w:hAnsi="Menlo"/>
                <w:color w:val="1A3E6E"/>
                <w:sz w:val="15"/>
              </w:rPr>
              <w:t>false</w:t>
            </w:r>
          </w:p>
        </w:tc>
        <w:tc>
          <w:tcPr>
            <w:tcW w:type="dxa" w:w="1872"/>
          </w:tcPr>
          <w:p>
            <w:r/>
            <w:r>
              <w:rPr>
                <w:sz w:val="17"/>
              </w:rPr>
              <w:t>Join coverage / labeled composition thin out</w:t>
            </w:r>
          </w:p>
        </w:tc>
      </w:tr>
      <w:tr>
        <w:tc>
          <w:tcPr>
            <w:tcW w:type="dxa" w:w="1872"/>
          </w:tcPr>
          <w:p>
            <w:r/>
            <w:r>
              <w:rPr>
                <w:rFonts w:ascii="Menlo" w:hAnsi="Menlo"/>
                <w:color w:val="1A3E6E"/>
                <w:sz w:val="15"/>
              </w:rPr>
              <w:t>module2.labels.fetch_remote</w:t>
            </w:r>
          </w:p>
        </w:tc>
        <w:tc>
          <w:tcPr>
            <w:tcW w:type="dxa" w:w="1872"/>
          </w:tcPr>
          <w:p>
            <w:r/>
            <w:r>
              <w:rPr>
                <w:rFonts w:ascii="Menlo" w:hAnsi="Menlo"/>
                <w:color w:val="1A3E6E"/>
                <w:sz w:val="15"/>
              </w:rPr>
              <w:t>false</w:t>
            </w:r>
          </w:p>
        </w:tc>
        <w:tc>
          <w:tcPr>
            <w:tcW w:type="dxa" w:w="1872"/>
          </w:tcPr>
          <w:p>
            <w:r/>
            <w:r>
              <w:rPr>
                <w:sz w:val="17"/>
              </w:rPr>
              <w:t xml:space="preserve">Live HTTP range-read of </w:t>
            </w:r>
            <w:r>
              <w:rPr>
                <w:rFonts w:ascii="Menlo" w:hAnsi="Menlo"/>
                <w:color w:val="1A3E6E"/>
                <w:sz w:val="15"/>
              </w:rPr>
              <w:t>azimuth_label</w:t>
            </w:r>
            <w:r>
              <w:rPr>
                <w:sz w:val="17"/>
              </w:rPr>
              <w:t xml:space="preserve"> from public secondary h5ad</w:t>
            </w:r>
          </w:p>
        </w:tc>
        <w:tc>
          <w:tcPr>
            <w:tcW w:type="dxa" w:w="1872"/>
          </w:tcPr>
          <w:p>
            <w:r/>
            <w:r>
              <w:rPr>
                <w:sz w:val="17"/>
              </w:rPr>
              <w:t xml:space="preserve">Set </w:t>
            </w:r>
            <w:r>
              <w:rPr>
                <w:rFonts w:ascii="Menlo" w:hAnsi="Menlo"/>
                <w:color w:val="1A3E6E"/>
                <w:sz w:val="15"/>
              </w:rPr>
              <w:t>true</w:t>
            </w:r>
          </w:p>
        </w:tc>
        <w:tc>
          <w:tcPr>
            <w:tcW w:type="dxa" w:w="1872"/>
          </w:tcPr>
          <w:p>
            <w:r/>
            <w:r>
              <w:rPr>
                <w:sz w:val="17"/>
              </w:rPr>
              <w:t>May change join coverage vs local secondary</w:t>
            </w:r>
          </w:p>
        </w:tc>
      </w:tr>
      <w:tr>
        <w:tc>
          <w:tcPr>
            <w:tcW w:type="dxa" w:w="1872"/>
          </w:tcPr>
          <w:p>
            <w:r/>
            <w:r>
              <w:rPr>
                <w:rFonts w:ascii="Menlo" w:hAnsi="Menlo"/>
                <w:color w:val="1A3E6E"/>
                <w:sz w:val="15"/>
              </w:rPr>
              <w:t>module2.labels.cache</w:t>
            </w:r>
          </w:p>
        </w:tc>
        <w:tc>
          <w:tcPr>
            <w:tcW w:type="dxa" w:w="1872"/>
          </w:tcPr>
          <w:p>
            <w:r/>
            <w:r>
              <w:rPr>
                <w:rFonts w:ascii="Menlo" w:hAnsi="Menlo"/>
                <w:color w:val="1A3E6E"/>
                <w:sz w:val="15"/>
              </w:rPr>
              <w:t>outputs/tables/module2_azimuth_labels.tsv</w:t>
            </w:r>
          </w:p>
        </w:tc>
        <w:tc>
          <w:tcPr>
            <w:tcW w:type="dxa" w:w="1872"/>
          </w:tcPr>
          <w:p>
            <w:r/>
            <w:r>
              <w:rPr>
                <w:sz w:val="17"/>
              </w:rPr>
              <w:t>Cached label TSV for Module 2</w:t>
            </w:r>
          </w:p>
        </w:tc>
        <w:tc>
          <w:tcPr>
            <w:tcW w:type="dxa" w:w="1872"/>
          </w:tcPr>
          <w:p>
            <w:r/>
            <w:r>
              <w:rPr>
                <w:sz w:val="17"/>
              </w:rPr>
              <w:t>Refresh cache</w:t>
            </w:r>
          </w:p>
        </w:tc>
        <w:tc>
          <w:tcPr>
            <w:tcW w:type="dxa" w:w="1872"/>
          </w:tcPr>
          <w:p>
            <w:r/>
            <w:r>
              <w:rPr>
                <w:sz w:val="17"/>
              </w:rPr>
              <w:t>Label joins for Module 2 change</w:t>
            </w:r>
          </w:p>
        </w:tc>
      </w:tr>
      <w:tr>
        <w:tc>
          <w:tcPr>
            <w:tcW w:type="dxa" w:w="1872"/>
          </w:tcPr>
          <w:p>
            <w:r/>
            <w:r>
              <w:rPr>
                <w:rFonts w:ascii="Menlo" w:hAnsi="Menlo"/>
                <w:color w:val="1A3E6E"/>
                <w:sz w:val="15"/>
              </w:rPr>
              <w:t>module2.label_column</w:t>
            </w:r>
          </w:p>
        </w:tc>
        <w:tc>
          <w:tcPr>
            <w:tcW w:type="dxa" w:w="1872"/>
          </w:tcPr>
          <w:p>
            <w:r/>
            <w:r>
              <w:rPr>
                <w:rFonts w:ascii="Menlo" w:hAnsi="Menlo"/>
                <w:color w:val="1A3E6E"/>
                <w:sz w:val="15"/>
              </w:rPr>
              <w:t>azimuth_label</w:t>
            </w:r>
          </w:p>
        </w:tc>
        <w:tc>
          <w:tcPr>
            <w:tcW w:type="dxa" w:w="1872"/>
          </w:tcPr>
          <w:p>
            <w:r/>
            <w:r>
              <w:rPr>
                <w:sz w:val="17"/>
              </w:rPr>
              <w:t>Obs column used for coarse mapping later</w:t>
            </w:r>
          </w:p>
        </w:tc>
        <w:tc>
          <w:tcPr>
            <w:tcW w:type="dxa" w:w="1872"/>
          </w:tcPr>
          <w:p>
            <w:r/>
            <w:r>
              <w:rPr>
                <w:sz w:val="17"/>
              </w:rPr>
              <w:t>Rename</w:t>
            </w:r>
          </w:p>
        </w:tc>
        <w:tc>
          <w:tcPr>
            <w:tcW w:type="dxa" w:w="1872"/>
          </w:tcPr>
          <w:p>
            <w:r/>
            <w:r>
              <w:rPr>
                <w:sz w:val="17"/>
              </w:rPr>
              <w:t>Must match joined column or mapping fails</w:t>
            </w:r>
          </w:p>
        </w:tc>
      </w:tr>
    </w:tbl>
    <w:p>
      <w:pPr>
        <w:pStyle w:val="Heading4"/>
      </w:pPr>
      <w:r>
        <w:rPr>
          <w:color w:val="1F4E79"/>
        </w:rPr>
        <w:t>5. QC filters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module1.qc.min_cells_per_gene</w:t>
            </w:r>
          </w:p>
        </w:tc>
        <w:tc>
          <w:tcPr>
            <w:tcW w:type="dxa" w:w="1872"/>
          </w:tcPr>
          <w:p>
            <w:r/>
            <w:r>
              <w:rPr>
                <w:rFonts w:ascii="Menlo" w:hAnsi="Menlo"/>
                <w:color w:val="1A3E6E"/>
                <w:sz w:val="15"/>
              </w:rPr>
              <w:t>3</w:t>
            </w:r>
          </w:p>
        </w:tc>
        <w:tc>
          <w:tcPr>
            <w:tcW w:type="dxa" w:w="1872"/>
          </w:tcPr>
          <w:p>
            <w:r/>
            <w:r>
              <w:rPr>
                <w:sz w:val="17"/>
              </w:rPr>
              <w:t>Drop genes detected in fewer nuclei</w:t>
            </w:r>
          </w:p>
        </w:tc>
        <w:tc>
          <w:tcPr>
            <w:tcW w:type="dxa" w:w="1872"/>
          </w:tcPr>
          <w:p>
            <w:r/>
            <w:r>
              <w:rPr>
                <w:sz w:val="17"/>
              </w:rPr>
              <w:t>Raise</w:t>
            </w:r>
          </w:p>
        </w:tc>
        <w:tc>
          <w:tcPr>
            <w:tcW w:type="dxa" w:w="1872"/>
          </w:tcPr>
          <w:p>
            <w:r/>
            <w:r>
              <w:rPr>
                <w:sz w:val="17"/>
              </w:rPr>
              <w:t>Fewer genes enter preprocess / Module 2 intersection</w:t>
            </w:r>
          </w:p>
        </w:tc>
      </w:tr>
      <w:tr>
        <w:tc>
          <w:tcPr>
            <w:tcW w:type="dxa" w:w="1872"/>
          </w:tcPr>
          <w:p>
            <w:r/>
            <w:r>
              <w:rPr>
                <w:rFonts w:ascii="Menlo" w:hAnsi="Menlo"/>
                <w:color w:val="1A3E6E"/>
                <w:sz w:val="15"/>
              </w:rPr>
              <w:t>module1.qc.min_genes</w:t>
            </w:r>
          </w:p>
        </w:tc>
        <w:tc>
          <w:tcPr>
            <w:tcW w:type="dxa" w:w="1872"/>
          </w:tcPr>
          <w:p>
            <w:r/>
            <w:r>
              <w:rPr>
                <w:rFonts w:ascii="Menlo" w:hAnsi="Menlo"/>
                <w:color w:val="1A3E6E"/>
                <w:sz w:val="15"/>
              </w:rPr>
              <w:t>200</w:t>
            </w:r>
          </w:p>
        </w:tc>
        <w:tc>
          <w:tcPr>
            <w:tcW w:type="dxa" w:w="1872"/>
          </w:tcPr>
          <w:p>
            <w:r/>
            <w:r>
              <w:rPr>
                <w:sz w:val="17"/>
              </w:rPr>
              <w:t>Drop low-complexity nuclei</w:t>
            </w:r>
          </w:p>
        </w:tc>
        <w:tc>
          <w:tcPr>
            <w:tcW w:type="dxa" w:w="1872"/>
          </w:tcPr>
          <w:p>
            <w:r/>
            <w:r>
              <w:rPr>
                <w:sz w:val="17"/>
              </w:rPr>
              <w:t>Raise</w:t>
            </w:r>
          </w:p>
        </w:tc>
        <w:tc>
          <w:tcPr>
            <w:tcW w:type="dxa" w:w="1872"/>
          </w:tcPr>
          <w:p>
            <w:r/>
            <w:r>
              <w:rPr>
                <w:sz w:val="17"/>
              </w:rPr>
              <w:t>Removes more nuclei; rare lineages shrink first</w:t>
            </w:r>
          </w:p>
        </w:tc>
      </w:tr>
      <w:tr>
        <w:tc>
          <w:tcPr>
            <w:tcW w:type="dxa" w:w="1872"/>
          </w:tcPr>
          <w:p>
            <w:r/>
            <w:r>
              <w:rPr>
                <w:rFonts w:ascii="Menlo" w:hAnsi="Menlo"/>
                <w:color w:val="1A3E6E"/>
                <w:sz w:val="15"/>
              </w:rPr>
              <w:t>module1.qc.min_counts</w:t>
            </w:r>
          </w:p>
        </w:tc>
        <w:tc>
          <w:tcPr>
            <w:tcW w:type="dxa" w:w="1872"/>
          </w:tcPr>
          <w:p>
            <w:r/>
            <w:r>
              <w:rPr>
                <w:rFonts w:ascii="Menlo" w:hAnsi="Menlo"/>
                <w:color w:val="1A3E6E"/>
                <w:sz w:val="15"/>
              </w:rPr>
              <w:t>500</w:t>
            </w:r>
          </w:p>
        </w:tc>
        <w:tc>
          <w:tcPr>
            <w:tcW w:type="dxa" w:w="1872"/>
          </w:tcPr>
          <w:p>
            <w:r/>
            <w:r>
              <w:rPr>
                <w:sz w:val="17"/>
              </w:rPr>
              <w:t>Drop shallow nuclei by total counts</w:t>
            </w:r>
          </w:p>
        </w:tc>
        <w:tc>
          <w:tcPr>
            <w:tcW w:type="dxa" w:w="1872"/>
          </w:tcPr>
          <w:p>
            <w:r/>
            <w:r>
              <w:rPr>
                <w:sz w:val="17"/>
              </w:rPr>
              <w:t>Raise</w:t>
            </w:r>
          </w:p>
        </w:tc>
        <w:tc>
          <w:tcPr>
            <w:tcW w:type="dxa" w:w="1872"/>
          </w:tcPr>
          <w:p>
            <w:r/>
            <w:r>
              <w:rPr>
                <w:sz w:val="17"/>
              </w:rPr>
              <w:t xml:space="preserve">Same direction as </w:t>
            </w:r>
            <w:r>
              <w:rPr>
                <w:rFonts w:ascii="Menlo" w:hAnsi="Menlo"/>
                <w:color w:val="1A3E6E"/>
                <w:sz w:val="15"/>
              </w:rPr>
              <w:t>min_genes</w:t>
            </w:r>
            <w:r>
              <w:rPr>
                <w:sz w:val="17"/>
              </w:rPr>
              <w:t>; depth-driven loss</w:t>
            </w:r>
          </w:p>
        </w:tc>
      </w:tr>
      <w:tr>
        <w:tc>
          <w:tcPr>
            <w:tcW w:type="dxa" w:w="1872"/>
          </w:tcPr>
          <w:p>
            <w:r/>
            <w:r>
              <w:rPr>
                <w:rFonts w:ascii="Menlo" w:hAnsi="Menlo"/>
                <w:color w:val="1A3E6E"/>
                <w:sz w:val="15"/>
              </w:rPr>
              <w:t>module1.qc.max_mito_percent</w:t>
            </w:r>
          </w:p>
        </w:tc>
        <w:tc>
          <w:tcPr>
            <w:tcW w:type="dxa" w:w="1872"/>
          </w:tcPr>
          <w:p>
            <w:r/>
            <w:r>
              <w:rPr>
                <w:rFonts w:ascii="Menlo" w:hAnsi="Menlo"/>
                <w:color w:val="1A3E6E"/>
                <w:sz w:val="15"/>
              </w:rPr>
              <w:t>5.0</w:t>
            </w:r>
          </w:p>
        </w:tc>
        <w:tc>
          <w:tcPr>
            <w:tcW w:type="dxa" w:w="1872"/>
          </w:tcPr>
          <w:p>
            <w:r/>
            <w:r>
              <w:rPr>
                <w:sz w:val="17"/>
              </w:rPr>
              <w:t>Mitochondrial percent ceiling</w:t>
            </w:r>
          </w:p>
        </w:tc>
        <w:tc>
          <w:tcPr>
            <w:tcW w:type="dxa" w:w="1872"/>
          </w:tcPr>
          <w:p>
            <w:r/>
            <w:r>
              <w:rPr>
                <w:sz w:val="17"/>
              </w:rPr>
              <w:t>Lower further</w:t>
            </w:r>
          </w:p>
        </w:tc>
        <w:tc>
          <w:tcPr>
            <w:tcW w:type="dxa" w:w="1872"/>
          </w:tcPr>
          <w:p>
            <w:r/>
            <w:r>
              <w:rPr>
                <w:sz w:val="17"/>
              </w:rPr>
              <w:t>Rarely removes more on snRNA; raise admits damaged nuclei</w:t>
            </w:r>
          </w:p>
        </w:tc>
      </w:tr>
      <w:tr>
        <w:tc>
          <w:tcPr>
            <w:tcW w:type="dxa" w:w="1872"/>
          </w:tcPr>
          <w:p>
            <w:r/>
            <w:r>
              <w:rPr>
                <w:rFonts w:ascii="Menlo" w:hAnsi="Menlo"/>
                <w:color w:val="1A3E6E"/>
                <w:sz w:val="15"/>
              </w:rPr>
              <w:t>module1.qc.max_genes</w:t>
            </w:r>
          </w:p>
        </w:tc>
        <w:tc>
          <w:tcPr>
            <w:tcW w:type="dxa" w:w="1872"/>
          </w:tcPr>
          <w:p>
            <w:r/>
            <w:r>
              <w:rPr>
                <w:rFonts w:ascii="Menlo" w:hAnsi="Menlo"/>
                <w:color w:val="1A3E6E"/>
                <w:sz w:val="15"/>
              </w:rPr>
              <w:t>8000</w:t>
            </w:r>
          </w:p>
        </w:tc>
        <w:tc>
          <w:tcPr>
            <w:tcW w:type="dxa" w:w="1872"/>
          </w:tcPr>
          <w:p>
            <w:r/>
            <w:r>
              <w:rPr>
                <w:sz w:val="17"/>
              </w:rPr>
              <w:t>Drop extreme high-complexity nuclei</w:t>
            </w:r>
          </w:p>
        </w:tc>
        <w:tc>
          <w:tcPr>
            <w:tcW w:type="dxa" w:w="1872"/>
          </w:tcPr>
          <w:p>
            <w:r/>
            <w:r>
              <w:rPr>
                <w:sz w:val="17"/>
              </w:rPr>
              <w:t>Lower</w:t>
            </w:r>
          </w:p>
        </w:tc>
        <w:tc>
          <w:tcPr>
            <w:tcW w:type="dxa" w:w="1872"/>
          </w:tcPr>
          <w:p>
            <w:r/>
            <w:r>
              <w:rPr>
                <w:sz w:val="17"/>
              </w:rPr>
              <w:t>Can remove legitimate high-complexity epithelial nuclei</w:t>
            </w:r>
          </w:p>
        </w:tc>
      </w:tr>
      <w:tr>
        <w:tc>
          <w:tcPr>
            <w:tcW w:type="dxa" w:w="1872"/>
          </w:tcPr>
          <w:p>
            <w:r/>
            <w:r>
              <w:rPr>
                <w:rFonts w:ascii="Menlo" w:hAnsi="Menlo"/>
                <w:color w:val="1A3E6E"/>
                <w:sz w:val="15"/>
              </w:rPr>
              <w:t>module1.doublet_filtering</w:t>
            </w:r>
          </w:p>
        </w:tc>
        <w:tc>
          <w:tcPr>
            <w:tcW w:type="dxa" w:w="1872"/>
          </w:tcPr>
          <w:p>
            <w:r/>
            <w:r>
              <w:rPr>
                <w:rFonts w:ascii="Menlo" w:hAnsi="Menlo"/>
                <w:color w:val="1A3E6E"/>
                <w:sz w:val="15"/>
              </w:rPr>
              <w:t>false</w:t>
            </w:r>
          </w:p>
        </w:tc>
        <w:tc>
          <w:tcPr>
            <w:tcW w:type="dxa" w:w="1872"/>
          </w:tcPr>
          <w:p>
            <w:r/>
            <w:r>
              <w:rPr>
                <w:sz w:val="17"/>
              </w:rPr>
              <w:t>Optional doublet call (off)</w:t>
            </w:r>
          </w:p>
        </w:tc>
        <w:tc>
          <w:tcPr>
            <w:tcW w:type="dxa" w:w="1872"/>
          </w:tcPr>
          <w:p>
            <w:r/>
            <w:r>
              <w:rPr>
                <w:sz w:val="17"/>
              </w:rPr>
              <w:t xml:space="preserve">Set </w:t>
            </w:r>
            <w:r>
              <w:rPr>
                <w:rFonts w:ascii="Menlo" w:hAnsi="Menlo"/>
                <w:color w:val="1A3E6E"/>
                <w:sz w:val="15"/>
              </w:rPr>
              <w:t>true</w:t>
            </w:r>
          </w:p>
        </w:tc>
        <w:tc>
          <w:tcPr>
            <w:tcW w:type="dxa" w:w="1872"/>
          </w:tcPr>
          <w:p>
            <w:r/>
            <w:r>
              <w:rPr>
                <w:sz w:val="17"/>
              </w:rPr>
              <w:t>Extra removals; not the teaching default</w:t>
            </w:r>
          </w:p>
        </w:tc>
      </w:tr>
    </w:tbl>
    <w:p>
      <w:pPr>
        <w:pStyle w:val="Heading4"/>
      </w:pPr>
      <w:r>
        <w:rPr>
          <w:color w:val="1F4E79"/>
        </w:rPr>
        <w:t>6. Preprocess, teaching subsample, neighbors, and UMAP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module1.preprocess.target_sum</w:t>
            </w:r>
          </w:p>
        </w:tc>
        <w:tc>
          <w:tcPr>
            <w:tcW w:type="dxa" w:w="1872"/>
          </w:tcPr>
          <w:p>
            <w:r/>
            <w:r>
              <w:rPr>
                <w:rFonts w:ascii="Menlo" w:hAnsi="Menlo"/>
                <w:color w:val="1A3E6E"/>
                <w:sz w:val="15"/>
              </w:rPr>
              <w:t>10000</w:t>
            </w:r>
          </w:p>
        </w:tc>
        <w:tc>
          <w:tcPr>
            <w:tcW w:type="dxa" w:w="1872"/>
          </w:tcPr>
          <w:p>
            <w:r/>
            <w:r>
              <w:rPr>
                <w:rFonts w:ascii="Menlo" w:hAnsi="Menlo"/>
                <w:color w:val="1A3E6E"/>
                <w:sz w:val="15"/>
              </w:rPr>
              <w:t>normalize_total</w:t>
            </w:r>
            <w:r>
              <w:rPr>
                <w:sz w:val="17"/>
              </w:rPr>
              <w:t xml:space="preserve"> target</w:t>
            </w:r>
          </w:p>
        </w:tc>
        <w:tc>
          <w:tcPr>
            <w:tcW w:type="dxa" w:w="1872"/>
          </w:tcPr>
          <w:p>
            <w:r/>
            <w:r>
              <w:rPr>
                <w:sz w:val="17"/>
              </w:rPr>
              <w:t>Change scale</w:t>
            </w:r>
          </w:p>
        </w:tc>
        <w:tc>
          <w:tcPr>
            <w:tcW w:type="dxa" w:w="1872"/>
          </w:tcPr>
          <w:p>
            <w:r/>
            <w:r>
              <w:rPr>
                <w:sz w:val="17"/>
              </w:rPr>
              <w:t>Rescales log expression; markers shift mildly</w:t>
            </w:r>
          </w:p>
        </w:tc>
      </w:tr>
      <w:tr>
        <w:tc>
          <w:tcPr>
            <w:tcW w:type="dxa" w:w="1872"/>
          </w:tcPr>
          <w:p>
            <w:r/>
            <w:r>
              <w:rPr>
                <w:rFonts w:ascii="Menlo" w:hAnsi="Menlo"/>
                <w:color w:val="1A3E6E"/>
                <w:sz w:val="15"/>
              </w:rPr>
              <w:t>module1.preprocess.n_top_genes</w:t>
            </w:r>
          </w:p>
        </w:tc>
        <w:tc>
          <w:tcPr>
            <w:tcW w:type="dxa" w:w="1872"/>
          </w:tcPr>
          <w:p>
            <w:r/>
            <w:r>
              <w:rPr>
                <w:rFonts w:ascii="Menlo" w:hAnsi="Menlo"/>
                <w:color w:val="1A3E6E"/>
                <w:sz w:val="15"/>
              </w:rPr>
              <w:t>2000</w:t>
            </w:r>
          </w:p>
        </w:tc>
        <w:tc>
          <w:tcPr>
            <w:tcW w:type="dxa" w:w="1872"/>
          </w:tcPr>
          <w:p>
            <w:r/>
            <w:r>
              <w:rPr>
                <w:sz w:val="17"/>
              </w:rPr>
              <w:t>HVG count (Seurat flavor)</w:t>
            </w:r>
          </w:p>
        </w:tc>
        <w:tc>
          <w:tcPr>
            <w:tcW w:type="dxa" w:w="1872"/>
          </w:tcPr>
          <w:p>
            <w:r/>
            <w:r>
              <w:rPr>
                <w:sz w:val="17"/>
              </w:rPr>
              <w:t>Raise/lower</w:t>
            </w:r>
          </w:p>
        </w:tc>
        <w:tc>
          <w:tcPr>
            <w:tcW w:type="dxa" w:w="1872"/>
          </w:tcPr>
          <w:p>
            <w:r/>
            <w:r>
              <w:rPr>
                <w:sz w:val="17"/>
              </w:rPr>
              <w:t>Changes PCA basis for Module 1 UMAP only</w:t>
            </w:r>
          </w:p>
        </w:tc>
      </w:tr>
      <w:tr>
        <w:tc>
          <w:tcPr>
            <w:tcW w:type="dxa" w:w="1872"/>
          </w:tcPr>
          <w:p>
            <w:r/>
            <w:r>
              <w:rPr>
                <w:rFonts w:ascii="Menlo" w:hAnsi="Menlo"/>
                <w:color w:val="1A3E6E"/>
                <w:sz w:val="15"/>
              </w:rPr>
              <w:t>module1.preprocess.n_pcs</w:t>
            </w:r>
          </w:p>
        </w:tc>
        <w:tc>
          <w:tcPr>
            <w:tcW w:type="dxa" w:w="1872"/>
          </w:tcPr>
          <w:p>
            <w:r/>
            <w:r>
              <w:rPr>
                <w:rFonts w:ascii="Menlo" w:hAnsi="Menlo"/>
                <w:color w:val="1A3E6E"/>
                <w:sz w:val="15"/>
              </w:rPr>
              <w:t>50</w:t>
            </w:r>
          </w:p>
        </w:tc>
        <w:tc>
          <w:tcPr>
            <w:tcW w:type="dxa" w:w="1872"/>
          </w:tcPr>
          <w:p>
            <w:r/>
            <w:r>
              <w:rPr>
                <w:sz w:val="17"/>
              </w:rPr>
              <w:t>PCA components stored on object</w:t>
            </w:r>
          </w:p>
        </w:tc>
        <w:tc>
          <w:tcPr>
            <w:tcW w:type="dxa" w:w="1872"/>
          </w:tcPr>
          <w:p>
            <w:r/>
            <w:r>
              <w:rPr>
                <w:sz w:val="17"/>
              </w:rPr>
              <w:t>Change</w:t>
            </w:r>
          </w:p>
        </w:tc>
        <w:tc>
          <w:tcPr>
            <w:tcW w:type="dxa" w:w="1872"/>
          </w:tcPr>
          <w:p>
            <w:r/>
            <w:r>
              <w:rPr>
                <w:sz w:val="17"/>
              </w:rPr>
              <w:t>Module 1 neighbors/UMAP geometry; Module 2 still recomputes</w:t>
            </w:r>
          </w:p>
        </w:tc>
      </w:tr>
      <w:tr>
        <w:tc>
          <w:tcPr>
            <w:tcW w:type="dxa" w:w="1872"/>
          </w:tcPr>
          <w:p>
            <w:r/>
            <w:r>
              <w:rPr>
                <w:rFonts w:ascii="Menlo" w:hAnsi="Menlo"/>
                <w:color w:val="1A3E6E"/>
                <w:sz w:val="15"/>
              </w:rPr>
              <w:t>module1.preprocess.n_neighbors</w:t>
            </w:r>
          </w:p>
        </w:tc>
        <w:tc>
          <w:tcPr>
            <w:tcW w:type="dxa" w:w="1872"/>
          </w:tcPr>
          <w:p>
            <w:r/>
            <w:r>
              <w:rPr>
                <w:rFonts w:ascii="Menlo" w:hAnsi="Menlo"/>
                <w:color w:val="1A3E6E"/>
                <w:sz w:val="15"/>
              </w:rPr>
              <w:t>15</w:t>
            </w:r>
          </w:p>
        </w:tc>
        <w:tc>
          <w:tcPr>
            <w:tcW w:type="dxa" w:w="1872"/>
          </w:tcPr>
          <w:p>
            <w:r/>
            <w:r>
              <w:rPr>
                <w:sz w:val="17"/>
              </w:rPr>
              <w:t>kNN for Module 1 UMAP</w:t>
            </w:r>
          </w:p>
        </w:tc>
        <w:tc>
          <w:tcPr>
            <w:tcW w:type="dxa" w:w="1872"/>
          </w:tcPr>
          <w:p>
            <w:r/>
            <w:r>
              <w:rPr>
                <w:sz w:val="17"/>
              </w:rPr>
              <w:t>Change</w:t>
            </w:r>
          </w:p>
        </w:tc>
        <w:tc>
          <w:tcPr>
            <w:tcW w:type="dxa" w:w="1872"/>
          </w:tcPr>
          <w:p>
            <w:r/>
            <w:r>
              <w:rPr>
                <w:sz w:val="17"/>
              </w:rPr>
              <w:t>Local Module 1 UMAP structure</w:t>
            </w:r>
          </w:p>
        </w:tc>
      </w:tr>
      <w:tr>
        <w:tc>
          <w:tcPr>
            <w:tcW w:type="dxa" w:w="1872"/>
          </w:tcPr>
          <w:p>
            <w:r/>
            <w:r>
              <w:rPr>
                <w:rFonts w:ascii="Menlo" w:hAnsi="Menlo"/>
                <w:color w:val="1A3E6E"/>
                <w:sz w:val="15"/>
              </w:rPr>
              <w:t>module1.preprocess.umap_min_dist</w:t>
            </w:r>
          </w:p>
        </w:tc>
        <w:tc>
          <w:tcPr>
            <w:tcW w:type="dxa" w:w="1872"/>
          </w:tcPr>
          <w:p>
            <w:r/>
            <w:r>
              <w:rPr>
                <w:rFonts w:ascii="Menlo" w:hAnsi="Menlo"/>
                <w:color w:val="1A3E6E"/>
                <w:sz w:val="15"/>
              </w:rPr>
              <w:t>0.3</w:t>
            </w:r>
          </w:p>
        </w:tc>
        <w:tc>
          <w:tcPr>
            <w:tcW w:type="dxa" w:w="1872"/>
          </w:tcPr>
          <w:p>
            <w:r/>
            <w:r>
              <w:rPr>
                <w:sz w:val="17"/>
              </w:rPr>
              <w:t>UMAP min_dist</w:t>
            </w:r>
          </w:p>
        </w:tc>
        <w:tc>
          <w:tcPr>
            <w:tcW w:type="dxa" w:w="1872"/>
          </w:tcPr>
          <w:p>
            <w:r/>
            <w:r>
              <w:rPr>
                <w:sz w:val="17"/>
              </w:rPr>
              <w:t>Lower</w:t>
            </w:r>
          </w:p>
        </w:tc>
        <w:tc>
          <w:tcPr>
            <w:tcW w:type="dxa" w:w="1872"/>
          </w:tcPr>
          <w:p>
            <w:r/>
            <w:r>
              <w:rPr>
                <w:sz w:val="17"/>
              </w:rPr>
              <w:t>Tighter Module 1 clusters in the plot</w:t>
            </w:r>
          </w:p>
        </w:tc>
      </w:tr>
      <w:tr>
        <w:tc>
          <w:tcPr>
            <w:tcW w:type="dxa" w:w="1872"/>
          </w:tcPr>
          <w:p>
            <w:r/>
            <w:r>
              <w:rPr>
                <w:rFonts w:ascii="Menlo" w:hAnsi="Menlo"/>
                <w:color w:val="1A3E6E"/>
                <w:sz w:val="15"/>
              </w:rPr>
              <w:t>module1.preprocess.umap_spread</w:t>
            </w:r>
          </w:p>
        </w:tc>
        <w:tc>
          <w:tcPr>
            <w:tcW w:type="dxa" w:w="1872"/>
          </w:tcPr>
          <w:p>
            <w:r/>
            <w:r>
              <w:rPr>
                <w:rFonts w:ascii="Menlo" w:hAnsi="Menlo"/>
                <w:color w:val="1A3E6E"/>
                <w:sz w:val="15"/>
              </w:rPr>
              <w:t>1.0</w:t>
            </w:r>
          </w:p>
        </w:tc>
        <w:tc>
          <w:tcPr>
            <w:tcW w:type="dxa" w:w="1872"/>
          </w:tcPr>
          <w:p>
            <w:r/>
            <w:r>
              <w:rPr>
                <w:sz w:val="17"/>
              </w:rPr>
              <w:t>UMAP spread</w:t>
            </w:r>
          </w:p>
        </w:tc>
        <w:tc>
          <w:tcPr>
            <w:tcW w:type="dxa" w:w="1872"/>
          </w:tcPr>
          <w:p>
            <w:r/>
            <w:r>
              <w:rPr>
                <w:sz w:val="17"/>
              </w:rPr>
              <w:t>Raise</w:t>
            </w:r>
          </w:p>
        </w:tc>
        <w:tc>
          <w:tcPr>
            <w:tcW w:type="dxa" w:w="1872"/>
          </w:tcPr>
          <w:p>
            <w:r/>
            <w:r>
              <w:rPr>
                <w:sz w:val="17"/>
              </w:rPr>
              <w:t>More dispersed Module 1 UMAP</w:t>
            </w:r>
          </w:p>
        </w:tc>
      </w:tr>
      <w:tr>
        <w:tc>
          <w:tcPr>
            <w:tcW w:type="dxa" w:w="1872"/>
          </w:tcPr>
          <w:p>
            <w:r/>
            <w:r>
              <w:rPr>
                <w:rFonts w:ascii="Menlo" w:hAnsi="Menlo"/>
                <w:color w:val="1A3E6E"/>
                <w:sz w:val="15"/>
              </w:rPr>
              <w:t>module1.preprocess.scale_max_value</w:t>
            </w:r>
          </w:p>
        </w:tc>
        <w:tc>
          <w:tcPr>
            <w:tcW w:type="dxa" w:w="1872"/>
          </w:tcPr>
          <w:p>
            <w:r/>
            <w:r>
              <w:rPr>
                <w:rFonts w:ascii="Menlo" w:hAnsi="Menlo"/>
                <w:color w:val="1A3E6E"/>
                <w:sz w:val="15"/>
              </w:rPr>
              <w:t>10</w:t>
            </w:r>
          </w:p>
        </w:tc>
        <w:tc>
          <w:tcPr>
            <w:tcW w:type="dxa" w:w="1872"/>
          </w:tcPr>
          <w:p>
            <w:r/>
            <w:r>
              <w:rPr>
                <w:sz w:val="17"/>
              </w:rPr>
              <w:t>Clip after scaling before PCA</w:t>
            </w:r>
          </w:p>
        </w:tc>
        <w:tc>
          <w:tcPr>
            <w:tcW w:type="dxa" w:w="1872"/>
          </w:tcPr>
          <w:p>
            <w:r/>
            <w:r>
              <w:rPr>
                <w:sz w:val="17"/>
              </w:rPr>
              <w:t>Lower</w:t>
            </w:r>
          </w:p>
        </w:tc>
        <w:tc>
          <w:tcPr>
            <w:tcW w:type="dxa" w:w="1872"/>
          </w:tcPr>
          <w:p>
            <w:r/>
            <w:r>
              <w:rPr>
                <w:sz w:val="17"/>
              </w:rPr>
              <w:t>Compresses outlier gene influence on Module 1 PCA</w:t>
            </w:r>
          </w:p>
        </w:tc>
      </w:tr>
      <w:tr>
        <w:tc>
          <w:tcPr>
            <w:tcW w:type="dxa" w:w="1872"/>
          </w:tcPr>
          <w:p>
            <w:r/>
            <w:r>
              <w:rPr>
                <w:rFonts w:ascii="Menlo" w:hAnsi="Menlo"/>
                <w:color w:val="1A3E6E"/>
                <w:sz w:val="15"/>
              </w:rPr>
              <w:t>module1.max_nuclei</w:t>
            </w:r>
          </w:p>
        </w:tc>
        <w:tc>
          <w:tcPr>
            <w:tcW w:type="dxa" w:w="1872"/>
          </w:tcPr>
          <w:p>
            <w:r/>
            <w:r>
              <w:rPr>
                <w:rFonts w:ascii="Menlo" w:hAnsi="Menlo"/>
                <w:color w:val="1A3E6E"/>
                <w:sz w:val="15"/>
              </w:rPr>
              <w:t>5000</w:t>
            </w:r>
          </w:p>
        </w:tc>
        <w:tc>
          <w:tcPr>
            <w:tcW w:type="dxa" w:w="1872"/>
          </w:tcPr>
          <w:p>
            <w:r/>
            <w:r>
              <w:rPr>
                <w:sz w:val="17"/>
              </w:rPr>
              <w:t>Teaching cap after HVG/PCA</w:t>
            </w:r>
          </w:p>
        </w:tc>
        <w:tc>
          <w:tcPr>
            <w:tcW w:type="dxa" w:w="1872"/>
          </w:tcPr>
          <w:p>
            <w:r/>
            <w:r>
              <w:rPr>
                <w:sz w:val="17"/>
              </w:rPr>
              <w:t>Raise</w:t>
            </w:r>
          </w:p>
        </w:tc>
        <w:tc>
          <w:tcPr>
            <w:tcW w:type="dxa" w:w="1872"/>
          </w:tcPr>
          <w:p>
            <w:r/>
            <w:r>
              <w:rPr>
                <w:sz w:val="17"/>
              </w:rPr>
              <w:t>More nuclei into Module 2; higher RAM</w:t>
            </w:r>
          </w:p>
        </w:tc>
      </w:tr>
      <w:tr>
        <w:tc>
          <w:tcPr>
            <w:tcW w:type="dxa" w:w="1872"/>
          </w:tcPr>
          <w:p>
            <w:r/>
            <w:r>
              <w:rPr>
                <w:rFonts w:ascii="Menlo" w:hAnsi="Menlo"/>
                <w:color w:val="1A3E6E"/>
                <w:sz w:val="15"/>
              </w:rPr>
              <w:t>module1.random_seed</w:t>
            </w:r>
          </w:p>
        </w:tc>
        <w:tc>
          <w:tcPr>
            <w:tcW w:type="dxa" w:w="1872"/>
          </w:tcPr>
          <w:p>
            <w:r/>
            <w:r>
              <w:rPr>
                <w:rFonts w:ascii="Menlo" w:hAnsi="Menlo"/>
                <w:color w:val="1A3E6E"/>
                <w:sz w:val="15"/>
              </w:rPr>
              <w:t>0</w:t>
            </w:r>
          </w:p>
        </w:tc>
        <w:tc>
          <w:tcPr>
            <w:tcW w:type="dxa" w:w="1872"/>
          </w:tcPr>
          <w:p>
            <w:r/>
            <w:r>
              <w:rPr>
                <w:sz w:val="17"/>
              </w:rPr>
              <w:t>RNG for subsample and neighbors/UMAP</w:t>
            </w:r>
          </w:p>
        </w:tc>
        <w:tc>
          <w:tcPr>
            <w:tcW w:type="dxa" w:w="1872"/>
          </w:tcPr>
          <w:p>
            <w:r/>
            <w:r>
              <w:rPr>
                <w:sz w:val="17"/>
              </w:rPr>
              <w:t>Change seed</w:t>
            </w:r>
          </w:p>
        </w:tc>
        <w:tc>
          <w:tcPr>
            <w:tcW w:type="dxa" w:w="1872"/>
          </w:tcPr>
          <w:p>
            <w:r/>
            <w:r>
              <w:rPr>
                <w:sz w:val="17"/>
              </w:rPr>
              <w:t>Different subsample draws and UMAP stochasticity</w:t>
            </w:r>
          </w:p>
        </w:tc>
      </w:tr>
    </w:tbl>
    <w:p>
      <w:pPr>
        <w:pStyle w:val="Heading1"/>
      </w:pPr>
      <w:r>
        <w:rPr>
          <w:color w:val="1F4E79"/>
        </w:rPr>
        <w:t>References</w:t>
      </w:r>
    </w:p>
    <w:p>
      <w:pPr>
        <w:pStyle w:val="ListNumber"/>
        <w:spacing w:after="40"/>
      </w:pPr>
      <w:r>
        <w:rPr>
          <w:sz w:val="21"/>
        </w:rPr>
        <w:t xml:space="preserve">HuBMAP Consortium. The human body at cellular resolution: the NIH Human Biomolecular Atlas Program. </w:t>
      </w:r>
      <w:r>
        <w:rPr>
          <w:i/>
          <w:sz w:val="21"/>
        </w:rPr>
        <w:t>Nature</w:t>
      </w:r>
      <w:r>
        <w:rPr>
          <w:sz w:val="21"/>
        </w:rPr>
        <w:t xml:space="preserve">. 2019;574(7777):187-192. PMID: </w:t>
      </w:r>
      <w:hyperlink r:id="rId13">
        <w:r>
          <w:rPr>
            <w:color w:val="0B4F8A"/>
            <w:u w:val="single"/>
            <w:sz w:val="21"/>
          </w:rPr>
          <w:t xml:space="preserve">31597973</w:t>
        </w:r>
      </w:hyperlink>
      <w:r>
        <w:rPr>
          <w:sz w:val="21"/>
        </w:rPr>
        <w:t>.</w:t>
      </w:r>
    </w:p>
    <w:p>
      <w:pPr>
        <w:pStyle w:val="ListNumber"/>
        <w:spacing w:after="40"/>
      </w:pPr>
      <w:r>
        <w:rPr>
          <w:sz w:val="21"/>
        </w:rPr>
        <w:t xml:space="preserve">Wolf FA, Angerer P, Theis FJ. SCANPY: large-scale single-cell gene expression data analysis. </w:t>
      </w:r>
      <w:r>
        <w:rPr>
          <w:i/>
          <w:sz w:val="21"/>
        </w:rPr>
        <w:t>Genome Biol</w:t>
      </w:r>
      <w:r>
        <w:rPr>
          <w:sz w:val="21"/>
        </w:rPr>
        <w:t xml:space="preserve">. 2018;19(1):15. PMID: </w:t>
      </w:r>
      <w:hyperlink r:id="rId14">
        <w:r>
          <w:rPr>
            <w:color w:val="0B4F8A"/>
            <w:u w:val="single"/>
            <w:sz w:val="21"/>
          </w:rPr>
          <w:t xml:space="preserve">29409532</w:t>
        </w:r>
      </w:hyperlink>
      <w:r>
        <w:rPr>
          <w:sz w:val="21"/>
        </w:rPr>
        <w:t>.</w:t>
      </w:r>
    </w:p>
    <w:p>
      <w:pPr>
        <w:pStyle w:val="ListNumber"/>
        <w:spacing w:after="40"/>
      </w:pPr>
      <w:r>
        <w:rPr>
          <w:sz w:val="21"/>
        </w:rPr>
        <w:t xml:space="preserve">McInnes L, Healy J, Melville J. UMAP: Uniform Manifold Approximation and Projection for Dimension Reduction. </w:t>
      </w:r>
      <w:r>
        <w:rPr>
          <w:i/>
          <w:sz w:val="21"/>
        </w:rPr>
        <w:t>arXiv</w:t>
      </w:r>
      <w:r>
        <w:rPr>
          <w:sz w:val="21"/>
        </w:rPr>
        <w:t xml:space="preserve">. 2018. arXiv: </w:t>
      </w:r>
      <w:hyperlink r:id="rId15">
        <w:r>
          <w:rPr>
            <w:color w:val="0B4F8A"/>
            <w:u w:val="single"/>
            <w:sz w:val="21"/>
          </w:rPr>
          <w:t xml:space="preserve">1802.03426</w:t>
        </w:r>
      </w:hyperlink>
      <w:r>
        <w:rPr>
          <w:sz w:val="21"/>
        </w:rPr>
        <w:t>.</w:t>
      </w:r>
    </w:p>
    <w:p>
      <w:pPr>
        <w:pStyle w:val="ListNumber"/>
        <w:spacing w:after="40"/>
      </w:pPr>
      <w:r>
        <w:rPr>
          <w:sz w:val="21"/>
        </w:rPr>
        <w:t xml:space="preserve">HuBMAP primary dataset DOIs for this teaching set: </w:t>
      </w:r>
      <w:hyperlink r:id="rId16">
        <w:r>
          <w:rPr>
            <w:color w:val="0B4F8A"/>
            <w:u w:val="single"/>
            <w:sz w:val="21"/>
          </w:rPr>
          <w:t xml:space="preserve">10.35079/HBM347.VDHS.379</w:t>
        </w:r>
      </w:hyperlink>
      <w:r>
        <w:rPr>
          <w:sz w:val="21"/>
        </w:rPr>
        <w:t xml:space="preserve">, </w:t>
      </w:r>
      <w:hyperlink r:id="rId17">
        <w:r>
          <w:rPr>
            <w:color w:val="0B4F8A"/>
            <w:u w:val="single"/>
            <w:sz w:val="21"/>
          </w:rPr>
          <w:t xml:space="preserve">10.35079/HBM473.NKMR.872</w:t>
        </w:r>
      </w:hyperlink>
      <w:r>
        <w:rPr>
          <w:sz w:val="21"/>
        </w:rPr>
        <w:t xml:space="preserve">, </w:t>
      </w:r>
      <w:hyperlink r:id="rId18">
        <w:r>
          <w:rPr>
            <w:color w:val="0B4F8A"/>
            <w:u w:val="single"/>
            <w:sz w:val="21"/>
          </w:rPr>
          <w:t xml:space="preserve">10.35079/HBM484.RGWP.797</w:t>
        </w:r>
      </w:hyperlink>
      <w:r>
        <w:rPr>
          <w:sz w:val="21"/>
        </w:rPr>
        <w:t xml:space="preserve">, </w:t>
      </w:r>
      <w:hyperlink r:id="rId19">
        <w:r>
          <w:rPr>
            <w:color w:val="0B4F8A"/>
            <w:u w:val="single"/>
            <w:sz w:val="21"/>
          </w:rPr>
          <w:t xml:space="preserve">10.35079/HBM379.QCJT.435</w:t>
        </w:r>
      </w:hyperlink>
      <w:r>
        <w:rPr>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pubmed.ncbi.nlm.nih.gov/31597973/" TargetMode="External"/><Relationship Id="rId14" Type="http://schemas.openxmlformats.org/officeDocument/2006/relationships/hyperlink" Target="https://pubmed.ncbi.nlm.nih.gov/29409532/" TargetMode="External"/><Relationship Id="rId15" Type="http://schemas.openxmlformats.org/officeDocument/2006/relationships/hyperlink" Target="https://arxiv.org/abs/1802.03426" TargetMode="External"/><Relationship Id="rId16" Type="http://schemas.openxmlformats.org/officeDocument/2006/relationships/hyperlink" Target="https://doi.org/10.35079/HBM347.VDHS.379" TargetMode="External"/><Relationship Id="rId17" Type="http://schemas.openxmlformats.org/officeDocument/2006/relationships/hyperlink" Target="https://doi.org/10.35079/HBM473.NKMR.872" TargetMode="External"/><Relationship Id="rId18" Type="http://schemas.openxmlformats.org/officeDocument/2006/relationships/hyperlink" Target="https://doi.org/10.35079/HBM484.RGWP.797" TargetMode="External"/><Relationship Id="rId19" Type="http://schemas.openxmlformats.org/officeDocument/2006/relationships/hyperlink" Target="https://doi.org/10.35079/HBM379.QCJT.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