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b/>
          <w:color w:val="1F4E79"/>
          <w:sz w:val="38"/>
        </w:rPr>
        <w:t>Module 2: Donor integration, cell-class composition, and pathway analysis</w:t>
      </w:r>
    </w:p>
    <w:p>
      <w:pPr>
        <w:spacing w:after="200"/>
      </w:pPr>
      <w:r>
        <w:rPr>
          <w:color w:val="444444"/>
          <w:sz w:val="19"/>
        </w:rPr>
        <w:t>Instructional time: 45 min | Bloom: Apply, Analyze | Notebook: notebooks/02_integration_de_pathways.ipynb</w:t>
      </w:r>
    </w:p>
    <w:p>
      <w:pPr>
        <w:pBdr>
          <w:bottom w:val="single" w:sz="12" w:color="1F4E79"/>
        </w:pBdr>
      </w:pPr>
    </w:p>
    <w:p>
      <w:pPr>
        <w:pStyle w:val="Heading1"/>
      </w:pPr>
      <w:r>
        <w:rPr>
          <w:color w:val="1F4E79"/>
        </w:rPr>
        <w:t>1. Overview</w:t>
      </w:r>
    </w:p>
    <w:p>
      <w:pPr>
        <w:spacing w:after="140"/>
      </w:pPr>
      <w:r>
        <w:rPr>
          <w:sz w:val="21"/>
        </w:rPr>
        <w:t xml:space="preserve">Module 2 stays inside HuBMAP. It concatenates the four Module 1 QC objects, asks whether Harmony improves donor mixing without erasing biology, maps coarse </w:t>
      </w:r>
      <w:r>
        <w:rPr>
          <w:rFonts w:ascii="Menlo" w:hAnsi="Menlo"/>
          <w:color w:val="1A3E6E"/>
          <w:sz w:val="19"/>
        </w:rPr>
        <w:t>cell_class</w:t>
      </w:r>
      <w:r>
        <w:rPr>
          <w:sz w:val="21"/>
        </w:rPr>
        <w:t xml:space="preserve"> labels, separates composition change from expression change, and runs Wilcoxon marker detection plus local gene-set enrichment (Hallmark / Reactome / GO Biological Process).</w:t>
      </w:r>
    </w:p>
    <w:p>
      <w:pPr>
        <w:spacing w:after="140"/>
      </w:pPr>
      <w:r>
        <w:rPr>
          <w:b/>
          <w:sz w:val="21"/>
        </w:rPr>
        <w:t>Key components.</w:t>
      </w:r>
      <w:r>
        <w:rPr>
          <w:sz w:val="21"/>
        </w:rPr>
        <w:t xml:space="preserve"> Donor concatenation and Harmony; mixing metrics; composition tables and dual pseudobulk summaries; marker DE; ORA / prerank enrichment from shipped GMT files under </w:t>
      </w:r>
      <w:r>
        <w:rPr>
          <w:rFonts w:ascii="Menlo" w:hAnsi="Menlo"/>
          <w:color w:val="1A3E6E"/>
          <w:sz w:val="19"/>
        </w:rPr>
        <w:t>data/genesets/</w:t>
      </w:r>
      <w:r>
        <w:rPr>
          <w:sz w:val="21"/>
        </w:rPr>
        <w:t>.</w:t>
      </w:r>
    </w:p>
    <w:p>
      <w:pPr>
        <w:spacing w:after="140"/>
      </w:pPr>
      <w:r>
        <w:rPr>
          <w:b/>
          <w:sz w:val="21"/>
        </w:rPr>
        <w:t>Learning objectives.</w:t>
      </w:r>
    </w:p>
    <w:p>
      <w:pPr>
        <w:pStyle w:val="ListBullet"/>
        <w:spacing w:after="40"/>
      </w:pPr>
      <w:r>
        <w:rPr>
          <w:sz w:val="21"/>
        </w:rPr>
        <w:t>Integrate multi-donor snRNA-seq and quantify whether batch correction increases foreign-donor neighborhood mixing.</w:t>
      </w:r>
    </w:p>
    <w:p>
      <w:pPr>
        <w:pStyle w:val="ListBullet"/>
        <w:spacing w:after="40"/>
      </w:pPr>
      <w:r>
        <w:rPr>
          <w:sz w:val="21"/>
        </w:rPr>
        <w:t>Distinguish "is this population larger?" (composition) from "are these cells different?" (markers / pathways).</w:t>
      </w:r>
    </w:p>
    <w:p>
      <w:pPr>
        <w:pStyle w:val="ListBullet"/>
        <w:spacing w:after="40"/>
      </w:pPr>
      <w:r>
        <w:rPr>
          <w:sz w:val="21"/>
        </w:rPr>
        <w:t>Run and read local enrichment without treating top terms as automatically true biology.</w:t>
      </w:r>
    </w:p>
    <w:p>
      <w:pPr>
        <w:spacing w:after="140"/>
      </w:pPr>
      <w:r>
        <w:rPr>
          <w:sz w:val="21"/>
        </w:rPr>
        <w:t xml:space="preserve">Measured peak RSS on the DE leg sets the course RAM floor: </w:t>
      </w:r>
      <w:r>
        <w:rPr>
          <w:b/>
          <w:sz w:val="21"/>
        </w:rPr>
        <w:t>16 GB recommended, 8 GB minimum</w:t>
      </w:r>
      <w:r>
        <w:rPr>
          <w:sz w:val="21"/>
        </w:rPr>
        <w:t xml:space="preserve"> (</w:t>
      </w:r>
      <w:r>
        <w:rPr>
          <w:rFonts w:ascii="Menlo" w:hAnsi="Menlo"/>
          <w:color w:val="1A3E6E"/>
          <w:sz w:val="19"/>
        </w:rPr>
        <w:t>outputs/reports/module2_de_run_params.json</w:t>
      </w:r>
      <w:r>
        <w:rPr>
          <w:sz w:val="21"/>
        </w:rPr>
        <w:t>).</w:t>
      </w:r>
    </w:p>
    <w:p>
      <w:pPr>
        <w:pStyle w:val="Heading1"/>
      </w:pPr>
      <w:r>
        <w:rPr>
          <w:color w:val="1F4E79"/>
        </w:rPr>
        <w:t>2. Before you begin</w:t>
      </w:r>
    </w:p>
    <w:p>
      <w:pPr>
        <w:spacing w:after="140"/>
      </w:pPr>
      <w:r>
        <w:rPr>
          <w:b/>
          <w:sz w:val="21"/>
        </w:rPr>
        <w:t>Prerequisites.</w:t>
      </w:r>
      <w:r>
        <w:rPr>
          <w:sz w:val="21"/>
        </w:rPr>
        <w:t xml:space="preserve"> Module 1 (QC-preprocessed teaching blocks for Donor_1, Donor_2, Donor_3, Donor_4)</w:t>
      </w:r>
    </w:p>
    <w:p>
      <w:pPr>
        <w:spacing w:after="140"/>
      </w:pPr>
      <w:r>
        <w:rPr>
          <w:b/>
          <w:sz w:val="21"/>
        </w:rPr>
        <w:t>Time.</w:t>
      </w:r>
      <w:r>
        <w:rPr>
          <w:sz w:val="21"/>
        </w:rPr>
        <w:t xml:space="preserve"> Instructional: 45 min. Compute (measured): integration ~32 s, DE/pathways ~24 s; peak RSS ~7.6 GB on DE (16 GB recommended; 8 GB minimum).</w:t>
      </w:r>
    </w:p>
    <w:p>
      <w:pPr>
        <w:spacing w:after="140"/>
      </w:pPr>
      <w:r>
        <w:rPr>
          <w:b/>
          <w:sz w:val="21"/>
        </w:rPr>
        <w:t>Data required.</w:t>
      </w:r>
    </w:p>
    <w:p>
      <w:pPr>
        <w:spacing w:after="140"/>
      </w:pPr>
      <w:r>
        <w:rPr>
          <w:b/>
          <w:sz w:val="21"/>
        </w:rPr>
        <w:t>Run order.</w:t>
      </w:r>
      <w:r>
        <w:rPr>
          <w:sz w:val="21"/>
        </w:rPr>
        <w:t xml:space="preserve"> Run the analysis sections in order; the notebook carries state between cells.</w:t>
      </w:r>
    </w:p>
    <w:p>
      <w:pPr>
        <w:pStyle w:val="Heading4"/>
      </w:pPr>
      <w:r>
        <w:rPr>
          <w:color w:val="1F4E79"/>
        </w:rPr>
        <w:t>Biological question</w:t>
      </w:r>
    </w:p>
    <w:p>
      <w:pPr>
        <w:spacing w:after="140"/>
      </w:pPr>
      <w:r>
        <w:rPr>
          <w:sz w:val="21"/>
        </w:rPr>
        <w:t>After QC, do the four HuBMAP lung donors form a usable joint embedding, and what cell-state and pathway differences appear across coarse lineages once donor identity is reduced?</w:t>
      </w:r>
    </w:p>
    <w:p>
      <w:pPr>
        <w:pStyle w:val="Heading4"/>
      </w:pPr>
      <w:r>
        <w:rPr>
          <w:color w:val="1F4E79"/>
        </w:rPr>
        <w:t>Data used here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CE6F1"/>
          </w:tcPr>
          <w:p>
            <w:r/>
            <w:r>
              <w:rPr>
                <w:b/>
                <w:sz w:val="17"/>
              </w:rPr>
              <w:t>Input</w:t>
            </w:r>
          </w:p>
        </w:tc>
        <w:tc>
          <w:tcPr>
            <w:tcW w:type="dxa" w:w="3120"/>
            <w:shd w:val="clear" w:fill="DCE6F1"/>
          </w:tcPr>
          <w:p>
            <w:r/>
            <w:r>
              <w:rPr>
                <w:b/>
                <w:sz w:val="17"/>
              </w:rPr>
              <w:t>Path pattern</w:t>
            </w:r>
          </w:p>
        </w:tc>
        <w:tc>
          <w:tcPr>
            <w:tcW w:type="dxa" w:w="3120"/>
            <w:shd w:val="clear" w:fill="DCE6F1"/>
          </w:tcPr>
          <w:p>
            <w:r/>
            <w:r>
              <w:rPr>
                <w:b/>
                <w:sz w:val="17"/>
              </w:rPr>
              <w:t>Role</w:t>
            </w:r>
          </w:p>
        </w:tc>
      </w:tr>
      <w:tr>
        <w:tc>
          <w:tcPr>
            <w:tcW w:type="dxa" w:w="3120"/>
          </w:tcPr>
          <w:p>
            <w:r/>
            <w:r>
              <w:rPr>
                <w:sz w:val="17"/>
              </w:rPr>
              <w:t>Module 1 QC objects</w:t>
            </w:r>
          </w:p>
        </w:tc>
        <w:tc>
          <w:tcPr>
            <w:tcW w:type="dxa" w:w="3120"/>
          </w:tcPr>
          <w:p>
            <w:r/>
            <w:r>
              <w:rPr>
                <w:rFonts w:ascii="Menlo" w:hAnsi="Menlo"/>
                <w:color w:val="1A3E6E"/>
                <w:sz w:val="15"/>
              </w:rPr>
              <w:t>data/processed/hubmap/module1_*_qc_preprocessed.h5ad</w:t>
            </w:r>
          </w:p>
        </w:tc>
        <w:tc>
          <w:tcPr>
            <w:tcW w:type="dxa" w:w="3120"/>
          </w:tcPr>
          <w:p>
            <w:r/>
            <w:r>
              <w:rPr>
                <w:sz w:val="17"/>
              </w:rPr>
              <w:t>Per-donor nuclei</w:t>
            </w:r>
          </w:p>
        </w:tc>
      </w:tr>
      <w:tr>
        <w:tc>
          <w:tcPr>
            <w:tcW w:type="dxa" w:w="3120"/>
          </w:tcPr>
          <w:p>
            <w:r/>
            <w:r>
              <w:rPr>
                <w:sz w:val="17"/>
              </w:rPr>
              <w:t>Azimuth labels</w:t>
            </w:r>
          </w:p>
        </w:tc>
        <w:tc>
          <w:tcPr>
            <w:tcW w:type="dxa" w:w="3120"/>
          </w:tcPr>
          <w:p>
            <w:r/>
            <w:r>
              <w:rPr>
                <w:sz w:val="17"/>
              </w:rPr>
              <w:t>cached TSV and/or remote range-read</w:t>
            </w:r>
          </w:p>
        </w:tc>
        <w:tc>
          <w:tcPr>
            <w:tcW w:type="dxa" w:w="3120"/>
          </w:tcPr>
          <w:p>
            <w:r/>
            <w:r>
              <w:rPr>
                <w:rFonts w:ascii="Menlo" w:hAnsi="Menlo"/>
                <w:color w:val="1A3E6E"/>
                <w:sz w:val="15"/>
              </w:rPr>
              <w:t>cell_class</w:t>
            </w:r>
            <w:r>
              <w:rPr>
                <w:sz w:val="17"/>
              </w:rPr>
              <w:t xml:space="preserve"> mapping</w:t>
            </w:r>
          </w:p>
        </w:tc>
      </w:tr>
      <w:tr>
        <w:tc>
          <w:tcPr>
            <w:tcW w:type="dxa" w:w="3120"/>
          </w:tcPr>
          <w:p>
            <w:r/>
            <w:r>
              <w:rPr>
                <w:sz w:val="17"/>
              </w:rPr>
              <w:t>Gene sets</w:t>
            </w:r>
          </w:p>
        </w:tc>
        <w:tc>
          <w:tcPr>
            <w:tcW w:type="dxa" w:w="3120"/>
          </w:tcPr>
          <w:p>
            <w:r/>
            <w:r>
              <w:rPr>
                <w:rFonts w:ascii="Menlo" w:hAnsi="Menlo"/>
                <w:color w:val="1A3E6E"/>
                <w:sz w:val="15"/>
              </w:rPr>
              <w:t>data/genesets/*.gmt</w:t>
            </w:r>
            <w:r>
              <w:rPr>
                <w:sz w:val="17"/>
              </w:rPr>
              <w:t xml:space="preserve"> (~2.17 MB shipped)</w:t>
            </w:r>
          </w:p>
        </w:tc>
        <w:tc>
          <w:tcPr>
            <w:tcW w:type="dxa" w:w="3120"/>
          </w:tcPr>
          <w:p>
            <w:r/>
            <w:r>
              <w:rPr>
                <w:sz w:val="17"/>
              </w:rPr>
              <w:t>Enrichment libraries</w:t>
            </w:r>
          </w:p>
        </w:tc>
      </w:tr>
    </w:tbl>
    <w:p>
      <w:pPr>
        <w:spacing w:after="140"/>
      </w:pPr>
      <w:r>
        <w:rPr>
          <w:sz w:val="21"/>
        </w:rPr>
        <w:t>GTEx is intentionally absent until Module 4. Module 2 does not download new primary matrices beyond what Module 1 verified.</w:t>
      </w:r>
    </w:p>
    <w:p>
      <w:pPr>
        <w:spacing w:after="140"/>
      </w:pPr>
      <w:r>
        <w:rPr>
          <w:sz w:val="21"/>
        </w:rPr>
        <w:t>Cohort and ages are unchanged from Module 1 (Donor_1 to Donor_4). The age split remains n=2 vs n=2 illustration only.</w:t>
      </w:r>
    </w:p>
    <w:p>
      <w:pPr>
        <w:pStyle w:val="Heading1"/>
      </w:pPr>
      <w:r>
        <w:rPr>
          <w:color w:val="1F4E79"/>
        </w:rPr>
        <w:t>3. Methods</w:t>
      </w:r>
    </w:p>
    <w:p>
      <w:pPr>
        <w:spacing w:after="140"/>
      </w:pPr>
      <w:r>
        <w:rPr>
          <w:sz w:val="21"/>
        </w:rPr>
        <w:t xml:space="preserve">Parameters below are live values under </w:t>
      </w:r>
      <w:r>
        <w:rPr>
          <w:rFonts w:ascii="Menlo" w:hAnsi="Menlo"/>
          <w:color w:val="1A3E6E"/>
          <w:sz w:val="19"/>
        </w:rPr>
        <w:t>module2</w:t>
      </w:r>
      <w:r>
        <w:rPr>
          <w:sz w:val="21"/>
        </w:rPr>
        <w:t xml:space="preserve"> in </w:t>
      </w:r>
      <w:r>
        <w:rPr>
          <w:rFonts w:ascii="Menlo" w:hAnsi="Menlo"/>
          <w:color w:val="1A3E6E"/>
          <w:sz w:val="19"/>
        </w:rPr>
        <w:t>config/paths.yaml</w:t>
      </w:r>
      <w:r>
        <w:rPr>
          <w:sz w:val="21"/>
        </w:rPr>
        <w:t xml:space="preserve">. Integration scripts are </w:t>
      </w:r>
      <w:r>
        <w:rPr>
          <w:rFonts w:ascii="Menlo" w:hAnsi="Menlo"/>
          <w:color w:val="1A3E6E"/>
          <w:sz w:val="19"/>
        </w:rPr>
        <w:t>scripts/nb03_integration/</w:t>
      </w:r>
      <w:r>
        <w:rPr>
          <w:sz w:val="21"/>
        </w:rPr>
        <w:t xml:space="preserve">; DE and enrichment are </w:t>
      </w:r>
      <w:r>
        <w:rPr>
          <w:rFonts w:ascii="Menlo" w:hAnsi="Menlo"/>
          <w:color w:val="1A3E6E"/>
          <w:sz w:val="19"/>
        </w:rPr>
        <w:t>scripts/nb04_de/</w:t>
      </w:r>
      <w:r>
        <w:rPr>
          <w:sz w:val="21"/>
        </w:rPr>
        <w:t>. Module 2 stays inside HuBMAP; GTEx is off (</w:t>
      </w:r>
      <w:r>
        <w:rPr>
          <w:rFonts w:ascii="Menlo" w:hAnsi="Menlo"/>
          <w:color w:val="1A3E6E"/>
          <w:sz w:val="19"/>
        </w:rPr>
        <w:t>module2.gtex_context: false</w:t>
      </w:r>
      <w:r>
        <w:rPr>
          <w:sz w:val="21"/>
        </w:rPr>
        <w:t>).</w:t>
      </w:r>
    </w:p>
    <w:p>
      <w:pPr>
        <w:spacing w:after="140"/>
      </w:pPr>
      <w:r>
        <w:rPr>
          <w:sz w:val="21"/>
        </w:rPr>
        <w:t xml:space="preserve">Each Methods step below corresponds to a numbered section of </w:t>
      </w:r>
      <w:r>
        <w:rPr>
          <w:rFonts w:ascii="Menlo" w:hAnsi="Menlo"/>
          <w:color w:val="1A3E6E"/>
          <w:sz w:val="19"/>
        </w:rPr>
        <w:t>notebooks/02_integration_de_pathways.ipynb</w:t>
      </w:r>
      <w:r>
        <w:rPr>
          <w:sz w:val="21"/>
        </w:rPr>
        <w:t>, so the document and the notebook can be read side by side:</w:t>
      </w:r>
    </w:p>
    <w:tbl>
      <w:tblPr>
        <w:tblStyle w:val="TableGrid"/>
        <w:tblW w:type="auto" w:w="0"/>
        <w:jc w:val="center"/>
        <w:tblLook w:firstColumn="1" w:firstRow="1" w:lastColumn="0" w:lastRow="0" w:noHBand="0" w:noVBand="1" w:val="04A0"/>
      </w:tblPr>
      <w:tblGrid>
        <w:gridCol w:w="4680"/>
        <w:gridCol w:w="4680"/>
      </w:tblGrid>
      <w:tr>
        <w:tc>
          <w:tcPr>
            <w:tcW w:type="dxa" w:w="4680"/>
            <w:shd w:val="clear" w:fill="DCE6F1"/>
          </w:tcPr>
          <w:p>
            <w:r/>
            <w:r>
              <w:rPr>
                <w:b/>
                <w:sz w:val="17"/>
              </w:rPr>
              <w:t>Methods step</w:t>
            </w:r>
          </w:p>
        </w:tc>
        <w:tc>
          <w:tcPr>
            <w:tcW w:type="dxa" w:w="4680"/>
            <w:shd w:val="clear" w:fill="DCE6F1"/>
          </w:tcPr>
          <w:p>
            <w:r/>
            <w:r>
              <w:rPr>
                <w:b/>
                <w:sz w:val="17"/>
              </w:rPr>
              <w:t>Notebook section</w:t>
            </w:r>
          </w:p>
        </w:tc>
      </w:tr>
      <w:tr>
        <w:tc>
          <w:tcPr>
            <w:tcW w:type="dxa" w:w="4680"/>
          </w:tcPr>
          <w:p>
            <w:r/>
            <w:r>
              <w:rPr>
                <w:sz w:val="17"/>
              </w:rPr>
              <w:t>1. Load and concatenate Module 1 QC objects</w:t>
            </w:r>
          </w:p>
        </w:tc>
        <w:tc>
          <w:tcPr>
            <w:tcW w:type="dxa" w:w="4680"/>
          </w:tcPr>
          <w:p>
            <w:r/>
            <w:r>
              <w:rPr>
                <w:sz w:val="17"/>
              </w:rPr>
              <w:t>1. Load, concatenate, and compute the joint embedding</w:t>
            </w:r>
          </w:p>
        </w:tc>
      </w:tr>
      <w:tr>
        <w:tc>
          <w:tcPr>
            <w:tcW w:type="dxa" w:w="4680"/>
          </w:tcPr>
          <w:p>
            <w:r/>
            <w:r>
              <w:rPr>
                <w:sz w:val="17"/>
              </w:rPr>
              <w:t>2. Joint embedding (recomputed HVG / PCA)</w:t>
            </w:r>
          </w:p>
        </w:tc>
        <w:tc>
          <w:tcPr>
            <w:tcW w:type="dxa" w:w="4680"/>
          </w:tcPr>
          <w:p>
            <w:r/>
            <w:r>
              <w:rPr>
                <w:sz w:val="17"/>
              </w:rPr>
              <w:t>1. Load, concatenate, and compute the joint embedding</w:t>
            </w:r>
          </w:p>
        </w:tc>
      </w:tr>
      <w:tr>
        <w:tc>
          <w:tcPr>
            <w:tcW w:type="dxa" w:w="4680"/>
          </w:tcPr>
          <w:p>
            <w:r/>
            <w:r>
              <w:rPr>
                <w:sz w:val="17"/>
              </w:rPr>
              <w:t>3. Harmony batch correction</w:t>
            </w:r>
          </w:p>
        </w:tc>
        <w:tc>
          <w:tcPr>
            <w:tcW w:type="dxa" w:w="4680"/>
          </w:tcPr>
          <w:p>
            <w:r/>
            <w:r>
              <w:rPr>
                <w:sz w:val="17"/>
              </w:rPr>
              <w:t>2. Harmony batch correction and mixing diagnostics</w:t>
            </w:r>
          </w:p>
        </w:tc>
      </w:tr>
      <w:tr>
        <w:tc>
          <w:tcPr>
            <w:tcW w:type="dxa" w:w="4680"/>
          </w:tcPr>
          <w:p>
            <w:r/>
            <w:r>
              <w:rPr>
                <w:sz w:val="17"/>
              </w:rPr>
              <w:t>4. Mixing and silhouette diagnostics</w:t>
            </w:r>
          </w:p>
        </w:tc>
        <w:tc>
          <w:tcPr>
            <w:tcW w:type="dxa" w:w="4680"/>
          </w:tcPr>
          <w:p>
            <w:r/>
            <w:r>
              <w:rPr>
                <w:sz w:val="17"/>
              </w:rPr>
              <w:t>2. Harmony batch correction and mixing diagnostics</w:t>
            </w:r>
          </w:p>
        </w:tc>
      </w:tr>
      <w:tr>
        <w:tc>
          <w:tcPr>
            <w:tcW w:type="dxa" w:w="4680"/>
          </w:tcPr>
          <w:p>
            <w:r/>
            <w:r>
              <w:rPr>
                <w:sz w:val="17"/>
              </w:rPr>
              <w:t xml:space="preserve">5. Coarse </w:t>
            </w:r>
            <w:r>
              <w:rPr>
                <w:rFonts w:ascii="Menlo" w:hAnsi="Menlo"/>
                <w:color w:val="1A3E6E"/>
                <w:sz w:val="15"/>
              </w:rPr>
              <w:t>cell_class</w:t>
            </w:r>
            <w:r>
              <w:rPr>
                <w:sz w:val="17"/>
              </w:rPr>
              <w:t xml:space="preserve"> mapping, composition, and pseudobulk</w:t>
            </w:r>
          </w:p>
        </w:tc>
        <w:tc>
          <w:tcPr>
            <w:tcW w:type="dxa" w:w="4680"/>
          </w:tcPr>
          <w:p>
            <w:r/>
            <w:r>
              <w:rPr>
                <w:sz w:val="17"/>
              </w:rPr>
              <w:t xml:space="preserve">3. Coarse </w:t>
            </w:r>
            <w:r>
              <w:rPr>
                <w:rFonts w:ascii="Menlo" w:hAnsi="Menlo"/>
                <w:color w:val="1A3E6E"/>
                <w:sz w:val="15"/>
              </w:rPr>
              <w:t>cell_class</w:t>
            </w:r>
            <w:r>
              <w:rPr>
                <w:sz w:val="17"/>
              </w:rPr>
              <w:t xml:space="preserve"> mapping; 4. Composition, markers, and weighted pseudobulk</w:t>
            </w:r>
          </w:p>
        </w:tc>
      </w:tr>
      <w:tr>
        <w:tc>
          <w:tcPr>
            <w:tcW w:type="dxa" w:w="4680"/>
          </w:tcPr>
          <w:p>
            <w:r/>
            <w:r>
              <w:rPr>
                <w:sz w:val="17"/>
              </w:rPr>
              <w:t>6. Intron exclusion on the DE path, Wilcoxon markers</w:t>
            </w:r>
          </w:p>
        </w:tc>
        <w:tc>
          <w:tcPr>
            <w:tcW w:type="dxa" w:w="4680"/>
          </w:tcPr>
          <w:p>
            <w:r/>
            <w:r>
              <w:rPr>
                <w:sz w:val="17"/>
              </w:rPr>
              <w:t>5. Differential expression and pathway enrichment</w:t>
            </w:r>
          </w:p>
        </w:tc>
      </w:tr>
      <w:tr>
        <w:tc>
          <w:tcPr>
            <w:tcW w:type="dxa" w:w="4680"/>
          </w:tcPr>
          <w:p>
            <w:r/>
            <w:r>
              <w:rPr>
                <w:sz w:val="17"/>
              </w:rPr>
              <w:t>7. Local GMT enrichment (ORA and prerank)</w:t>
            </w:r>
          </w:p>
        </w:tc>
        <w:tc>
          <w:tcPr>
            <w:tcW w:type="dxa" w:w="4680"/>
          </w:tcPr>
          <w:p>
            <w:r/>
            <w:r>
              <w:rPr>
                <w:sz w:val="17"/>
              </w:rPr>
              <w:t>5. Differential expression and pathway enrichment</w:t>
            </w:r>
          </w:p>
        </w:tc>
      </w:tr>
    </w:tbl>
    <w:p>
      <w:pPr>
        <w:spacing w:after="140"/>
      </w:pPr>
      <w:r>
        <w:rPr>
          <w:sz w:val="21"/>
        </w:rPr>
        <w:t>Where two steps share a notebook section, one call performs both. Notebook section 0 is environment setup, covered in Module 0. Notebook section 6, composition versus expression, is reported under Results below rather than as a Methods step.</w:t>
      </w:r>
    </w:p>
    <w:p>
      <w:pPr>
        <w:pStyle w:val="Heading4"/>
      </w:pPr>
      <w:r>
        <w:rPr>
          <w:color w:val="1F4E79"/>
        </w:rPr>
        <w:t>1. Load and concatenate Module 1 QC objects</w:t>
      </w:r>
    </w:p>
    <w:p>
      <w:pPr>
        <w:spacing w:after="140"/>
      </w:pPr>
      <w:r>
        <w:rPr>
          <w:b/>
          <w:sz w:val="21"/>
        </w:rPr>
        <w:t>Script.</w:t>
      </w:r>
      <w:r>
        <w:rPr>
          <w:sz w:val="21"/>
        </w:rPr>
        <w:t xml:space="preserve"> </w:t>
      </w:r>
      <w:r>
        <w:rPr>
          <w:rFonts w:ascii="Menlo" w:hAnsi="Menlo"/>
          <w:color w:val="1A3E6E"/>
          <w:sz w:val="19"/>
        </w:rPr>
        <w:t>scripts/nb03_integration/concatenate.py</w:t>
      </w:r>
      <w:r>
        <w:rPr>
          <w:sz w:val="21"/>
        </w:rPr>
        <w:t xml:space="preserve"> (</w:t>
      </w:r>
      <w:r>
        <w:rPr>
          <w:rFonts w:ascii="Menlo" w:hAnsi="Menlo"/>
          <w:color w:val="1A3E6E"/>
          <w:sz w:val="19"/>
        </w:rPr>
        <w:t>load_module2_inputs</w:t>
      </w:r>
      <w:r>
        <w:rPr>
          <w:sz w:val="21"/>
        </w:rPr>
        <w:t xml:space="preserve">, </w:t>
      </w:r>
      <w:r>
        <w:rPr>
          <w:rFonts w:ascii="Menlo" w:hAnsi="Menlo"/>
          <w:color w:val="1A3E6E"/>
          <w:sz w:val="19"/>
        </w:rPr>
        <w:t>concatenate_donors</w:t>
      </w:r>
      <w:r>
        <w:rPr>
          <w:sz w:val="21"/>
        </w:rPr>
        <w:t xml:space="preserve">); path resolve via </w:t>
      </w:r>
      <w:r>
        <w:rPr>
          <w:rFonts w:ascii="Menlo" w:hAnsi="Menlo"/>
          <w:color w:val="1A3E6E"/>
          <w:sz w:val="19"/>
        </w:rPr>
        <w:t>scripts/nb02_qc/export.py</w:t>
      </w:r>
      <w:r>
        <w:rPr>
          <w:sz w:val="21"/>
        </w:rPr>
        <w:t xml:space="preserve"> (</w:t>
      </w:r>
      <w:r>
        <w:rPr>
          <w:rFonts w:ascii="Menlo" w:hAnsi="Menlo"/>
          <w:color w:val="1A3E6E"/>
          <w:sz w:val="19"/>
        </w:rPr>
        <w:t>resolve_qc_h5ad</w:t>
      </w:r>
      <w:r>
        <w:rPr>
          <w:sz w:val="21"/>
        </w:rPr>
        <w:t>).</w:t>
      </w:r>
    </w:p>
    <w:p>
      <w:pPr>
        <w:spacing w:after="140"/>
      </w:pPr>
      <w:r>
        <w:rPr>
          <w:b/>
          <w:sz w:val="21"/>
        </w:rPr>
        <w:t>What.</w:t>
      </w:r>
      <w:r>
        <w:rPr>
          <w:sz w:val="21"/>
        </w:rPr>
        <w:t xml:space="preserve"> Load the four Module 1 QC-preprocessed AnnData objects listed in </w:t>
      </w:r>
      <w:r>
        <w:rPr>
          <w:rFonts w:ascii="Menlo" w:hAnsi="Menlo"/>
          <w:color w:val="1A3E6E"/>
          <w:sz w:val="19"/>
        </w:rPr>
        <w:t>module2.inputs</w:t>
      </w:r>
      <w:r>
        <w:rPr>
          <w:sz w:val="21"/>
        </w:rPr>
        <w:t xml:space="preserve"> (post-QC, possibly subsampled teaching objects). Ensure donor metadata (</w:t>
      </w:r>
      <w:r>
        <w:rPr>
          <w:rFonts w:ascii="Menlo" w:hAnsi="Menlo"/>
          <w:color w:val="1A3E6E"/>
          <w:sz w:val="19"/>
        </w:rPr>
        <w:t>donor_id</w:t>
      </w:r>
      <w:r>
        <w:rPr>
          <w:sz w:val="21"/>
        </w:rPr>
        <w:t xml:space="preserve">, </w:t>
      </w:r>
      <w:r>
        <w:rPr>
          <w:rFonts w:ascii="Menlo" w:hAnsi="Menlo"/>
          <w:color w:val="1A3E6E"/>
          <w:sz w:val="19"/>
        </w:rPr>
        <w:t>donor_label</w:t>
      </w:r>
      <w:r>
        <w:rPr>
          <w:sz w:val="21"/>
        </w:rPr>
        <w:t xml:space="preserve">, </w:t>
      </w:r>
      <w:r>
        <w:rPr>
          <w:rFonts w:ascii="Menlo" w:hAnsi="Menlo"/>
          <w:color w:val="1A3E6E"/>
          <w:sz w:val="19"/>
        </w:rPr>
        <w:t>block_id</w:t>
      </w:r>
      <w:r>
        <w:rPr>
          <w:sz w:val="21"/>
        </w:rPr>
        <w:t xml:space="preserve">), uniquify observation names across donors, intersect on shared genes (prefer versionless Ensembl </w:t>
      </w:r>
      <w:r>
        <w:rPr>
          <w:rFonts w:ascii="Menlo" w:hAnsi="Menlo"/>
          <w:color w:val="1A3E6E"/>
          <w:sz w:val="19"/>
        </w:rPr>
        <w:t>gene_id_no_version</w:t>
      </w:r>
      <w:r>
        <w:rPr>
          <w:sz w:val="21"/>
        </w:rPr>
        <w:t xml:space="preserve">), and concatenate with an inner join. Outer-join fill is avoided so missing genes are not invented as zeros. </w:t>
      </w:r>
      <w:r>
        <w:rPr>
          <w:b/>
          <w:sz w:val="21"/>
        </w:rPr>
        <w:t>Intron-feature exclusion does not happen here.</w:t>
      </w:r>
      <w:r>
        <w:rPr>
          <w:sz w:val="21"/>
        </w:rPr>
        <w:t xml:space="preserve"> Salmon intron-tagged features (</w:t>
      </w:r>
      <w:r>
        <w:rPr>
          <w:rFonts w:ascii="Menlo" w:hAnsi="Menlo"/>
          <w:color w:val="1A3E6E"/>
          <w:sz w:val="19"/>
        </w:rPr>
        <w:t>*-I</w:t>
      </w:r>
      <w:r>
        <w:rPr>
          <w:sz w:val="21"/>
        </w:rPr>
        <w:t xml:space="preserve">) remain in the integrated object until the DE load path (step 6) when </w:t>
      </w:r>
      <w:r>
        <w:rPr>
          <w:rFonts w:ascii="Menlo" w:hAnsi="Menlo"/>
          <w:color w:val="1A3E6E"/>
          <w:sz w:val="19"/>
        </w:rPr>
        <w:t>module2.exclude_intron_features</w:t>
      </w:r>
      <w:r>
        <w:rPr>
          <w:sz w:val="21"/>
        </w:rPr>
        <w:t xml:space="preserve"> is true.</w:t>
      </w:r>
    </w:p>
    <w:p>
      <w:pPr>
        <w:spacing w:after="140"/>
      </w:pPr>
      <w:r>
        <w:rPr>
          <w:sz w:val="21"/>
        </w:rPr>
        <w:t>Parameters: see Appendix, section 1.</w:t>
      </w:r>
    </w:p>
    <w:p>
      <w:pPr>
        <w:spacing w:after="140"/>
      </w:pPr>
      <w:r>
        <w:rPr>
          <w:b/>
          <w:sz w:val="21"/>
        </w:rPr>
        <w:t>Why.</w:t>
      </w:r>
      <w:r>
        <w:rPr>
          <w:sz w:val="21"/>
        </w:rPr>
        <w:t xml:space="preserve"> A joint embedding requires a shared feature space built from the same QC policy. Concatenating Module 1 objects (not raw portal matrices) keeps filters and the teaching subsample explicit. Using post-QC subsampled objects means Module 2 composition is not interchangeable with the Module 1 pre-QC secondary_analysis airway gate.</w:t>
      </w:r>
    </w:p>
    <w:p>
      <w:pPr>
        <w:pStyle w:val="Heading4"/>
      </w:pPr>
      <w:r>
        <w:rPr>
          <w:color w:val="1F4E79"/>
        </w:rPr>
        <w:t>2. Joint embedding (recomputed HVG / PCA)</w:t>
      </w:r>
    </w:p>
    <w:p>
      <w:pPr>
        <w:spacing w:after="140"/>
      </w:pPr>
      <w:r>
        <w:rPr>
          <w:b/>
          <w:sz w:val="21"/>
        </w:rPr>
        <w:t>Script.</w:t>
      </w:r>
      <w:r>
        <w:rPr>
          <w:sz w:val="21"/>
        </w:rPr>
        <w:t xml:space="preserve"> </w:t>
      </w:r>
      <w:r>
        <w:rPr>
          <w:rFonts w:ascii="Menlo" w:hAnsi="Menlo"/>
          <w:color w:val="1A3E6E"/>
          <w:sz w:val="19"/>
        </w:rPr>
        <w:t>scripts/nb03_integration/integrate.py</w:t>
      </w:r>
      <w:r>
        <w:rPr>
          <w:sz w:val="21"/>
        </w:rPr>
        <w:t xml:space="preserve"> (</w:t>
      </w:r>
      <w:r>
        <w:rPr>
          <w:rFonts w:ascii="Menlo" w:hAnsi="Menlo"/>
          <w:color w:val="1A3E6E"/>
          <w:sz w:val="19"/>
        </w:rPr>
        <w:t>recompute_pca_umap</w:t>
      </w:r>
      <w:r>
        <w:rPr>
          <w:sz w:val="21"/>
        </w:rPr>
        <w:t>).</w:t>
      </w:r>
    </w:p>
    <w:p>
      <w:pPr>
        <w:spacing w:after="140"/>
      </w:pPr>
      <w:r>
        <w:rPr>
          <w:b/>
          <w:sz w:val="21"/>
        </w:rPr>
        <w:t>What.</w:t>
      </w:r>
      <w:r>
        <w:rPr>
          <w:sz w:val="21"/>
        </w:rPr>
        <w:t xml:space="preserve"> On the concatenated object, recompute highly variable genes, scale, and PCA, then neighbors and UMAP on </w:t>
      </w:r>
      <w:r>
        <w:rPr>
          <w:rFonts w:ascii="Menlo" w:hAnsi="Menlo"/>
          <w:color w:val="1A3E6E"/>
          <w:sz w:val="19"/>
        </w:rPr>
        <w:t>X_pca</w:t>
      </w:r>
      <w:r>
        <w:rPr>
          <w:sz w:val="21"/>
        </w:rPr>
        <w:t xml:space="preserve"> (pre-Harmony view). Module 1 per-donor PCA/UMAP is </w:t>
      </w:r>
      <w:r>
        <w:rPr>
          <w:b/>
          <w:sz w:val="21"/>
        </w:rPr>
        <w:t>not</w:t>
      </w:r>
      <w:r>
        <w:rPr>
          <w:sz w:val="21"/>
        </w:rPr>
        <w:t xml:space="preserve"> reused. Teaching defaults use </w:t>
      </w:r>
      <w:r>
        <w:rPr>
          <w:rFonts w:ascii="Menlo" w:hAnsi="Menlo"/>
          <w:color w:val="1A3E6E"/>
          <w:sz w:val="19"/>
        </w:rPr>
        <w:t>n_pcs=40</w:t>
      </w:r>
      <w:r>
        <w:rPr>
          <w:sz w:val="21"/>
        </w:rPr>
        <w:t xml:space="preserve"> (not Module 1's 50) so the joint basis is defined at integration time.</w:t>
      </w:r>
    </w:p>
    <w:p>
      <w:pPr>
        <w:spacing w:after="140"/>
      </w:pPr>
      <w:r>
        <w:rPr>
          <w:sz w:val="21"/>
        </w:rPr>
        <w:t>Parameters: see Appendix, section 2.</w:t>
      </w:r>
    </w:p>
    <w:p>
      <w:pPr>
        <w:spacing w:after="140"/>
      </w:pPr>
      <w:r>
        <w:rPr>
          <w:b/>
          <w:sz w:val="21"/>
        </w:rPr>
        <w:t>Why.</w:t>
      </w:r>
      <w:r>
        <w:rPr>
          <w:sz w:val="21"/>
        </w:rPr>
        <w:t xml:space="preserve"> Joint HVG/PCA puts all donors in one feature basis before batch correction. Reusing Module 1 embeddings would mix incompatible PCA spaces and hide the integration step learners are meant to inspect.</w:t>
      </w:r>
    </w:p>
    <w:p>
      <w:pPr>
        <w:pStyle w:val="Heading4"/>
      </w:pPr>
      <w:r>
        <w:rPr>
          <w:color w:val="1F4E79"/>
        </w:rPr>
        <w:t>3. Harmony batch correction</w:t>
      </w:r>
    </w:p>
    <w:p>
      <w:pPr>
        <w:spacing w:after="140"/>
      </w:pPr>
      <w:r>
        <w:rPr>
          <w:b/>
          <w:sz w:val="21"/>
        </w:rPr>
        <w:t>Script.</w:t>
      </w:r>
      <w:r>
        <w:rPr>
          <w:sz w:val="21"/>
        </w:rPr>
        <w:t xml:space="preserve"> </w:t>
      </w:r>
      <w:r>
        <w:rPr>
          <w:rFonts w:ascii="Menlo" w:hAnsi="Menlo"/>
          <w:color w:val="1A3E6E"/>
          <w:sz w:val="19"/>
        </w:rPr>
        <w:t>scripts/nb03_integration/integrate.py</w:t>
      </w:r>
      <w:r>
        <w:rPr>
          <w:sz w:val="21"/>
        </w:rPr>
        <w:t xml:space="preserve"> (</w:t>
      </w:r>
      <w:r>
        <w:rPr>
          <w:rFonts w:ascii="Menlo" w:hAnsi="Menlo"/>
          <w:color w:val="1A3E6E"/>
          <w:sz w:val="19"/>
        </w:rPr>
        <w:t>run_harmony</w:t>
      </w:r>
      <w:r>
        <w:rPr>
          <w:sz w:val="21"/>
        </w:rPr>
        <w:t>).</w:t>
      </w:r>
    </w:p>
    <w:p>
      <w:pPr>
        <w:spacing w:after="140"/>
      </w:pPr>
      <w:r>
        <w:rPr>
          <w:b/>
          <w:sz w:val="21"/>
        </w:rPr>
        <w:t>What.</w:t>
      </w:r>
      <w:r>
        <w:rPr>
          <w:sz w:val="21"/>
        </w:rPr>
        <w:t xml:space="preserve"> Run </w:t>
      </w:r>
      <w:r>
        <w:rPr>
          <w:rFonts w:ascii="Menlo" w:hAnsi="Menlo"/>
          <w:color w:val="1A3E6E"/>
          <w:sz w:val="19"/>
        </w:rPr>
        <w:t>harmonypy</w:t>
      </w:r>
      <w:r>
        <w:rPr>
          <w:sz w:val="21"/>
        </w:rPr>
        <w:t xml:space="preserve"> on </w:t>
      </w:r>
      <w:r>
        <w:rPr>
          <w:rFonts w:ascii="Menlo" w:hAnsi="Menlo"/>
          <w:color w:val="1A3E6E"/>
          <w:sz w:val="19"/>
        </w:rPr>
        <w:t>X_pca</w:t>
      </w:r>
      <w:r>
        <w:rPr>
          <w:sz w:val="21"/>
        </w:rPr>
        <w:t xml:space="preserve"> with batch key </w:t>
      </w:r>
      <w:r>
        <w:rPr>
          <w:rFonts w:ascii="Menlo" w:hAnsi="Menlo"/>
          <w:color w:val="1A3E6E"/>
          <w:sz w:val="19"/>
        </w:rPr>
        <w:t>donor_id</w:t>
      </w:r>
      <w:r>
        <w:rPr>
          <w:sz w:val="21"/>
        </w:rPr>
        <w:t xml:space="preserve">, store corrected embedding in </w:t>
      </w:r>
      <w:r>
        <w:rPr>
          <w:rFonts w:ascii="Menlo" w:hAnsi="Menlo"/>
          <w:color w:val="1A3E6E"/>
          <w:sz w:val="19"/>
        </w:rPr>
        <w:t>obsm['X_pca_harmony']</w:t>
      </w:r>
      <w:r>
        <w:rPr>
          <w:sz w:val="21"/>
        </w:rPr>
        <w:t xml:space="preserve">, then recompute neighbors (key </w:t>
      </w:r>
      <w:r>
        <w:rPr>
          <w:rFonts w:ascii="Menlo" w:hAnsi="Menlo"/>
          <w:color w:val="1A3E6E"/>
          <w:sz w:val="19"/>
        </w:rPr>
        <w:t>harmony</w:t>
      </w:r>
      <w:r>
        <w:rPr>
          <w:sz w:val="21"/>
        </w:rPr>
        <w:t>) and UMAP (</w:t>
      </w:r>
      <w:r>
        <w:rPr>
          <w:rFonts w:ascii="Menlo" w:hAnsi="Menlo"/>
          <w:color w:val="1A3E6E"/>
          <w:sz w:val="19"/>
        </w:rPr>
        <w:t>X_umap_harmony</w:t>
      </w:r>
      <w:r>
        <w:rPr>
          <w:sz w:val="21"/>
        </w:rPr>
        <w:t xml:space="preserve">) using the same embedding neighbor/UMAP knobs. </w:t>
      </w:r>
      <w:r>
        <w:rPr>
          <w:rFonts w:ascii="Menlo" w:hAnsi="Menlo"/>
          <w:color w:val="1A3E6E"/>
          <w:sz w:val="19"/>
        </w:rPr>
        <w:t>theta</w:t>
      </w:r>
      <w:r>
        <w:rPr>
          <w:sz w:val="21"/>
        </w:rPr>
        <w:t xml:space="preserve"> defaults to null (harmonypy default); </w:t>
      </w:r>
      <w:r>
        <w:rPr>
          <w:rFonts w:ascii="Menlo" w:hAnsi="Menlo"/>
          <w:color w:val="1A3E6E"/>
          <w:sz w:val="19"/>
        </w:rPr>
        <w:t>max_iter_harmony=20</w:t>
      </w:r>
      <w:r>
        <w:rPr>
          <w:sz w:val="21"/>
        </w:rPr>
        <w:t>.</w:t>
      </w:r>
    </w:p>
    <w:p>
      <w:pPr>
        <w:spacing w:after="140"/>
      </w:pPr>
      <w:r>
        <w:rPr>
          <w:sz w:val="21"/>
        </w:rPr>
        <w:t>Parameters: see Appendix, section 3.</w:t>
      </w:r>
    </w:p>
    <w:p>
      <w:pPr>
        <w:spacing w:after="140"/>
      </w:pPr>
      <w:r>
        <w:rPr>
          <w:b/>
          <w:sz w:val="21"/>
        </w:rPr>
        <w:t>Why.</w:t>
      </w:r>
      <w:r>
        <w:rPr>
          <w:sz w:val="21"/>
        </w:rPr>
        <w:t xml:space="preserve"> Donor is a technical factor in multi-donor atlases. Harmony adjusts the PCA embedding so neighborhoods mix donors while preserving local structure better than regressing donor as a linear covariate in expression space. Mixing metrics (next step) are required; a prettier UMAP is not evidence.</w:t>
      </w:r>
    </w:p>
    <w:p>
      <w:pPr>
        <w:pStyle w:val="Heading4"/>
      </w:pPr>
      <w:r>
        <w:rPr>
          <w:color w:val="1F4E79"/>
        </w:rPr>
        <w:t>4. Mixing and silhouette diagnostics</w:t>
      </w:r>
    </w:p>
    <w:p>
      <w:pPr>
        <w:spacing w:after="140"/>
      </w:pPr>
      <w:r>
        <w:rPr>
          <w:b/>
          <w:sz w:val="21"/>
        </w:rPr>
        <w:t>Script.</w:t>
      </w:r>
      <w:r>
        <w:rPr>
          <w:sz w:val="21"/>
        </w:rPr>
        <w:t xml:space="preserve"> </w:t>
      </w:r>
      <w:r>
        <w:rPr>
          <w:rFonts w:ascii="Menlo" w:hAnsi="Menlo"/>
          <w:color w:val="1A3E6E"/>
          <w:sz w:val="19"/>
        </w:rPr>
        <w:t>scripts/nb03_integration/integrate.py</w:t>
      </w:r>
      <w:r>
        <w:rPr>
          <w:sz w:val="21"/>
        </w:rPr>
        <w:t xml:space="preserve"> (</w:t>
      </w:r>
      <w:r>
        <w:rPr>
          <w:rFonts w:ascii="Menlo" w:hAnsi="Menlo"/>
          <w:color w:val="1A3E6E"/>
          <w:sz w:val="19"/>
        </w:rPr>
        <w:t>harmony_mixing_metrics</w:t>
      </w:r>
      <w:r>
        <w:rPr>
          <w:sz w:val="21"/>
        </w:rPr>
        <w:t xml:space="preserve">, </w:t>
      </w:r>
      <w:r>
        <w:rPr>
          <w:rFonts w:ascii="Menlo" w:hAnsi="Menlo"/>
          <w:color w:val="1A3E6E"/>
          <w:sz w:val="19"/>
        </w:rPr>
        <w:t>harmony_silhouette_by_celltype</w:t>
      </w:r>
      <w:r>
        <w:rPr>
          <w:sz w:val="21"/>
        </w:rPr>
        <w:t>).</w:t>
      </w:r>
    </w:p>
    <w:p>
      <w:pPr>
        <w:spacing w:after="140"/>
      </w:pPr>
      <w:r>
        <w:rPr>
          <w:b/>
          <w:sz w:val="21"/>
        </w:rPr>
        <w:t>What.</w:t>
      </w:r>
      <w:r>
        <w:rPr>
          <w:sz w:val="21"/>
        </w:rPr>
        <w:t xml:space="preserve"> When </w:t>
      </w:r>
      <w:r>
        <w:rPr>
          <w:rFonts w:ascii="Menlo" w:hAnsi="Menlo"/>
          <w:color w:val="1A3E6E"/>
          <w:sz w:val="19"/>
        </w:rPr>
        <w:t>module2.diagnostics.enabled</w:t>
      </w:r>
      <w:r>
        <w:rPr>
          <w:sz w:val="21"/>
        </w:rPr>
        <w:t xml:space="preserve"> is true, score mean foreign-donor kNN fraction on </w:t>
      </w:r>
      <w:r>
        <w:rPr>
          <w:rFonts w:ascii="Menlo" w:hAnsi="Menlo"/>
          <w:color w:val="1A3E6E"/>
          <w:sz w:val="19"/>
        </w:rPr>
        <w:t>X_pca</w:t>
      </w:r>
      <w:r>
        <w:rPr>
          <w:sz w:val="21"/>
        </w:rPr>
        <w:t xml:space="preserve"> versus </w:t>
      </w:r>
      <w:r>
        <w:rPr>
          <w:rFonts w:ascii="Menlo" w:hAnsi="Menlo"/>
          <w:color w:val="1A3E6E"/>
          <w:sz w:val="19"/>
        </w:rPr>
        <w:t>X_pca_harmony</w:t>
      </w:r>
      <w:r>
        <w:rPr>
          <w:sz w:val="21"/>
        </w:rPr>
        <w:t xml:space="preserve"> (k=</w:t>
      </w:r>
      <w:r>
        <w:rPr>
          <w:rFonts w:ascii="Menlo" w:hAnsi="Menlo"/>
          <w:color w:val="1A3E6E"/>
          <w:sz w:val="19"/>
        </w:rPr>
        <w:t>knn_k</w:t>
      </w:r>
      <w:r>
        <w:rPr>
          <w:sz w:val="21"/>
        </w:rPr>
        <w:t xml:space="preserve">, optional subsample to </w:t>
      </w:r>
      <w:r>
        <w:rPr>
          <w:rFonts w:ascii="Menlo" w:hAnsi="Menlo"/>
          <w:color w:val="1A3E6E"/>
          <w:sz w:val="19"/>
        </w:rPr>
        <w:t>max_cells</w:t>
      </w:r>
      <w:r>
        <w:rPr>
          <w:sz w:val="21"/>
        </w:rPr>
        <w:t xml:space="preserve">), and donor silhouette within coarse </w:t>
      </w:r>
      <w:r>
        <w:rPr>
          <w:rFonts w:ascii="Menlo" w:hAnsi="Menlo"/>
          <w:color w:val="1A3E6E"/>
          <w:sz w:val="19"/>
        </w:rPr>
        <w:t>cell_class</w:t>
      </w:r>
      <w:r>
        <w:rPr>
          <w:sz w:val="21"/>
        </w:rPr>
        <w:t>. These are learner diagnostics, not gates that block DE.</w:t>
      </w:r>
    </w:p>
    <w:p>
      <w:pPr>
        <w:spacing w:after="140"/>
      </w:pPr>
      <w:r>
        <w:rPr>
          <w:sz w:val="21"/>
        </w:rPr>
        <w:t>Parameters: see Appendix, section 4.</w:t>
      </w:r>
    </w:p>
    <w:p>
      <w:pPr>
        <w:spacing w:after="140"/>
      </w:pPr>
      <w:r>
        <w:rPr>
          <w:b/>
          <w:sz w:val="21"/>
        </w:rPr>
        <w:t>Why.</w:t>
      </w:r>
      <w:r>
        <w:rPr>
          <w:sz w:val="21"/>
        </w:rPr>
        <w:t xml:space="preserve"> Foreign-donor kNN rising after Harmony is the quantitative mixing claim. Within-class donor silhouette becoming more negative usually agrees. Read both with marker coherence so overmixing is visible.</w:t>
      </w:r>
    </w:p>
    <w:p>
      <w:pPr>
        <w:pStyle w:val="Heading4"/>
      </w:pPr>
      <w:r>
        <w:rPr>
          <w:color w:val="1F4E79"/>
        </w:rPr>
        <w:t>5. Coarse cell_class mapping, composition, and pseudobulk</w:t>
      </w:r>
    </w:p>
    <w:p>
      <w:pPr>
        <w:spacing w:after="140"/>
      </w:pPr>
      <w:r>
        <w:rPr>
          <w:b/>
          <w:sz w:val="21"/>
        </w:rPr>
        <w:t>Script.</w:t>
      </w:r>
      <w:r>
        <w:rPr>
          <w:sz w:val="21"/>
        </w:rPr>
        <w:t xml:space="preserve"> </w:t>
      </w:r>
      <w:r>
        <w:rPr>
          <w:rFonts w:ascii="Menlo" w:hAnsi="Menlo"/>
          <w:color w:val="1A3E6E"/>
          <w:sz w:val="19"/>
        </w:rPr>
        <w:t>scripts/nb03_integration/integrate.py</w:t>
      </w:r>
      <w:r>
        <w:rPr>
          <w:sz w:val="21"/>
        </w:rPr>
        <w:t xml:space="preserve"> (</w:t>
      </w:r>
      <w:r>
        <w:rPr>
          <w:rFonts w:ascii="Menlo" w:hAnsi="Menlo"/>
          <w:color w:val="1A3E6E"/>
          <w:sz w:val="19"/>
        </w:rPr>
        <w:t>assign_coarse_cell_class</w:t>
      </w:r>
      <w:r>
        <w:rPr>
          <w:sz w:val="21"/>
        </w:rPr>
        <w:t xml:space="preserve">, </w:t>
      </w:r>
      <w:r>
        <w:rPr>
          <w:rFonts w:ascii="Menlo" w:hAnsi="Menlo"/>
          <w:color w:val="1A3E6E"/>
          <w:sz w:val="19"/>
        </w:rPr>
        <w:t>assert_azimuth_mapping_coverage</w:t>
      </w:r>
      <w:r>
        <w:rPr>
          <w:sz w:val="21"/>
        </w:rPr>
        <w:t xml:space="preserve">, </w:t>
      </w:r>
      <w:r>
        <w:rPr>
          <w:rFonts w:ascii="Menlo" w:hAnsi="Menlo"/>
          <w:color w:val="1A3E6E"/>
          <w:sz w:val="19"/>
        </w:rPr>
        <w:t>donor_composition</w:t>
      </w:r>
      <w:r>
        <w:rPr>
          <w:sz w:val="21"/>
        </w:rPr>
        <w:t xml:space="preserve">, </w:t>
      </w:r>
      <w:r>
        <w:rPr>
          <w:rFonts w:ascii="Menlo" w:hAnsi="Menlo"/>
          <w:color w:val="1A3E6E"/>
          <w:sz w:val="19"/>
        </w:rPr>
        <w:t>cell_class_membership_frame</w:t>
      </w:r>
      <w:r>
        <w:rPr>
          <w:sz w:val="21"/>
        </w:rPr>
        <w:t xml:space="preserve">); </w:t>
      </w:r>
      <w:r>
        <w:rPr>
          <w:rFonts w:ascii="Menlo" w:hAnsi="Menlo"/>
          <w:color w:val="1A3E6E"/>
          <w:sz w:val="19"/>
        </w:rPr>
        <w:t>scripts/nb03_integration/compare.py</w:t>
      </w:r>
      <w:r>
        <w:rPr>
          <w:sz w:val="21"/>
        </w:rPr>
        <w:t xml:space="preserve"> (</w:t>
      </w:r>
      <w:r>
        <w:rPr>
          <w:rFonts w:ascii="Menlo" w:hAnsi="Menlo"/>
          <w:color w:val="1A3E6E"/>
          <w:sz w:val="19"/>
        </w:rPr>
        <w:t>composition_weighted_pseudobulk</w:t>
      </w:r>
      <w:r>
        <w:rPr>
          <w:sz w:val="21"/>
        </w:rPr>
        <w:t xml:space="preserve">, </w:t>
      </w:r>
      <w:r>
        <w:rPr>
          <w:rFonts w:ascii="Menlo" w:hAnsi="Menlo"/>
          <w:color w:val="1A3E6E"/>
          <w:sz w:val="19"/>
        </w:rPr>
        <w:t>max_across_labels_pseudobulk</w:t>
      </w:r>
      <w:r>
        <w:rPr>
          <w:sz w:val="21"/>
        </w:rPr>
        <w:t xml:space="preserve">, </w:t>
      </w:r>
      <w:r>
        <w:rPr>
          <w:rFonts w:ascii="Menlo" w:hAnsi="Menlo"/>
          <w:color w:val="1A3E6E"/>
          <w:sz w:val="19"/>
        </w:rPr>
        <w:t>label_fractions</w:t>
      </w:r>
      <w:r>
        <w:rPr>
          <w:sz w:val="21"/>
        </w:rPr>
        <w:t xml:space="preserve">); export in </w:t>
      </w:r>
      <w:r>
        <w:rPr>
          <w:rFonts w:ascii="Menlo" w:hAnsi="Menlo"/>
          <w:color w:val="1A3E6E"/>
          <w:sz w:val="19"/>
        </w:rPr>
        <w:t>scripts/nb03_integration/export.py</w:t>
      </w:r>
      <w:r>
        <w:rPr>
          <w:sz w:val="21"/>
        </w:rPr>
        <w:t>.</w:t>
      </w:r>
    </w:p>
    <w:p>
      <w:pPr>
        <w:spacing w:after="140"/>
      </w:pPr>
      <w:r>
        <w:rPr>
          <w:b/>
          <w:sz w:val="21"/>
        </w:rPr>
        <w:t>What.</w:t>
      </w:r>
      <w:r>
        <w:rPr>
          <w:sz w:val="21"/>
        </w:rPr>
        <w:t xml:space="preserve"> Map Azimuth fine labels to </w:t>
      </w:r>
      <w:r>
        <w:rPr>
          <w:b/>
          <w:sz w:val="21"/>
        </w:rPr>
        <w:t>exactly four</w:t>
      </w:r>
      <w:r>
        <w:rPr>
          <w:sz w:val="21"/>
        </w:rPr>
        <w:t xml:space="preserve"> coarse buckets: </w:t>
      </w:r>
      <w:r>
        <w:rPr>
          <w:rFonts w:ascii="Menlo" w:hAnsi="Menlo"/>
          <w:color w:val="1A3E6E"/>
          <w:sz w:val="19"/>
        </w:rPr>
        <w:t>epithelial</w:t>
      </w:r>
      <w:r>
        <w:rPr>
          <w:sz w:val="21"/>
        </w:rPr>
        <w:t xml:space="preserve">, </w:t>
      </w:r>
      <w:r>
        <w:rPr>
          <w:rFonts w:ascii="Menlo" w:hAnsi="Menlo"/>
          <w:color w:val="1A3E6E"/>
          <w:sz w:val="19"/>
        </w:rPr>
        <w:t>endothelial</w:t>
      </w:r>
      <w:r>
        <w:rPr>
          <w:sz w:val="21"/>
        </w:rPr>
        <w:t xml:space="preserve">, </w:t>
      </w:r>
      <w:r>
        <w:rPr>
          <w:rFonts w:ascii="Menlo" w:hAnsi="Menlo"/>
          <w:color w:val="1A3E6E"/>
          <w:sz w:val="19"/>
        </w:rPr>
        <w:t>stromal</w:t>
      </w:r>
      <w:r>
        <w:rPr>
          <w:sz w:val="21"/>
        </w:rPr>
        <w:t xml:space="preserve">, </w:t>
      </w:r>
      <w:r>
        <w:rPr>
          <w:rFonts w:ascii="Menlo" w:hAnsi="Menlo"/>
          <w:color w:val="1A3E6E"/>
          <w:sz w:val="19"/>
        </w:rPr>
        <w:t>immune</w:t>
      </w:r>
      <w:r>
        <w:rPr>
          <w:sz w:val="21"/>
        </w:rPr>
        <w:t xml:space="preserve">. Airway secretory and gland labels (Club, Goblet, SMG, Deuterosomal, transitional Club-AT2, Tuft, and related) fold into </w:t>
      </w:r>
      <w:r>
        <w:rPr>
          <w:b/>
          <w:sz w:val="21"/>
        </w:rPr>
        <w:t>epithelial</w:t>
      </w:r>
      <w:r>
        <w:rPr>
          <w:sz w:val="21"/>
        </w:rPr>
        <w:t xml:space="preserve">. There is no fifth coarse airway class. Both Unicode and ASCII macrophage keys map to immune (Azimuth </w:t>
      </w:r>
      <w:r>
        <w:rPr>
          <w:rFonts w:ascii="Menlo" w:hAnsi="Menlo"/>
          <w:color w:val="1A3E6E"/>
          <w:sz w:val="19"/>
        </w:rPr>
        <w:t>Monocyte-derived M</w:t>
      </w:r>
      <w:r>
        <w:rPr>
          <w:sz w:val="21"/>
        </w:rPr>
        <w:t xml:space="preserve"> + Greek phi, and ASCII </w:t>
      </w:r>
      <w:r>
        <w:rPr>
          <w:rFonts w:ascii="Menlo" w:hAnsi="Menlo"/>
          <w:color w:val="1A3E6E"/>
          <w:sz w:val="19"/>
        </w:rPr>
        <w:t>Monocyte-derived Mphi</w:t>
      </w:r>
      <w:r>
        <w:rPr>
          <w:sz w:val="21"/>
        </w:rPr>
        <w:t xml:space="preserve">; likewise interstitial macrophage variants with phi / </w:t>
      </w:r>
      <w:r>
        <w:rPr>
          <w:rFonts w:ascii="Menlo" w:hAnsi="Menlo"/>
          <w:color w:val="1A3E6E"/>
          <w:sz w:val="19"/>
        </w:rPr>
        <w:t>Mphi</w:t>
      </w:r>
      <w:r>
        <w:rPr>
          <w:sz w:val="21"/>
        </w:rPr>
        <w:t>). Unmapped labels are listed loudly and never silently bucketed; unlabeled nuclei are dropped before DE group sizes are quoted.</w:t>
      </w:r>
    </w:p>
    <w:p>
      <w:pPr>
        <w:spacing w:after="140"/>
      </w:pPr>
      <w:r>
        <w:rPr>
          <w:sz w:val="21"/>
        </w:rPr>
        <w:t xml:space="preserve">Build donor-by-label crosstabs and cell-type fractions on the </w:t>
      </w:r>
      <w:r>
        <w:rPr>
          <w:b/>
          <w:sz w:val="21"/>
        </w:rPr>
        <w:t>post-QC subsampled</w:t>
      </w:r>
      <w:r>
        <w:rPr>
          <w:sz w:val="21"/>
        </w:rPr>
        <w:t xml:space="preserve"> integrated object. When </w:t>
      </w:r>
      <w:r>
        <w:rPr>
          <w:rFonts w:ascii="Menlo" w:hAnsi="Menlo"/>
          <w:color w:val="1A3E6E"/>
          <w:sz w:val="19"/>
        </w:rPr>
        <w:t>module2.export_pseudobulk</w:t>
      </w:r>
      <w:r>
        <w:rPr>
          <w:sz w:val="21"/>
        </w:rPr>
        <w:t xml:space="preserve"> is true, export composition-weighted and max-across-labels linear-scale pseudobulk vectors for Module 4's HuBMAP-GTEx bridge (plus fractions).</w:t>
      </w:r>
    </w:p>
    <w:p>
      <w:pPr>
        <w:spacing w:after="140"/>
      </w:pPr>
      <w:r>
        <w:rPr>
          <w:sz w:val="21"/>
        </w:rPr>
        <w:t>Parameters: see Appendix, section 5.</w:t>
      </w:r>
    </w:p>
    <w:p>
      <w:pPr>
        <w:spacing w:after="140"/>
      </w:pPr>
      <w:r>
        <w:rPr>
          <w:b/>
          <w:sz w:val="21"/>
        </w:rPr>
        <w:t>Why.</w:t>
      </w:r>
      <w:r>
        <w:rPr>
          <w:sz w:val="21"/>
        </w:rPr>
        <w:t xml:space="preserve"> Four-bucket labels keep classroom DE interpretable and force airway biology into epithelial rather than inventing a fifth DE group. Two pseudobulks answer different questions: composition-weighted tracks tissue-level bulk when abundances differ; max-across asks for the strongest class program. Module 4 compares them explicitly.</w:t>
      </w:r>
    </w:p>
    <w:p>
      <w:pPr>
        <w:pStyle w:val="Heading4"/>
      </w:pPr>
      <w:r>
        <w:rPr>
          <w:color w:val="1F4E79"/>
        </w:rPr>
        <w:t>6. Intron exclusion on the DE path, Wilcoxon markers</w:t>
      </w:r>
    </w:p>
    <w:p>
      <w:pPr>
        <w:spacing w:after="140"/>
      </w:pPr>
      <w:r>
        <w:rPr>
          <w:b/>
          <w:sz w:val="21"/>
        </w:rPr>
        <w:t>Script.</w:t>
      </w:r>
      <w:r>
        <w:rPr>
          <w:sz w:val="21"/>
        </w:rPr>
        <w:t xml:space="preserve"> </w:t>
      </w:r>
      <w:r>
        <w:rPr>
          <w:rFonts w:ascii="Menlo" w:hAnsi="Menlo"/>
          <w:color w:val="1A3E6E"/>
          <w:sz w:val="19"/>
        </w:rPr>
        <w:t>scripts/nb04_de/load.py</w:t>
      </w:r>
      <w:r>
        <w:rPr>
          <w:sz w:val="21"/>
        </w:rPr>
        <w:t xml:space="preserve"> (</w:t>
      </w:r>
      <w:r>
        <w:rPr>
          <w:rFonts w:ascii="Menlo" w:hAnsi="Menlo"/>
          <w:color w:val="1A3E6E"/>
          <w:sz w:val="19"/>
        </w:rPr>
        <w:t>load_integrated</w:t>
      </w:r>
      <w:r>
        <w:rPr>
          <w:sz w:val="21"/>
        </w:rPr>
        <w:t xml:space="preserve">, </w:t>
      </w:r>
      <w:r>
        <w:rPr>
          <w:rFonts w:ascii="Menlo" w:hAnsi="Menlo"/>
          <w:color w:val="1A3E6E"/>
          <w:sz w:val="19"/>
        </w:rPr>
        <w:t>exclude_intron_features</w:t>
      </w:r>
      <w:r>
        <w:rPr>
          <w:sz w:val="21"/>
        </w:rPr>
        <w:t xml:space="preserve">); </w:t>
      </w:r>
      <w:r>
        <w:rPr>
          <w:rFonts w:ascii="Menlo" w:hAnsi="Menlo"/>
          <w:color w:val="1A3E6E"/>
          <w:sz w:val="19"/>
        </w:rPr>
        <w:t>scripts/nb04_de/markers.py</w:t>
      </w:r>
      <w:r>
        <w:rPr>
          <w:sz w:val="21"/>
        </w:rPr>
        <w:t xml:space="preserve"> (</w:t>
      </w:r>
      <w:r>
        <w:rPr>
          <w:rFonts w:ascii="Menlo" w:hAnsi="Menlo"/>
          <w:color w:val="1A3E6E"/>
          <w:sz w:val="19"/>
        </w:rPr>
        <w:t>run_rank_genes</w:t>
      </w:r>
      <w:r>
        <w:rPr>
          <w:sz w:val="21"/>
        </w:rPr>
        <w:t xml:space="preserve">, </w:t>
      </w:r>
      <w:r>
        <w:rPr>
          <w:rFonts w:ascii="Menlo" w:hAnsi="Menlo"/>
          <w:color w:val="1A3E6E"/>
          <w:sz w:val="19"/>
        </w:rPr>
        <w:t>run_rank_genes_for_prerank</w:t>
      </w:r>
      <w:r>
        <w:rPr>
          <w:sz w:val="21"/>
        </w:rPr>
        <w:t>, marker filtering helpers).</w:t>
      </w:r>
    </w:p>
    <w:p>
      <w:pPr>
        <w:spacing w:after="140"/>
      </w:pPr>
      <w:r>
        <w:rPr>
          <w:b/>
          <w:sz w:val="21"/>
        </w:rPr>
        <w:t>What.</w:t>
      </w:r>
      <w:r>
        <w:rPr>
          <w:sz w:val="21"/>
        </w:rPr>
        <w:t xml:space="preserve"> Load the integrated h5ad for DE. When </w:t>
      </w:r>
      <w:r>
        <w:rPr>
          <w:rFonts w:ascii="Menlo" w:hAnsi="Menlo"/>
          <w:color w:val="1A3E6E"/>
          <w:sz w:val="19"/>
        </w:rPr>
        <w:t>module2.exclude_intron_features: true</w:t>
      </w:r>
      <w:r>
        <w:rPr>
          <w:sz w:val="21"/>
        </w:rPr>
        <w:t>, drop Salmon intron-tagged features (</w:t>
      </w:r>
      <w:r>
        <w:rPr>
          <w:rFonts w:ascii="Menlo" w:hAnsi="Menlo"/>
          <w:color w:val="1A3E6E"/>
          <w:sz w:val="19"/>
        </w:rPr>
        <w:t>*-I</w:t>
      </w:r>
      <w:r>
        <w:rPr>
          <w:sz w:val="21"/>
        </w:rPr>
        <w:t xml:space="preserve">) </w:t>
      </w:r>
      <w:r>
        <w:rPr>
          <w:b/>
          <w:sz w:val="21"/>
        </w:rPr>
        <w:t>on this DE object only</w:t>
      </w:r>
      <w:r>
        <w:rPr>
          <w:sz w:val="21"/>
        </w:rPr>
        <w:t xml:space="preserve">; the on-disk integrated embedding object retains them unless rewritten. Record pre/post feature-space descriptions in </w:t>
      </w:r>
      <w:r>
        <w:rPr>
          <w:rFonts w:ascii="Menlo" w:hAnsi="Menlo"/>
          <w:color w:val="1A3E6E"/>
          <w:sz w:val="19"/>
        </w:rPr>
        <w:t>adata.uns['module2_feature_space']</w:t>
      </w:r>
      <w:r>
        <w:rPr>
          <w:sz w:val="21"/>
        </w:rPr>
        <w:t xml:space="preserve">. Run Wilcoxon rank-sum markers per </w:t>
      </w:r>
      <w:r>
        <w:rPr>
          <w:rFonts w:ascii="Menlo" w:hAnsi="Menlo"/>
          <w:color w:val="1A3E6E"/>
          <w:sz w:val="19"/>
        </w:rPr>
        <w:t>cell_class</w:t>
      </w:r>
      <w:r>
        <w:rPr>
          <w:sz w:val="21"/>
        </w:rPr>
        <w:t xml:space="preserve"> (reference rest) with configured </w:t>
      </w:r>
      <w:r>
        <w:rPr>
          <w:rFonts w:ascii="Menlo" w:hAnsi="Menlo"/>
          <w:color w:val="1A3E6E"/>
          <w:sz w:val="19"/>
        </w:rPr>
        <w:t>n_genes</w:t>
      </w:r>
      <w:r>
        <w:rPr>
          <w:sz w:val="21"/>
        </w:rPr>
        <w:t xml:space="preserve">, </w:t>
      </w:r>
      <w:r>
        <w:rPr>
          <w:rFonts w:ascii="Menlo" w:hAnsi="Menlo"/>
          <w:color w:val="1A3E6E"/>
          <w:sz w:val="19"/>
        </w:rPr>
        <w:t>min_cells_per_group</w:t>
      </w:r>
      <w:r>
        <w:rPr>
          <w:sz w:val="21"/>
        </w:rPr>
        <w:t xml:space="preserve">, and later filter by </w:t>
      </w:r>
      <w:r>
        <w:rPr>
          <w:rFonts w:ascii="Menlo" w:hAnsi="Menlo"/>
          <w:color w:val="1A3E6E"/>
          <w:sz w:val="19"/>
        </w:rPr>
        <w:t>min_logfoldchange</w:t>
      </w:r>
      <w:r>
        <w:rPr>
          <w:sz w:val="21"/>
        </w:rPr>
        <w:t xml:space="preserve"> / </w:t>
      </w:r>
      <w:r>
        <w:rPr>
          <w:rFonts w:ascii="Menlo" w:hAnsi="Menlo"/>
          <w:color w:val="1A3E6E"/>
          <w:sz w:val="19"/>
        </w:rPr>
        <w:t>max_padj</w:t>
      </w:r>
      <w:r>
        <w:rPr>
          <w:sz w:val="21"/>
        </w:rPr>
        <w:t>. Optionally exclude ribosomal genes from marker tables. A separate full-universe rank supports prerank GSEA.</w:t>
      </w:r>
    </w:p>
    <w:p>
      <w:pPr>
        <w:spacing w:after="140"/>
      </w:pPr>
      <w:r>
        <w:rPr>
          <w:sz w:val="21"/>
        </w:rPr>
        <w:t>Parameters: see Appendix, section 6.</w:t>
      </w:r>
    </w:p>
    <w:p>
      <w:pPr>
        <w:spacing w:after="140"/>
      </w:pPr>
      <w:r>
        <w:rPr>
          <w:b/>
          <w:sz w:val="21"/>
        </w:rPr>
        <w:t>Why.</w:t>
      </w:r>
      <w:r>
        <w:rPr>
          <w:sz w:val="21"/>
        </w:rPr>
        <w:t xml:space="preserve"> Intron exclusion is a DE-path decision so embedding feature space stays comparable to Module 1 gene intersection while marker ranks avoid intron-duplicate inflation. Wilcoxon on log-normalized X is the teaching default; counts remain in </w:t>
      </w:r>
      <w:r>
        <w:rPr>
          <w:rFonts w:ascii="Menlo" w:hAnsi="Menlo"/>
          <w:color w:val="1A3E6E"/>
          <w:sz w:val="19"/>
        </w:rPr>
        <w:t>layers['counts']</w:t>
      </w:r>
      <w:r>
        <w:rPr>
          <w:sz w:val="21"/>
        </w:rPr>
        <w:t>.</w:t>
      </w:r>
    </w:p>
    <w:p>
      <w:pPr>
        <w:pStyle w:val="Heading4"/>
      </w:pPr>
      <w:r>
        <w:rPr>
          <w:color w:val="1F4E79"/>
        </w:rPr>
        <w:t>7. Local GMT enrichment (ORA and prerank)</w:t>
      </w:r>
    </w:p>
    <w:p>
      <w:pPr>
        <w:spacing w:after="140"/>
      </w:pPr>
      <w:r>
        <w:rPr>
          <w:b/>
          <w:sz w:val="21"/>
        </w:rPr>
        <w:t>Script.</w:t>
      </w:r>
      <w:r>
        <w:rPr>
          <w:sz w:val="21"/>
        </w:rPr>
        <w:t xml:space="preserve"> </w:t>
      </w:r>
      <w:r>
        <w:rPr>
          <w:rFonts w:ascii="Menlo" w:hAnsi="Menlo"/>
          <w:color w:val="1A3E6E"/>
          <w:sz w:val="19"/>
        </w:rPr>
        <w:t>scripts/nb04_de/enrich.py</w:t>
      </w:r>
      <w:r>
        <w:rPr>
          <w:sz w:val="21"/>
        </w:rPr>
        <w:t xml:space="preserve"> (</w:t>
      </w:r>
      <w:r>
        <w:rPr>
          <w:rFonts w:ascii="Menlo" w:hAnsi="Menlo"/>
          <w:color w:val="1A3E6E"/>
          <w:sz w:val="19"/>
        </w:rPr>
        <w:t>resolve_gmt_paths</w:t>
      </w:r>
      <w:r>
        <w:rPr>
          <w:sz w:val="21"/>
        </w:rPr>
        <w:t xml:space="preserve">, </w:t>
      </w:r>
      <w:r>
        <w:rPr>
          <w:rFonts w:ascii="Menlo" w:hAnsi="Menlo"/>
          <w:color w:val="1A3E6E"/>
          <w:sz w:val="19"/>
        </w:rPr>
        <w:t>run_enrichment_for_groups</w:t>
      </w:r>
      <w:r>
        <w:rPr>
          <w:sz w:val="21"/>
        </w:rPr>
        <w:t xml:space="preserve">, </w:t>
      </w:r>
      <w:r>
        <w:rPr>
          <w:rFonts w:ascii="Menlo" w:hAnsi="Menlo"/>
          <w:color w:val="1A3E6E"/>
          <w:sz w:val="19"/>
        </w:rPr>
        <w:t>run_prerank_gsea</w:t>
      </w:r>
      <w:r>
        <w:rPr>
          <w:sz w:val="21"/>
        </w:rPr>
        <w:t>).</w:t>
      </w:r>
    </w:p>
    <w:p>
      <w:pPr>
        <w:spacing w:after="140"/>
      </w:pPr>
      <w:r>
        <w:rPr>
          <w:b/>
          <w:sz w:val="21"/>
        </w:rPr>
        <w:t>What.</w:t>
      </w:r>
      <w:r>
        <w:rPr>
          <w:sz w:val="21"/>
        </w:rPr>
        <w:t xml:space="preserve"> Over-representation enrichment per </w:t>
      </w:r>
      <w:r>
        <w:rPr>
          <w:rFonts w:ascii="Menlo" w:hAnsi="Menlo"/>
          <w:color w:val="1A3E6E"/>
          <w:sz w:val="19"/>
        </w:rPr>
        <w:t>cell_class</w:t>
      </w:r>
      <w:r>
        <w:rPr>
          <w:sz w:val="21"/>
        </w:rPr>
        <w:t xml:space="preserve"> against local GMT files (Hallmark 2020, Reactome 2022, GO Biological Process 2023; ****), with background equal to genes measured in the DE object (</w:t>
      </w:r>
      <w:r>
        <w:rPr>
          <w:rFonts w:ascii="Menlo" w:hAnsi="Menlo"/>
          <w:color w:val="1A3E6E"/>
          <w:sz w:val="19"/>
        </w:rPr>
        <w:t>enrichment.mode: local_gmt</w:t>
      </w:r>
      <w:r>
        <w:rPr>
          <w:sz w:val="21"/>
        </w:rPr>
        <w:t xml:space="preserve">). Take top </w:t>
      </w:r>
      <w:r>
        <w:rPr>
          <w:rFonts w:ascii="Menlo" w:hAnsi="Menlo"/>
          <w:color w:val="1A3E6E"/>
          <w:sz w:val="19"/>
        </w:rPr>
        <w:t>top_genes_per_group</w:t>
      </w:r>
      <w:r>
        <w:rPr>
          <w:sz w:val="21"/>
        </w:rPr>
        <w:t xml:space="preserve"> markers passing padj cutoff. Separately run preranked GSEA on Wilcoxon scores with </w:t>
      </w:r>
      <w:r>
        <w:rPr>
          <w:rFonts w:ascii="Menlo" w:hAnsi="Menlo"/>
          <w:color w:val="1A3E6E"/>
          <w:sz w:val="19"/>
        </w:rPr>
        <w:t>min_size=15</w:t>
      </w:r>
      <w:r>
        <w:rPr>
          <w:sz w:val="21"/>
        </w:rPr>
        <w:t xml:space="preserve">, </w:t>
      </w:r>
      <w:r>
        <w:rPr>
          <w:rFonts w:ascii="Menlo" w:hAnsi="Menlo"/>
          <w:color w:val="1A3E6E"/>
          <w:sz w:val="19"/>
        </w:rPr>
        <w:t>max_size=500</w:t>
      </w:r>
      <w:r>
        <w:rPr>
          <w:sz w:val="21"/>
        </w:rPr>
        <w:t xml:space="preserve">, </w:t>
      </w:r>
      <w:r>
        <w:rPr>
          <w:rFonts w:ascii="Menlo" w:hAnsi="Menlo"/>
          <w:color w:val="1A3E6E"/>
          <w:sz w:val="19"/>
        </w:rPr>
        <w:t>permutation_num=100</w:t>
      </w:r>
      <w:r>
        <w:rPr>
          <w:sz w:val="21"/>
        </w:rPr>
        <w:t>. Enrichr online remains opt-in only.</w:t>
      </w:r>
    </w:p>
    <w:p>
      <w:pPr>
        <w:spacing w:after="140"/>
      </w:pPr>
      <w:r>
        <w:rPr>
          <w:sz w:val="21"/>
        </w:rPr>
        <w:t>Parameters: see Appendix, section 7.</w:t>
      </w:r>
    </w:p>
    <w:p>
      <w:pPr>
        <w:spacing w:after="140"/>
      </w:pPr>
      <w:r>
        <w:rPr>
          <w:b/>
          <w:sz w:val="21"/>
        </w:rPr>
        <w:t>Why.</w:t>
      </w:r>
      <w:r>
        <w:rPr>
          <w:sz w:val="21"/>
        </w:rPr>
        <w:t xml:space="preserve"> Local GMTs keep teaching offline and license-clear. Enrichment is hypothesis-generating: inspect gene membership and </w:t>
      </w:r>
      <w:r>
        <w:rPr>
          <w:rFonts w:ascii="Menlo" w:hAnsi="Menlo"/>
          <w:color w:val="1A3E6E"/>
          <w:sz w:val="19"/>
        </w:rPr>
        <w:t>n_input_genes</w:t>
      </w:r>
      <w:r>
        <w:rPr>
          <w:sz w:val="21"/>
        </w:rPr>
        <w:t xml:space="preserve"> before claiming a pathway story. Prefer terms that recur across libraries and that match known lung markers in the dotplots.</w:t>
      </w:r>
    </w:p>
    <w:p>
      <w:pPr>
        <w:spacing w:after="140"/>
      </w:pPr>
      <w:r>
        <w:rPr>
          <w:sz w:val="21"/>
        </w:rPr>
        <w:t xml:space="preserve">Production coarse group sizes on the integrated object are epithelial 6,928, endothelial 6,205, stromal 3,190 and immune 2,556 nuclei. A fifth group, </w:t>
      </w:r>
      <w:r>
        <w:rPr>
          <w:rFonts w:ascii="Menlo" w:hAnsi="Menlo"/>
          <w:color w:val="1A3E6E"/>
          <w:sz w:val="19"/>
        </w:rPr>
        <w:t>unlabeled</w:t>
      </w:r>
      <w:r>
        <w:rPr>
          <w:sz w:val="21"/>
        </w:rPr>
        <w:t xml:space="preserve">, holds 5 nuclei, falls below the </w:t>
      </w:r>
      <w:r>
        <w:rPr>
          <w:rFonts w:ascii="Menlo" w:hAnsi="Menlo"/>
          <w:color w:val="1A3E6E"/>
          <w:sz w:val="19"/>
        </w:rPr>
        <w:t>min_cells_per_group</w:t>
      </w:r>
      <w:r>
        <w:rPr>
          <w:sz w:val="21"/>
        </w:rPr>
        <w:t xml:space="preserve"> floor of 50, and is dropped and reported rather than merged into a neighbor.</w:t>
      </w:r>
    </w:p>
    <w:p>
      <w:pPr>
        <w:pStyle w:val="Heading1"/>
      </w:pPr>
      <w:r>
        <w:rPr>
          <w:color w:val="1F4E79"/>
        </w:rPr>
        <w:t>4. Results</w:t>
      </w:r>
    </w:p>
    <w:p>
      <w:pPr>
        <w:pStyle w:val="Heading4"/>
      </w:pPr>
      <w:r>
        <w:rPr>
          <w:color w:val="1F4E79"/>
        </w:rPr>
        <w:t>Donor composition after concatenation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DCE6F1"/>
          </w:tcPr>
          <w:p>
            <w:r/>
            <w:r>
              <w:rPr>
                <w:b/>
                <w:sz w:val="17"/>
              </w:rPr>
              <w:t>donor_label</w:t>
            </w:r>
          </w:p>
        </w:tc>
        <w:tc>
          <w:tcPr>
            <w:tcW w:type="dxa" w:w="1560"/>
            <w:shd w:val="clear" w:fill="DCE6F1"/>
          </w:tcPr>
          <w:p>
            <w:r/>
            <w:r>
              <w:rPr>
                <w:b/>
                <w:sz w:val="17"/>
              </w:rPr>
              <w:t>donor_id</w:t>
            </w:r>
          </w:p>
        </w:tc>
        <w:tc>
          <w:tcPr>
            <w:tcW w:type="dxa" w:w="1560"/>
            <w:shd w:val="clear" w:fill="DCE6F1"/>
          </w:tcPr>
          <w:p>
            <w:r/>
            <w:r>
              <w:rPr>
                <w:b/>
                <w:sz w:val="17"/>
              </w:rPr>
              <w:t>block_id</w:t>
            </w:r>
          </w:p>
        </w:tc>
        <w:tc>
          <w:tcPr>
            <w:tcW w:type="dxa" w:w="1560"/>
            <w:shd w:val="clear" w:fill="DCE6F1"/>
          </w:tcPr>
          <w:p>
            <w:r/>
            <w:r>
              <w:rPr>
                <w:b/>
                <w:sz w:val="17"/>
              </w:rPr>
              <w:t>n_nuclei</w:t>
            </w:r>
          </w:p>
        </w:tc>
        <w:tc>
          <w:tcPr>
            <w:tcW w:type="dxa" w:w="1560"/>
            <w:shd w:val="clear" w:fill="DCE6F1"/>
          </w:tcPr>
          <w:p>
            <w:r/>
            <w:r>
              <w:rPr>
                <w:b/>
                <w:sz w:val="17"/>
              </w:rPr>
              <w:t>n_genes</w:t>
            </w:r>
          </w:p>
        </w:tc>
        <w:tc>
          <w:tcPr>
            <w:tcW w:type="dxa" w:w="1560"/>
            <w:shd w:val="clear" w:fill="DCE6F1"/>
          </w:tcPr>
          <w:p>
            <w:r/>
            <w:r>
              <w:rPr>
                <w:b/>
                <w:sz w:val="17"/>
              </w:rPr>
              <w:t>source_h5ad</w:t>
            </w:r>
          </w:p>
        </w:tc>
      </w:tr>
      <w:tr>
        <w:tc>
          <w:tcPr>
            <w:tcW w:type="dxa" w:w="1560"/>
          </w:tcPr>
          <w:p>
            <w:r/>
            <w:r>
              <w:rPr>
                <w:sz w:val="17"/>
              </w:rPr>
              <w:t>Donor_1</w:t>
            </w:r>
          </w:p>
        </w:tc>
        <w:tc>
          <w:tcPr>
            <w:tcW w:type="dxa" w:w="1560"/>
          </w:tcPr>
          <w:p>
            <w:r/>
            <w:r>
              <w:rPr>
                <w:sz w:val="17"/>
              </w:rPr>
              <w:t>HBM943.SCQQ.877</w:t>
            </w:r>
          </w:p>
        </w:tc>
        <w:tc>
          <w:tcPr>
            <w:tcW w:type="dxa" w:w="1560"/>
          </w:tcPr>
          <w:p>
            <w:r/>
            <w:r>
              <w:rPr>
                <w:sz w:val="17"/>
              </w:rPr>
              <w:t>HBM347.VDHS.379</w:t>
            </w:r>
          </w:p>
        </w:tc>
        <w:tc>
          <w:tcPr>
            <w:tcW w:type="dxa" w:w="1560"/>
          </w:tcPr>
          <w:p>
            <w:r/>
            <w:r>
              <w:rPr>
                <w:sz w:val="17"/>
              </w:rPr>
              <w:t>3884</w:t>
            </w:r>
          </w:p>
        </w:tc>
        <w:tc>
          <w:tcPr>
            <w:tcW w:type="dxa" w:w="1560"/>
          </w:tcPr>
          <w:p>
            <w:r/>
            <w:r>
              <w:rPr>
                <w:sz w:val="17"/>
              </w:rPr>
              <w:t>45859</w:t>
            </w:r>
          </w:p>
        </w:tc>
        <w:tc>
          <w:tcPr>
            <w:tcW w:type="dxa" w:w="1560"/>
          </w:tcPr>
          <w:p>
            <w:r/>
            <w:r>
              <w:rPr>
                <w:sz w:val="17"/>
              </w:rPr>
              <w:t>data/processed/hubmap/module1_HBM347.VDHS.379_qc_preprocessed.h5ad</w:t>
            </w:r>
          </w:p>
        </w:tc>
      </w:tr>
      <w:tr>
        <w:tc>
          <w:tcPr>
            <w:tcW w:type="dxa" w:w="1560"/>
          </w:tcPr>
          <w:p>
            <w:r/>
            <w:r>
              <w:rPr>
                <w:sz w:val="17"/>
              </w:rPr>
              <w:t>Donor_2</w:t>
            </w:r>
          </w:p>
        </w:tc>
        <w:tc>
          <w:tcPr>
            <w:tcW w:type="dxa" w:w="1560"/>
          </w:tcPr>
          <w:p>
            <w:r/>
            <w:r>
              <w:rPr>
                <w:sz w:val="17"/>
              </w:rPr>
              <w:t>HBM994.NXZC.854</w:t>
            </w:r>
          </w:p>
        </w:tc>
        <w:tc>
          <w:tcPr>
            <w:tcW w:type="dxa" w:w="1560"/>
          </w:tcPr>
          <w:p>
            <w:r/>
            <w:r>
              <w:rPr>
                <w:sz w:val="17"/>
              </w:rPr>
              <w:t>HBM473.NKMR.872</w:t>
            </w:r>
          </w:p>
        </w:tc>
        <w:tc>
          <w:tcPr>
            <w:tcW w:type="dxa" w:w="1560"/>
          </w:tcPr>
          <w:p>
            <w:r/>
            <w:r>
              <w:rPr>
                <w:sz w:val="17"/>
              </w:rPr>
              <w:t>5000</w:t>
            </w:r>
          </w:p>
        </w:tc>
        <w:tc>
          <w:tcPr>
            <w:tcW w:type="dxa" w:w="1560"/>
          </w:tcPr>
          <w:p>
            <w:r/>
            <w:r>
              <w:rPr>
                <w:sz w:val="17"/>
              </w:rPr>
              <w:t>49754</w:t>
            </w:r>
          </w:p>
        </w:tc>
        <w:tc>
          <w:tcPr>
            <w:tcW w:type="dxa" w:w="1560"/>
          </w:tcPr>
          <w:p>
            <w:r/>
            <w:r>
              <w:rPr>
                <w:sz w:val="17"/>
              </w:rPr>
              <w:t>data/processed/hubmap/module1_HBM473.NKMR.872_qc_preprocessed.h5ad</w:t>
            </w:r>
          </w:p>
        </w:tc>
      </w:tr>
      <w:tr>
        <w:tc>
          <w:tcPr>
            <w:tcW w:type="dxa" w:w="1560"/>
          </w:tcPr>
          <w:p>
            <w:r/>
            <w:r>
              <w:rPr>
                <w:sz w:val="17"/>
              </w:rPr>
              <w:t>Donor_3</w:t>
            </w:r>
          </w:p>
        </w:tc>
        <w:tc>
          <w:tcPr>
            <w:tcW w:type="dxa" w:w="1560"/>
          </w:tcPr>
          <w:p>
            <w:r/>
            <w:r>
              <w:rPr>
                <w:sz w:val="17"/>
              </w:rPr>
              <w:t>HBM643.KCCK.866</w:t>
            </w:r>
          </w:p>
        </w:tc>
        <w:tc>
          <w:tcPr>
            <w:tcW w:type="dxa" w:w="1560"/>
          </w:tcPr>
          <w:p>
            <w:r/>
            <w:r>
              <w:rPr>
                <w:sz w:val="17"/>
              </w:rPr>
              <w:t>HBM484.RGWP.797</w:t>
            </w:r>
          </w:p>
        </w:tc>
        <w:tc>
          <w:tcPr>
            <w:tcW w:type="dxa" w:w="1560"/>
          </w:tcPr>
          <w:p>
            <w:r/>
            <w:r>
              <w:rPr>
                <w:sz w:val="17"/>
              </w:rPr>
              <w:t>5000</w:t>
            </w:r>
          </w:p>
        </w:tc>
        <w:tc>
          <w:tcPr>
            <w:tcW w:type="dxa" w:w="1560"/>
          </w:tcPr>
          <w:p>
            <w:r/>
            <w:r>
              <w:rPr>
                <w:sz w:val="17"/>
              </w:rPr>
              <w:t>53014</w:t>
            </w:r>
          </w:p>
        </w:tc>
        <w:tc>
          <w:tcPr>
            <w:tcW w:type="dxa" w:w="1560"/>
          </w:tcPr>
          <w:p>
            <w:r/>
            <w:r>
              <w:rPr>
                <w:sz w:val="17"/>
              </w:rPr>
              <w:t>data/processed/hubmap/module1_HBM484.RGWP.797_qc_preprocessed.h5ad</w:t>
            </w:r>
          </w:p>
        </w:tc>
      </w:tr>
      <w:tr>
        <w:tc>
          <w:tcPr>
            <w:tcW w:type="dxa" w:w="1560"/>
          </w:tcPr>
          <w:p>
            <w:r/>
            <w:r>
              <w:rPr>
                <w:sz w:val="17"/>
              </w:rPr>
              <w:t>Donor_4</w:t>
            </w:r>
          </w:p>
        </w:tc>
        <w:tc>
          <w:tcPr>
            <w:tcW w:type="dxa" w:w="1560"/>
          </w:tcPr>
          <w:p>
            <w:r/>
            <w:r>
              <w:rPr>
                <w:sz w:val="17"/>
              </w:rPr>
              <w:t>HBM428.GRPJ.489</w:t>
            </w:r>
          </w:p>
        </w:tc>
        <w:tc>
          <w:tcPr>
            <w:tcW w:type="dxa" w:w="1560"/>
          </w:tcPr>
          <w:p>
            <w:r/>
            <w:r>
              <w:rPr>
                <w:sz w:val="17"/>
              </w:rPr>
              <w:t>HBM379.QCJT.435</w:t>
            </w:r>
          </w:p>
        </w:tc>
        <w:tc>
          <w:tcPr>
            <w:tcW w:type="dxa" w:w="1560"/>
          </w:tcPr>
          <w:p>
            <w:r/>
            <w:r>
              <w:rPr>
                <w:sz w:val="17"/>
              </w:rPr>
              <w:t>5000</w:t>
            </w:r>
          </w:p>
        </w:tc>
        <w:tc>
          <w:tcPr>
            <w:tcW w:type="dxa" w:w="1560"/>
          </w:tcPr>
          <w:p>
            <w:r/>
            <w:r>
              <w:rPr>
                <w:sz w:val="17"/>
              </w:rPr>
              <w:t>47770</w:t>
            </w:r>
          </w:p>
        </w:tc>
        <w:tc>
          <w:tcPr>
            <w:tcW w:type="dxa" w:w="1560"/>
          </w:tcPr>
          <w:p>
            <w:r/>
            <w:r>
              <w:rPr>
                <w:sz w:val="17"/>
              </w:rPr>
              <w:t>data/processed/hubmap/module1_HBM379.QCJT.435_qc_preprocessed.h5ad</w:t>
            </w:r>
          </w:p>
        </w:tc>
      </w:tr>
    </w:tbl>
    <w:p>
      <w:r>
        <w:rPr>
          <w:i/>
          <w:color w:val="444444"/>
          <w:sz w:val="17"/>
        </w:rPr>
        <w:t>Source: module2_donor_composition_summary.tsv</w:t>
      </w:r>
    </w:p>
    <w:p>
      <w:pPr>
        <w:spacing w:after="140"/>
      </w:pPr>
      <w:r>
        <w:rPr>
          <w:sz w:val="21"/>
        </w:rPr>
        <w:t xml:space="preserve">Concatenation keeps 18,884 nuclei: 3,884 from Donor_1 and 5,000 each from Donor_2, Donor_3, and Donor_4, at the </w:t>
      </w:r>
      <w:r>
        <w:rPr>
          <w:rFonts w:ascii="Menlo" w:hAnsi="Menlo"/>
          <w:color w:val="1A3E6E"/>
          <w:sz w:val="19"/>
        </w:rPr>
        <w:t>module1.max_nuclei</w:t>
      </w:r>
      <w:r>
        <w:rPr>
          <w:sz w:val="21"/>
        </w:rPr>
        <w:t xml:space="preserve"> teaching cap. Coarse mapping sorts them into four uneven </w:t>
      </w:r>
      <w:r>
        <w:rPr>
          <w:rFonts w:ascii="Menlo" w:hAnsi="Menlo"/>
          <w:color w:val="1A3E6E"/>
          <w:sz w:val="19"/>
        </w:rPr>
        <w:t>cell_class</w:t>
      </w:r>
      <w:r>
        <w:rPr>
          <w:sz w:val="21"/>
        </w:rPr>
        <w:t xml:space="preserve"> buckets: 6,928 epithelial, 6,205 endothelial, 3,190 stromal, and 2,556 immune. A fifth group of 5 unlabeled nuclei falls under the </w:t>
      </w:r>
      <w:r>
        <w:rPr>
          <w:rFonts w:ascii="Menlo" w:hAnsi="Menlo"/>
          <w:color w:val="1A3E6E"/>
          <w:sz w:val="19"/>
        </w:rPr>
        <w:t>min_cells_per_group</w:t>
      </w:r>
      <w:r>
        <w:rPr>
          <w:sz w:val="21"/>
        </w:rPr>
        <w:t xml:space="preserve"> floor of 50 and is dropped, leaving 18,879 nuclei for DE.</w:t>
      </w:r>
    </w:p>
    <w:p>
      <w:pPr>
        <w:pStyle w:val="Heading4"/>
      </w:pPr>
      <w:r>
        <w:rPr>
          <w:color w:val="1F4E79"/>
        </w:rPr>
        <w:t>Harmony mixing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embedding</w:t>
            </w:r>
          </w:p>
        </w:tc>
        <w:tc>
          <w:tcPr>
            <w:tcW w:type="dxa" w:w="1872"/>
            <w:shd w:val="clear" w:fill="DCE6F1"/>
          </w:tcPr>
          <w:p>
            <w:r/>
            <w:r>
              <w:rPr>
                <w:b/>
                <w:sz w:val="17"/>
              </w:rPr>
              <w:t>k</w:t>
            </w:r>
          </w:p>
        </w:tc>
        <w:tc>
          <w:tcPr>
            <w:tcW w:type="dxa" w:w="1872"/>
            <w:shd w:val="clear" w:fill="DCE6F1"/>
          </w:tcPr>
          <w:p>
            <w:r/>
            <w:r>
              <w:rPr>
                <w:b/>
                <w:sz w:val="17"/>
              </w:rPr>
              <w:t>n_cells_scored</w:t>
            </w:r>
          </w:p>
        </w:tc>
        <w:tc>
          <w:tcPr>
            <w:tcW w:type="dxa" w:w="1872"/>
            <w:shd w:val="clear" w:fill="DCE6F1"/>
          </w:tcPr>
          <w:p>
            <w:r/>
            <w:r>
              <w:rPr>
                <w:b/>
                <w:sz w:val="17"/>
              </w:rPr>
              <w:t>mean_foreign_donor_knn_fraction</w:t>
            </w:r>
          </w:p>
        </w:tc>
        <w:tc>
          <w:tcPr>
            <w:tcW w:type="dxa" w:w="1872"/>
            <w:shd w:val="clear" w:fill="DCE6F1"/>
          </w:tcPr>
          <w:p>
            <w:r/>
            <w:r>
              <w:rPr>
                <w:b/>
                <w:sz w:val="17"/>
              </w:rPr>
              <w:t>median_foreign_donor_knn_fraction</w:t>
            </w:r>
          </w:p>
        </w:tc>
      </w:tr>
      <w:tr>
        <w:tc>
          <w:tcPr>
            <w:tcW w:type="dxa" w:w="1872"/>
          </w:tcPr>
          <w:p>
            <w:r/>
            <w:r>
              <w:rPr>
                <w:sz w:val="17"/>
              </w:rPr>
              <w:t>X_pca</w:t>
            </w:r>
          </w:p>
        </w:tc>
        <w:tc>
          <w:tcPr>
            <w:tcW w:type="dxa" w:w="1872"/>
          </w:tcPr>
          <w:p>
            <w:r/>
            <w:r>
              <w:rPr>
                <w:sz w:val="17"/>
              </w:rPr>
              <w:t>30</w:t>
            </w:r>
          </w:p>
        </w:tc>
        <w:tc>
          <w:tcPr>
            <w:tcW w:type="dxa" w:w="1872"/>
          </w:tcPr>
          <w:p>
            <w:r/>
            <w:r>
              <w:rPr>
                <w:sz w:val="17"/>
              </w:rPr>
              <w:t>8000</w:t>
            </w:r>
          </w:p>
        </w:tc>
        <w:tc>
          <w:tcPr>
            <w:tcW w:type="dxa" w:w="1872"/>
          </w:tcPr>
          <w:p>
            <w:r/>
            <w:r>
              <w:rPr>
                <w:sz w:val="17"/>
              </w:rPr>
              <w:t>0.394337</w:t>
            </w:r>
          </w:p>
        </w:tc>
        <w:tc>
          <w:tcPr>
            <w:tcW w:type="dxa" w:w="1872"/>
          </w:tcPr>
          <w:p>
            <w:r/>
            <w:r>
              <w:rPr>
                <w:sz w:val="17"/>
              </w:rPr>
              <w:t>0.4</w:t>
            </w:r>
          </w:p>
        </w:tc>
      </w:tr>
      <w:tr>
        <w:tc>
          <w:tcPr>
            <w:tcW w:type="dxa" w:w="1872"/>
          </w:tcPr>
          <w:p>
            <w:r/>
            <w:r>
              <w:rPr>
                <w:sz w:val="17"/>
              </w:rPr>
              <w:t>X_pca_harmony</w:t>
            </w:r>
          </w:p>
        </w:tc>
        <w:tc>
          <w:tcPr>
            <w:tcW w:type="dxa" w:w="1872"/>
          </w:tcPr>
          <w:p>
            <w:r/>
            <w:r>
              <w:rPr>
                <w:sz w:val="17"/>
              </w:rPr>
              <w:t>30</w:t>
            </w:r>
          </w:p>
        </w:tc>
        <w:tc>
          <w:tcPr>
            <w:tcW w:type="dxa" w:w="1872"/>
          </w:tcPr>
          <w:p>
            <w:r/>
            <w:r>
              <w:rPr>
                <w:sz w:val="17"/>
              </w:rPr>
              <w:t>8000</w:t>
            </w:r>
          </w:p>
        </w:tc>
        <w:tc>
          <w:tcPr>
            <w:tcW w:type="dxa" w:w="1872"/>
          </w:tcPr>
          <w:p>
            <w:r/>
            <w:r>
              <w:rPr>
                <w:sz w:val="17"/>
              </w:rPr>
              <w:t>0.685058</w:t>
            </w:r>
          </w:p>
        </w:tc>
        <w:tc>
          <w:tcPr>
            <w:tcW w:type="dxa" w:w="1872"/>
          </w:tcPr>
          <w:p>
            <w:r/>
            <w:r>
              <w:rPr>
                <w:sz w:val="17"/>
              </w:rPr>
              <w:t>0.7</w:t>
            </w:r>
          </w:p>
        </w:tc>
      </w:tr>
    </w:tbl>
    <w:p>
      <w:r>
        <w:rPr>
          <w:i/>
          <w:color w:val="444444"/>
          <w:sz w:val="17"/>
        </w:rPr>
        <w:t>Source: module2_harmony_mixing_metrics.tsv</w:t>
      </w:r>
    </w:p>
    <w:p>
      <w:pPr>
        <w:spacing w:after="140"/>
      </w:pPr>
      <w:r>
        <w:rPr>
          <w:sz w:val="21"/>
        </w:rPr>
        <w:t xml:space="preserve">Mean foreign-donor kNN fraction rises from 0.394 on </w:t>
      </w:r>
      <w:r>
        <w:rPr>
          <w:rFonts w:ascii="Menlo" w:hAnsi="Menlo"/>
          <w:color w:val="1A3E6E"/>
          <w:sz w:val="19"/>
        </w:rPr>
        <w:t>X_pca</w:t>
      </w:r>
      <w:r>
        <w:rPr>
          <w:sz w:val="21"/>
        </w:rPr>
        <w:t xml:space="preserve"> to 0.685 on </w:t>
      </w:r>
      <w:r>
        <w:rPr>
          <w:rFonts w:ascii="Menlo" w:hAnsi="Menlo"/>
          <w:color w:val="1A3E6E"/>
          <w:sz w:val="19"/>
        </w:rPr>
        <w:t>X_pca_harmony</w:t>
      </w:r>
      <w:r>
        <w:rPr>
          <w:sz w:val="21"/>
        </w:rPr>
        <w:t xml:space="preserve"> at k=30 across 8,000 scored cells, and the median moves from 0.40 to 0.70. That is the mixing claim, and it is a global average.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label</w:t>
            </w:r>
          </w:p>
        </w:tc>
        <w:tc>
          <w:tcPr>
            <w:tcW w:type="dxa" w:w="1872"/>
            <w:shd w:val="clear" w:fill="DCE6F1"/>
          </w:tcPr>
          <w:p>
            <w:r/>
            <w:r>
              <w:rPr>
                <w:b/>
                <w:sz w:val="17"/>
              </w:rPr>
              <w:t>embedding</w:t>
            </w:r>
          </w:p>
        </w:tc>
        <w:tc>
          <w:tcPr>
            <w:tcW w:type="dxa" w:w="1872"/>
            <w:shd w:val="clear" w:fill="DCE6F1"/>
          </w:tcPr>
          <w:p>
            <w:r/>
            <w:r>
              <w:rPr>
                <w:b/>
                <w:sz w:val="17"/>
              </w:rPr>
              <w:t>n_cells</w:t>
            </w:r>
          </w:p>
        </w:tc>
        <w:tc>
          <w:tcPr>
            <w:tcW w:type="dxa" w:w="1872"/>
            <w:shd w:val="clear" w:fill="DCE6F1"/>
          </w:tcPr>
          <w:p>
            <w:r/>
            <w:r>
              <w:rPr>
                <w:b/>
                <w:sz w:val="17"/>
              </w:rPr>
              <w:t>n_donors</w:t>
            </w:r>
          </w:p>
        </w:tc>
        <w:tc>
          <w:tcPr>
            <w:tcW w:type="dxa" w:w="1872"/>
            <w:shd w:val="clear" w:fill="DCE6F1"/>
          </w:tcPr>
          <w:p>
            <w:r/>
            <w:r>
              <w:rPr>
                <w:b/>
                <w:sz w:val="17"/>
              </w:rPr>
              <w:t>silhouette_donor</w:t>
            </w:r>
          </w:p>
        </w:tc>
      </w:tr>
      <w:tr>
        <w:tc>
          <w:tcPr>
            <w:tcW w:type="dxa" w:w="1872"/>
          </w:tcPr>
          <w:p>
            <w:r/>
            <w:r>
              <w:rPr>
                <w:sz w:val="17"/>
              </w:rPr>
              <w:t>endothelial</w:t>
            </w:r>
          </w:p>
        </w:tc>
        <w:tc>
          <w:tcPr>
            <w:tcW w:type="dxa" w:w="1872"/>
          </w:tcPr>
          <w:p>
            <w:r/>
            <w:r>
              <w:rPr>
                <w:sz w:val="17"/>
              </w:rPr>
              <w:t>X_pca</w:t>
            </w:r>
          </w:p>
        </w:tc>
        <w:tc>
          <w:tcPr>
            <w:tcW w:type="dxa" w:w="1872"/>
          </w:tcPr>
          <w:p>
            <w:r/>
            <w:r>
              <w:rPr>
                <w:sz w:val="17"/>
              </w:rPr>
              <w:t>6205</w:t>
            </w:r>
          </w:p>
        </w:tc>
        <w:tc>
          <w:tcPr>
            <w:tcW w:type="dxa" w:w="1872"/>
          </w:tcPr>
          <w:p>
            <w:r/>
            <w:r>
              <w:rPr>
                <w:sz w:val="17"/>
              </w:rPr>
              <w:t>4</w:t>
            </w:r>
          </w:p>
        </w:tc>
        <w:tc>
          <w:tcPr>
            <w:tcW w:type="dxa" w:w="1872"/>
          </w:tcPr>
          <w:p>
            <w:r/>
            <w:r>
              <w:rPr>
                <w:sz w:val="17"/>
              </w:rPr>
              <w:t>0.004068</w:t>
            </w:r>
          </w:p>
        </w:tc>
      </w:tr>
      <w:tr>
        <w:tc>
          <w:tcPr>
            <w:tcW w:type="dxa" w:w="1872"/>
          </w:tcPr>
          <w:p>
            <w:r/>
            <w:r>
              <w:rPr>
                <w:sz w:val="17"/>
              </w:rPr>
              <w:t>endothelial</w:t>
            </w:r>
          </w:p>
        </w:tc>
        <w:tc>
          <w:tcPr>
            <w:tcW w:type="dxa" w:w="1872"/>
          </w:tcPr>
          <w:p>
            <w:r/>
            <w:r>
              <w:rPr>
                <w:sz w:val="17"/>
              </w:rPr>
              <w:t>X_pca_harmony</w:t>
            </w:r>
          </w:p>
        </w:tc>
        <w:tc>
          <w:tcPr>
            <w:tcW w:type="dxa" w:w="1872"/>
          </w:tcPr>
          <w:p>
            <w:r/>
            <w:r>
              <w:rPr>
                <w:sz w:val="17"/>
              </w:rPr>
              <w:t>6205</w:t>
            </w:r>
          </w:p>
        </w:tc>
        <w:tc>
          <w:tcPr>
            <w:tcW w:type="dxa" w:w="1872"/>
          </w:tcPr>
          <w:p>
            <w:r/>
            <w:r>
              <w:rPr>
                <w:sz w:val="17"/>
              </w:rPr>
              <w:t>4</w:t>
            </w:r>
          </w:p>
        </w:tc>
        <w:tc>
          <w:tcPr>
            <w:tcW w:type="dxa" w:w="1872"/>
          </w:tcPr>
          <w:p>
            <w:r/>
            <w:r>
              <w:rPr>
                <w:sz w:val="17"/>
              </w:rPr>
              <w:t>-0.014194</w:t>
            </w:r>
          </w:p>
        </w:tc>
      </w:tr>
      <w:tr>
        <w:tc>
          <w:tcPr>
            <w:tcW w:type="dxa" w:w="1872"/>
          </w:tcPr>
          <w:p>
            <w:r/>
            <w:r>
              <w:rPr>
                <w:sz w:val="17"/>
              </w:rPr>
              <w:t>epithelial</w:t>
            </w:r>
          </w:p>
        </w:tc>
        <w:tc>
          <w:tcPr>
            <w:tcW w:type="dxa" w:w="1872"/>
          </w:tcPr>
          <w:p>
            <w:r/>
            <w:r>
              <w:rPr>
                <w:sz w:val="17"/>
              </w:rPr>
              <w:t>X_pca</w:t>
            </w:r>
          </w:p>
        </w:tc>
        <w:tc>
          <w:tcPr>
            <w:tcW w:type="dxa" w:w="1872"/>
          </w:tcPr>
          <w:p>
            <w:r/>
            <w:r>
              <w:rPr>
                <w:sz w:val="17"/>
              </w:rPr>
              <w:t>6928</w:t>
            </w:r>
          </w:p>
        </w:tc>
        <w:tc>
          <w:tcPr>
            <w:tcW w:type="dxa" w:w="1872"/>
          </w:tcPr>
          <w:p>
            <w:r/>
            <w:r>
              <w:rPr>
                <w:sz w:val="17"/>
              </w:rPr>
              <w:t>4</w:t>
            </w:r>
          </w:p>
        </w:tc>
        <w:tc>
          <w:tcPr>
            <w:tcW w:type="dxa" w:w="1872"/>
          </w:tcPr>
          <w:p>
            <w:r/>
            <w:r>
              <w:rPr>
                <w:sz w:val="17"/>
              </w:rPr>
              <w:t>-0.007476</w:t>
            </w:r>
          </w:p>
        </w:tc>
      </w:tr>
      <w:tr>
        <w:tc>
          <w:tcPr>
            <w:tcW w:type="dxa" w:w="1872"/>
          </w:tcPr>
          <w:p>
            <w:r/>
            <w:r>
              <w:rPr>
                <w:sz w:val="17"/>
              </w:rPr>
              <w:t>epithelial</w:t>
            </w:r>
          </w:p>
        </w:tc>
        <w:tc>
          <w:tcPr>
            <w:tcW w:type="dxa" w:w="1872"/>
          </w:tcPr>
          <w:p>
            <w:r/>
            <w:r>
              <w:rPr>
                <w:sz w:val="17"/>
              </w:rPr>
              <w:t>X_pca_harmony</w:t>
            </w:r>
          </w:p>
        </w:tc>
        <w:tc>
          <w:tcPr>
            <w:tcW w:type="dxa" w:w="1872"/>
          </w:tcPr>
          <w:p>
            <w:r/>
            <w:r>
              <w:rPr>
                <w:sz w:val="17"/>
              </w:rPr>
              <w:t>6928</w:t>
            </w:r>
          </w:p>
        </w:tc>
        <w:tc>
          <w:tcPr>
            <w:tcW w:type="dxa" w:w="1872"/>
          </w:tcPr>
          <w:p>
            <w:r/>
            <w:r>
              <w:rPr>
                <w:sz w:val="17"/>
              </w:rPr>
              <w:t>4</w:t>
            </w:r>
          </w:p>
        </w:tc>
        <w:tc>
          <w:tcPr>
            <w:tcW w:type="dxa" w:w="1872"/>
          </w:tcPr>
          <w:p>
            <w:r/>
            <w:r>
              <w:rPr>
                <w:sz w:val="17"/>
              </w:rPr>
              <w:t>-0.039982</w:t>
            </w:r>
          </w:p>
        </w:tc>
      </w:tr>
      <w:tr>
        <w:tc>
          <w:tcPr>
            <w:tcW w:type="dxa" w:w="1872"/>
          </w:tcPr>
          <w:p>
            <w:r/>
            <w:r>
              <w:rPr>
                <w:sz w:val="17"/>
              </w:rPr>
              <w:t>immune</w:t>
            </w:r>
          </w:p>
        </w:tc>
        <w:tc>
          <w:tcPr>
            <w:tcW w:type="dxa" w:w="1872"/>
          </w:tcPr>
          <w:p>
            <w:r/>
            <w:r>
              <w:rPr>
                <w:sz w:val="17"/>
              </w:rPr>
              <w:t>X_pca</w:t>
            </w:r>
          </w:p>
        </w:tc>
        <w:tc>
          <w:tcPr>
            <w:tcW w:type="dxa" w:w="1872"/>
          </w:tcPr>
          <w:p>
            <w:r/>
            <w:r>
              <w:rPr>
                <w:sz w:val="17"/>
              </w:rPr>
              <w:t>2556</w:t>
            </w:r>
          </w:p>
        </w:tc>
        <w:tc>
          <w:tcPr>
            <w:tcW w:type="dxa" w:w="1872"/>
          </w:tcPr>
          <w:p>
            <w:r/>
            <w:r>
              <w:rPr>
                <w:sz w:val="17"/>
              </w:rPr>
              <w:t>4</w:t>
            </w:r>
          </w:p>
        </w:tc>
        <w:tc>
          <w:tcPr>
            <w:tcW w:type="dxa" w:w="1872"/>
          </w:tcPr>
          <w:p>
            <w:r/>
            <w:r>
              <w:rPr>
                <w:sz w:val="17"/>
              </w:rPr>
              <w:t>-0.029976</w:t>
            </w:r>
          </w:p>
        </w:tc>
      </w:tr>
      <w:tr>
        <w:tc>
          <w:tcPr>
            <w:tcW w:type="dxa" w:w="1872"/>
          </w:tcPr>
          <w:p>
            <w:r/>
            <w:r>
              <w:rPr>
                <w:sz w:val="17"/>
              </w:rPr>
              <w:t>immune</w:t>
            </w:r>
          </w:p>
        </w:tc>
        <w:tc>
          <w:tcPr>
            <w:tcW w:type="dxa" w:w="1872"/>
          </w:tcPr>
          <w:p>
            <w:r/>
            <w:r>
              <w:rPr>
                <w:sz w:val="17"/>
              </w:rPr>
              <w:t>X_pca_harmony</w:t>
            </w:r>
          </w:p>
        </w:tc>
        <w:tc>
          <w:tcPr>
            <w:tcW w:type="dxa" w:w="1872"/>
          </w:tcPr>
          <w:p>
            <w:r/>
            <w:r>
              <w:rPr>
                <w:sz w:val="17"/>
              </w:rPr>
              <w:t>2556</w:t>
            </w:r>
          </w:p>
        </w:tc>
        <w:tc>
          <w:tcPr>
            <w:tcW w:type="dxa" w:w="1872"/>
          </w:tcPr>
          <w:p>
            <w:r/>
            <w:r>
              <w:rPr>
                <w:sz w:val="17"/>
              </w:rPr>
              <w:t>4</w:t>
            </w:r>
          </w:p>
        </w:tc>
        <w:tc>
          <w:tcPr>
            <w:tcW w:type="dxa" w:w="1872"/>
          </w:tcPr>
          <w:p>
            <w:r/>
            <w:r>
              <w:rPr>
                <w:sz w:val="17"/>
              </w:rPr>
              <w:t>-0.023069</w:t>
            </w:r>
          </w:p>
        </w:tc>
      </w:tr>
      <w:tr>
        <w:tc>
          <w:tcPr>
            <w:tcW w:type="dxa" w:w="1872"/>
          </w:tcPr>
          <w:p>
            <w:r/>
            <w:r>
              <w:rPr>
                <w:sz w:val="17"/>
              </w:rPr>
              <w:t>stromal</w:t>
            </w:r>
          </w:p>
        </w:tc>
        <w:tc>
          <w:tcPr>
            <w:tcW w:type="dxa" w:w="1872"/>
          </w:tcPr>
          <w:p>
            <w:r/>
            <w:r>
              <w:rPr>
                <w:sz w:val="17"/>
              </w:rPr>
              <w:t>X_pca</w:t>
            </w:r>
          </w:p>
        </w:tc>
        <w:tc>
          <w:tcPr>
            <w:tcW w:type="dxa" w:w="1872"/>
          </w:tcPr>
          <w:p>
            <w:r/>
            <w:r>
              <w:rPr>
                <w:sz w:val="17"/>
              </w:rPr>
              <w:t>3190</w:t>
            </w:r>
          </w:p>
        </w:tc>
        <w:tc>
          <w:tcPr>
            <w:tcW w:type="dxa" w:w="1872"/>
          </w:tcPr>
          <w:p>
            <w:r/>
            <w:r>
              <w:rPr>
                <w:sz w:val="17"/>
              </w:rPr>
              <w:t>4</w:t>
            </w:r>
          </w:p>
        </w:tc>
        <w:tc>
          <w:tcPr>
            <w:tcW w:type="dxa" w:w="1872"/>
          </w:tcPr>
          <w:p>
            <w:r/>
            <w:r>
              <w:rPr>
                <w:sz w:val="17"/>
              </w:rPr>
              <w:t>0.011961</w:t>
            </w:r>
          </w:p>
        </w:tc>
      </w:tr>
      <w:tr>
        <w:tc>
          <w:tcPr>
            <w:tcW w:type="dxa" w:w="1872"/>
          </w:tcPr>
          <w:p>
            <w:r/>
            <w:r>
              <w:rPr>
                <w:sz w:val="17"/>
              </w:rPr>
              <w:t>stromal</w:t>
            </w:r>
          </w:p>
        </w:tc>
        <w:tc>
          <w:tcPr>
            <w:tcW w:type="dxa" w:w="1872"/>
          </w:tcPr>
          <w:p>
            <w:r/>
            <w:r>
              <w:rPr>
                <w:sz w:val="17"/>
              </w:rPr>
              <w:t>X_pca_harmony</w:t>
            </w:r>
          </w:p>
        </w:tc>
        <w:tc>
          <w:tcPr>
            <w:tcW w:type="dxa" w:w="1872"/>
          </w:tcPr>
          <w:p>
            <w:r/>
            <w:r>
              <w:rPr>
                <w:sz w:val="17"/>
              </w:rPr>
              <w:t>3190</w:t>
            </w:r>
          </w:p>
        </w:tc>
        <w:tc>
          <w:tcPr>
            <w:tcW w:type="dxa" w:w="1872"/>
          </w:tcPr>
          <w:p>
            <w:r/>
            <w:r>
              <w:rPr>
                <w:sz w:val="17"/>
              </w:rPr>
              <w:t>4</w:t>
            </w:r>
          </w:p>
        </w:tc>
        <w:tc>
          <w:tcPr>
            <w:tcW w:type="dxa" w:w="1872"/>
          </w:tcPr>
          <w:p>
            <w:r/>
            <w:r>
              <w:rPr>
                <w:sz w:val="17"/>
              </w:rPr>
              <w:t>-0.027011</w:t>
            </w:r>
          </w:p>
        </w:tc>
      </w:tr>
    </w:tbl>
    <w:p>
      <w:r>
        <w:rPr>
          <w:i/>
          <w:color w:val="444444"/>
          <w:sz w:val="17"/>
        </w:rPr>
        <w:t>Source: module2_harmony_silhouette_by_celltype.tsv</w:t>
      </w:r>
    </w:p>
    <w:p>
      <w:pPr>
        <w:spacing w:after="140"/>
      </w:pPr>
      <w:r>
        <w:rPr>
          <w:sz w:val="21"/>
        </w:rPr>
        <w:t>Per compartment, agreement is not unanimous. Donor silhouette falls after Harmony in three: endothelial 0.004 to -0.014, stromal 0.012 to -0.027, epithelial -0.007 to -0.040. Immune moves the opposite way, from -0.030 up to -0.023, toward zero. Immune is the smallest compartment and was already the best mixed before correction. Quote the exception rather than averaging it into the global number.</w:t>
      </w:r>
    </w:p>
    <w:p>
      <w:pPr>
        <w:jc w:val="center"/>
      </w:pPr>
      <w:r>
        <w:drawing>
          <wp:inline xmlns:a="http://schemas.openxmlformats.org/drawingml/2006/main" xmlns:pic="http://schemas.openxmlformats.org/drawingml/2006/picture">
            <wp:extent cx="5943600" cy="1771544"/>
            <wp:docPr id="1" name="Picture 1"/>
            <wp:cNvGraphicFramePr>
              <a:graphicFrameLocks noChangeAspect="1"/>
            </wp:cNvGraphicFramePr>
            <a:graphic>
              <a:graphicData uri="http://schemas.openxmlformats.org/drawingml/2006/picture">
                <pic:pic>
                  <pic:nvPicPr>
                    <pic:cNvPr id="0" name="module2_umap_before_harmony.png"/>
                    <pic:cNvPicPr/>
                  </pic:nvPicPr>
                  <pic:blipFill>
                    <a:blip r:embed="rId10"/>
                    <a:stretch>
                      <a:fillRect/>
                    </a:stretch>
                  </pic:blipFill>
                  <pic:spPr>
                    <a:xfrm>
                      <a:off x="0" y="0"/>
                      <a:ext cx="5943600" cy="1771544"/>
                    </a:xfrm>
                    <a:prstGeom prst="rect"/>
                  </pic:spPr>
                </pic:pic>
              </a:graphicData>
            </a:graphic>
          </wp:inline>
        </w:drawing>
      </w:r>
    </w:p>
    <w:p>
      <w:pPr>
        <w:jc w:val="center"/>
      </w:pPr>
      <w:r>
        <w:rPr>
          <w:i/>
          <w:color w:val="444444"/>
          <w:sz w:val="18"/>
        </w:rPr>
        <w:t>UMAP before Harmony colored by donor</w:t>
      </w:r>
    </w:p>
    <w:p>
      <w:pPr>
        <w:jc w:val="center"/>
      </w:pPr>
      <w:r>
        <w:drawing>
          <wp:inline xmlns:a="http://schemas.openxmlformats.org/drawingml/2006/main" xmlns:pic="http://schemas.openxmlformats.org/drawingml/2006/picture">
            <wp:extent cx="5943600" cy="1771544"/>
            <wp:docPr id="2" name="Picture 2"/>
            <wp:cNvGraphicFramePr>
              <a:graphicFrameLocks noChangeAspect="1"/>
            </wp:cNvGraphicFramePr>
            <a:graphic>
              <a:graphicData uri="http://schemas.openxmlformats.org/drawingml/2006/picture">
                <pic:pic>
                  <pic:nvPicPr>
                    <pic:cNvPr id="0" name="module2_umap_after_harmony.png"/>
                    <pic:cNvPicPr/>
                  </pic:nvPicPr>
                  <pic:blipFill>
                    <a:blip r:embed="rId11"/>
                    <a:stretch>
                      <a:fillRect/>
                    </a:stretch>
                  </pic:blipFill>
                  <pic:spPr>
                    <a:xfrm>
                      <a:off x="0" y="0"/>
                      <a:ext cx="5943600" cy="1771544"/>
                    </a:xfrm>
                    <a:prstGeom prst="rect"/>
                  </pic:spPr>
                </pic:pic>
              </a:graphicData>
            </a:graphic>
          </wp:inline>
        </w:drawing>
      </w:r>
    </w:p>
    <w:p>
      <w:pPr>
        <w:jc w:val="center"/>
      </w:pPr>
      <w:r>
        <w:rPr>
          <w:i/>
          <w:color w:val="444444"/>
          <w:sz w:val="18"/>
        </w:rPr>
        <w:t>UMAP after Harmony colored by donor, the same view as the figure above</w:t>
      </w:r>
    </w:p>
    <w:p>
      <w:pPr>
        <w:jc w:val="center"/>
      </w:pPr>
      <w:r>
        <w:drawing>
          <wp:inline xmlns:a="http://schemas.openxmlformats.org/drawingml/2006/main" xmlns:pic="http://schemas.openxmlformats.org/drawingml/2006/picture">
            <wp:extent cx="5943600" cy="2657163"/>
            <wp:docPr id="3" name="Picture 3"/>
            <wp:cNvGraphicFramePr>
              <a:graphicFrameLocks noChangeAspect="1"/>
            </wp:cNvGraphicFramePr>
            <a:graphic>
              <a:graphicData uri="http://schemas.openxmlformats.org/drawingml/2006/picture">
                <pic:pic>
                  <pic:nvPicPr>
                    <pic:cNvPr id="0" name="module2_umap_label_comparison.png"/>
                    <pic:cNvPicPr/>
                  </pic:nvPicPr>
                  <pic:blipFill>
                    <a:blip r:embed="rId12"/>
                    <a:stretch>
                      <a:fillRect/>
                    </a:stretch>
                  </pic:blipFill>
                  <pic:spPr>
                    <a:xfrm>
                      <a:off x="0" y="0"/>
                      <a:ext cx="5943600" cy="2657163"/>
                    </a:xfrm>
                    <a:prstGeom prst="rect"/>
                  </pic:spPr>
                </pic:pic>
              </a:graphicData>
            </a:graphic>
          </wp:inline>
        </w:drawing>
      </w:r>
    </w:p>
    <w:p>
      <w:pPr>
        <w:jc w:val="center"/>
      </w:pPr>
      <w:r>
        <w:rPr>
          <w:i/>
          <w:color w:val="444444"/>
          <w:sz w:val="18"/>
        </w:rPr>
        <w:t>Side-by-side UMAP comparison of label views after Harmony</w:t>
      </w:r>
    </w:p>
    <w:p>
      <w:pPr>
        <w:pStyle w:val="Heading4"/>
      </w:pPr>
      <w:r>
        <w:rPr>
          <w:color w:val="1F4E79"/>
        </w:rPr>
        <w:t>Composition versus markers</w:t>
      </w:r>
    </w:p>
    <w:p>
      <w:pPr>
        <w:jc w:val="center"/>
      </w:pPr>
      <w:r>
        <w:drawing>
          <wp:inline xmlns:a="http://schemas.openxmlformats.org/drawingml/2006/main" xmlns:pic="http://schemas.openxmlformats.org/drawingml/2006/picture">
            <wp:extent cx="5943600" cy="3563115"/>
            <wp:docPr id="4" name="Picture 4"/>
            <wp:cNvGraphicFramePr>
              <a:graphicFrameLocks noChangeAspect="1"/>
            </wp:cNvGraphicFramePr>
            <a:graphic>
              <a:graphicData uri="http://schemas.openxmlformats.org/drawingml/2006/picture">
                <pic:pic>
                  <pic:nvPicPr>
                    <pic:cNvPr id="0" name="module2_hubmap_marker_heatmap.png"/>
                    <pic:cNvPicPr/>
                  </pic:nvPicPr>
                  <pic:blipFill>
                    <a:blip r:embed="rId13"/>
                    <a:stretch>
                      <a:fillRect/>
                    </a:stretch>
                  </pic:blipFill>
                  <pic:spPr>
                    <a:xfrm>
                      <a:off x="0" y="0"/>
                      <a:ext cx="5943600" cy="3563115"/>
                    </a:xfrm>
                    <a:prstGeom prst="rect"/>
                  </pic:spPr>
                </pic:pic>
              </a:graphicData>
            </a:graphic>
          </wp:inline>
        </w:drawing>
      </w:r>
    </w:p>
    <w:p>
      <w:pPr>
        <w:jc w:val="center"/>
      </w:pPr>
      <w:r>
        <w:rPr>
          <w:i/>
          <w:color w:val="444444"/>
          <w:sz w:val="18"/>
        </w:rPr>
        <w:t>Mean expression heatmap of known lung markers across coarse cell classes</w:t>
      </w:r>
    </w:p>
    <w:p>
      <w:pPr>
        <w:jc w:val="center"/>
      </w:pPr>
      <w:r>
        <w:drawing>
          <wp:inline xmlns:a="http://schemas.openxmlformats.org/drawingml/2006/main" xmlns:pic="http://schemas.openxmlformats.org/drawingml/2006/picture">
            <wp:extent cx="5943600" cy="2148878"/>
            <wp:docPr id="5" name="Picture 5"/>
            <wp:cNvGraphicFramePr>
              <a:graphicFrameLocks noChangeAspect="1"/>
            </wp:cNvGraphicFramePr>
            <a:graphic>
              <a:graphicData uri="http://schemas.openxmlformats.org/drawingml/2006/picture">
                <pic:pic>
                  <pic:nvPicPr>
                    <pic:cNvPr id="0" name="module2_known_marker_dotplot.png"/>
                    <pic:cNvPicPr/>
                  </pic:nvPicPr>
                  <pic:blipFill>
                    <a:blip r:embed="rId14"/>
                    <a:stretch>
                      <a:fillRect/>
                    </a:stretch>
                  </pic:blipFill>
                  <pic:spPr>
                    <a:xfrm>
                      <a:off x="0" y="0"/>
                      <a:ext cx="5943600" cy="2148878"/>
                    </a:xfrm>
                    <a:prstGeom prst="rect"/>
                  </pic:spPr>
                </pic:pic>
              </a:graphicData>
            </a:graphic>
          </wp:inline>
        </w:drawing>
      </w:r>
    </w:p>
    <w:p>
      <w:pPr>
        <w:jc w:val="center"/>
      </w:pPr>
      <w:r>
        <w:rPr>
          <w:i/>
          <w:color w:val="444444"/>
          <w:sz w:val="18"/>
        </w:rPr>
        <w:t>Dotplot of known lung marker genes by cell_class</w:t>
      </w:r>
    </w:p>
    <w:p>
      <w:pPr>
        <w:jc w:val="center"/>
      </w:pPr>
      <w:r>
        <w:drawing>
          <wp:inline xmlns:a="http://schemas.openxmlformats.org/drawingml/2006/main" xmlns:pic="http://schemas.openxmlformats.org/drawingml/2006/picture">
            <wp:extent cx="5943600" cy="2212396"/>
            <wp:docPr id="6" name="Picture 6"/>
            <wp:cNvGraphicFramePr>
              <a:graphicFrameLocks noChangeAspect="1"/>
            </wp:cNvGraphicFramePr>
            <a:graphic>
              <a:graphicData uri="http://schemas.openxmlformats.org/drawingml/2006/picture">
                <pic:pic>
                  <pic:nvPicPr>
                    <pic:cNvPr id="0" name="module2_marker_dotplot.png"/>
                    <pic:cNvPicPr/>
                  </pic:nvPicPr>
                  <pic:blipFill>
                    <a:blip r:embed="rId15"/>
                    <a:stretch>
                      <a:fillRect/>
                    </a:stretch>
                  </pic:blipFill>
                  <pic:spPr>
                    <a:xfrm>
                      <a:off x="0" y="0"/>
                      <a:ext cx="5943600" cy="2212396"/>
                    </a:xfrm>
                    <a:prstGeom prst="rect"/>
                  </pic:spPr>
                </pic:pic>
              </a:graphicData>
            </a:graphic>
          </wp:inline>
        </w:drawing>
      </w:r>
    </w:p>
    <w:p>
      <w:pPr>
        <w:jc w:val="center"/>
      </w:pPr>
      <w:r>
        <w:rPr>
          <w:i/>
          <w:color w:val="444444"/>
          <w:sz w:val="18"/>
        </w:rPr>
        <w:t>Dotplot of top Wilcoxon markers by cell_class</w:t>
      </w:r>
    </w:p>
    <w:p>
      <w:pPr>
        <w:spacing w:after="140"/>
      </w:pPr>
      <w:r>
        <w:rPr>
          <w:sz w:val="21"/>
        </w:rPr>
        <w:t>Wilcoxon ranking returns 9,921 rows. Under the module gates, adjusted p below 0.05 and log fold change above 0.25, 907 epithelial, 456 endothelial, 185 stromal, and 139 immune markers survive. Top ranks are lineage-appropriate but uneven: CLDN5 leads endothelial at log fold change 4.06, detected in 55.4 percent of endothelial nuclei versus 9.1 percent elsewhere, while SFTPC leads epithelial at 2.10 yet appears in 76.2 percent of the non-epithelial reference, which is ambient surfactant. Of 22 panel genes, 13 resolve by symbol and 21 by Ensembl ID; only KRT5 is missing from both.</w:t>
      </w:r>
    </w:p>
    <w:p>
      <w:pPr>
        <w:spacing w:after="140"/>
      </w:pPr>
      <w:r>
        <w:rPr>
          <w:sz w:val="21"/>
        </w:rPr>
        <w:t>Local ORA on 100 input genes per class returns 724 terms at adjusted p below 0.05 (endothelial 259, stromal 238, immune 190, epithelial 37); prerank GSEA returns 225 at FDR below 0.05. Some read as biology: Epithelial Mesenchymal Transition tops stromal at 19 of 143 genes. Two do not. Hallmark Estrogen Response Early is a top epithelial term at 9 of 143, adjusted p 6.5e-06, and Hallmark Allograft Rejection tops immune at 14 of 127, adjusted p 8.7e-13, in lung with no transplant anywhere. Both are real output of this run and both are gene-overlap artifacts.</w:t>
      </w:r>
    </w:p>
    <w:p>
      <w:pPr>
        <w:spacing w:after="140"/>
      </w:pPr>
      <w:r>
        <w:rPr>
          <w:sz w:val="21"/>
        </w:rPr>
        <w:t xml:space="preserve">Full tables: </w:t>
      </w:r>
      <w:r>
        <w:rPr>
          <w:rFonts w:ascii="Menlo" w:hAnsi="Menlo"/>
          <w:color w:val="1A3E6E"/>
          <w:sz w:val="19"/>
        </w:rPr>
        <w:t>outputs/tables/module2_marker_genes.tsv</w:t>
      </w:r>
      <w:r>
        <w:rPr>
          <w:sz w:val="21"/>
        </w:rPr>
        <w:t xml:space="preserve">, </w:t>
      </w:r>
      <w:r>
        <w:rPr>
          <w:rFonts w:ascii="Menlo" w:hAnsi="Menlo"/>
          <w:color w:val="1A3E6E"/>
          <w:sz w:val="19"/>
        </w:rPr>
        <w:t>module2_pathway_enrichment.tsv</w:t>
      </w:r>
      <w:r>
        <w:rPr>
          <w:sz w:val="21"/>
        </w:rPr>
        <w:t xml:space="preserve">, </w:t>
      </w:r>
      <w:r>
        <w:rPr>
          <w:rFonts w:ascii="Menlo" w:hAnsi="Menlo"/>
          <w:color w:val="1A3E6E"/>
          <w:sz w:val="19"/>
        </w:rPr>
        <w:t>module2_prerank_gsea.tsv</w:t>
      </w:r>
      <w:r>
        <w:rPr>
          <w:sz w:val="21"/>
        </w:rPr>
        <w:t xml:space="preserve">, </w:t>
      </w:r>
      <w:r>
        <w:rPr>
          <w:rFonts w:ascii="Menlo" w:hAnsi="Menlo"/>
          <w:color w:val="1A3E6E"/>
          <w:sz w:val="19"/>
        </w:rPr>
        <w:t>module2_celltype_fractions.tsv</w:t>
      </w:r>
      <w:r>
        <w:rPr>
          <w:sz w:val="21"/>
        </w:rPr>
        <w:t xml:space="preserve">, </w:t>
      </w:r>
      <w:r>
        <w:rPr>
          <w:rFonts w:ascii="Menlo" w:hAnsi="Menlo"/>
          <w:color w:val="1A3E6E"/>
          <w:sz w:val="19"/>
        </w:rPr>
        <w:t>module2_donor_by_label_crosstab.tsv</w:t>
      </w:r>
      <w:r>
        <w:rPr>
          <w:sz w:val="21"/>
        </w:rPr>
        <w:t>.</w:t>
      </w:r>
    </w:p>
    <w:p>
      <w:pPr>
        <w:jc w:val="center"/>
      </w:pPr>
      <w:r>
        <w:drawing>
          <wp:inline xmlns:a="http://schemas.openxmlformats.org/drawingml/2006/main" xmlns:pic="http://schemas.openxmlformats.org/drawingml/2006/picture">
            <wp:extent cx="5943600" cy="4636596"/>
            <wp:docPr id="7" name="Picture 7"/>
            <wp:cNvGraphicFramePr>
              <a:graphicFrameLocks noChangeAspect="1"/>
            </wp:cNvGraphicFramePr>
            <a:graphic>
              <a:graphicData uri="http://schemas.openxmlformats.org/drawingml/2006/picture">
                <pic:pic>
                  <pic:nvPicPr>
                    <pic:cNvPr id="0" name="module2_enrichment_summary.png"/>
                    <pic:cNvPicPr/>
                  </pic:nvPicPr>
                  <pic:blipFill>
                    <a:blip r:embed="rId16"/>
                    <a:stretch>
                      <a:fillRect/>
                    </a:stretch>
                  </pic:blipFill>
                  <pic:spPr>
                    <a:xfrm>
                      <a:off x="0" y="0"/>
                      <a:ext cx="5943600" cy="4636596"/>
                    </a:xfrm>
                    <a:prstGeom prst="rect"/>
                  </pic:spPr>
                </pic:pic>
              </a:graphicData>
            </a:graphic>
          </wp:inline>
        </w:drawing>
      </w:r>
    </w:p>
    <w:p>
      <w:pPr>
        <w:jc w:val="center"/>
      </w:pPr>
      <w:r>
        <w:rPr>
          <w:i/>
          <w:color w:val="444444"/>
          <w:sz w:val="18"/>
        </w:rPr>
        <w:t>Summary of local GMT enrichment results by cell_class</w:t>
      </w:r>
    </w:p>
    <w:p>
      <w:pPr>
        <w:pStyle w:val="Heading1"/>
      </w:pPr>
      <w:r>
        <w:rPr>
          <w:color w:val="1F4E79"/>
        </w:rPr>
        <w:t>5. Interpretation</w:t>
      </w:r>
    </w:p>
    <w:p>
      <w:pPr>
        <w:spacing w:after="140"/>
      </w:pPr>
      <w:r>
        <w:rPr>
          <w:sz w:val="21"/>
        </w:rPr>
        <w:t>Module 2 shows that the four QC'd HuBMAP donors can be embedded jointly, that Harmony increases donor mixing by a measurable neighborhood metric, and that coarse lineages yield markers and enrichment tables suitable for classroom interpretation.</w:t>
      </w:r>
    </w:p>
    <w:p>
      <w:pPr>
        <w:spacing w:after="140"/>
      </w:pPr>
      <w:r>
        <w:rPr>
          <w:b/>
          <w:sz w:val="21"/>
        </w:rPr>
        <w:t>What the results support.</w:t>
      </w:r>
    </w:p>
    <w:p>
      <w:pPr>
        <w:pStyle w:val="ListBullet"/>
        <w:spacing w:after="40"/>
      </w:pPr>
      <w:r>
        <w:rPr>
          <w:sz w:val="21"/>
        </w:rPr>
        <w:t>Integration is usable for teaching composition and marker analyses within one DCC.</w:t>
      </w:r>
    </w:p>
    <w:p>
      <w:pPr>
        <w:pStyle w:val="ListBullet"/>
        <w:spacing w:after="40"/>
      </w:pPr>
      <w:r>
        <w:rPr>
          <w:sz w:val="21"/>
        </w:rPr>
        <w:t>Composition tables and marker tables answer different questions; both are required to avoid attributing abundance shifts to cell-state programs.</w:t>
      </w:r>
    </w:p>
    <w:p>
      <w:pPr>
        <w:pStyle w:val="ListBullet"/>
        <w:spacing w:after="40"/>
      </w:pPr>
      <w:r>
        <w:rPr>
          <w:sz w:val="21"/>
        </w:rPr>
        <w:t>Foreign-donor kNN fraction is a concrete mixing statistic learners can recompute after changing Harmony or PCA settings.</w:t>
      </w:r>
    </w:p>
    <w:p>
      <w:pPr>
        <w:spacing w:after="140"/>
      </w:pPr>
      <w:r>
        <w:rPr>
          <w:b/>
          <w:sz w:val="21"/>
        </w:rPr>
        <w:t>How to read markers and enrichment together.</w:t>
      </w:r>
      <w:r>
        <w:rPr>
          <w:sz w:val="21"/>
        </w:rPr>
        <w:t xml:space="preserve"> A large epithelial compartment will dominate many global summaries. Class-stratified Wilcoxon markers ask what distinguishes each coarse class inside the joint object. Enrichment then summarizes those ranked lists against gene sets. When </w:t>
      </w:r>
      <w:r>
        <w:rPr>
          <w:rFonts w:ascii="Menlo" w:hAnsi="Menlo"/>
          <w:color w:val="1A3E6E"/>
          <w:sz w:val="19"/>
        </w:rPr>
        <w:t>n_input_genes</w:t>
      </w:r>
      <w:r>
        <w:rPr>
          <w:sz w:val="21"/>
        </w:rPr>
        <w:t xml:space="preserve"> is small, ORA terms become brittle: the same course packages Hallmark (broad) and Reactome/GO BP (finer). Prefer terms that recur across libraries and that match known lung marker biology in the dotplots before elevating a pathway to a claim.</w:t>
      </w:r>
    </w:p>
    <w:p>
      <w:pPr>
        <w:pStyle w:val="Heading1"/>
      </w:pPr>
      <w:r>
        <w:rPr>
          <w:color w:val="1F4E79"/>
        </w:rPr>
        <w:t>6. Extending this analysis</w:t>
      </w:r>
    </w:p>
    <w:p>
      <w:pPr>
        <w:spacing w:after="140"/>
      </w:pPr>
      <w:r>
        <w:rPr>
          <w:sz w:val="21"/>
        </w:rPr>
        <w:t>Each item below states what a stronger version of this analysis would require. The requirement is the boundary of what the Module 2 tables currently license.</w:t>
      </w:r>
    </w:p>
    <w:p>
      <w:pPr>
        <w:pStyle w:val="ListBullet"/>
        <w:spacing w:after="40"/>
      </w:pPr>
      <w:r>
        <w:rPr>
          <w:b/>
          <w:sz w:val="21"/>
        </w:rPr>
        <w:t>Cross-ecosystem agreement needs a second ecosystem.</w:t>
      </w:r>
      <w:r>
        <w:rPr>
          <w:sz w:val="21"/>
        </w:rPr>
        <w:t xml:space="preserve"> Establishing that these lineage programs recur in GTEx, GEO, or spaceflight tissue requires a second source measured independently and a bridge between the two feature spaces. Module 4 builds exactly that from the composition-weighted pseudobulk exported here; until then every number in this module comes from four HuBMAP donors and describes only them.</w:t>
      </w:r>
    </w:p>
    <w:p>
      <w:pPr>
        <w:pStyle w:val="ListBullet"/>
        <w:spacing w:after="40"/>
      </w:pPr>
      <w:r>
        <w:rPr>
          <w:b/>
          <w:sz w:val="21"/>
        </w:rPr>
        <w:t>Confirming an enriched pathway requires evidence outside the ranked list.</w:t>
      </w:r>
      <w:r>
        <w:rPr>
          <w:sz w:val="21"/>
        </w:rPr>
        <w:t xml:space="preserve"> The standard is term-by-term inspection of gene membership, recurrence across Hallmark and Reactome and GO Biological Process, and an orthogonal assay of the implicated program. Estrogen Response Early and Allograft Rejection both clear the adjusted p gate in this run and neither would survive that standard, which is why the check is run rather than assumed.</w:t>
      </w:r>
    </w:p>
    <w:p>
      <w:pPr>
        <w:pStyle w:val="ListBullet"/>
        <w:spacing w:after="40"/>
      </w:pPr>
      <w:r>
        <w:rPr>
          <w:b/>
          <w:sz w:val="21"/>
        </w:rPr>
        <w:t>A donor-age contrast that carries weight requires donors, not a split.</w:t>
      </w:r>
      <w:r>
        <w:rPr>
          <w:sz w:val="21"/>
        </w:rPr>
        <w:t xml:space="preserve"> The n=2 vs n=2 comparison demonstrates the mechanics of setting up a covariate contrast. Powering it would require a cohort sized against between-donor variance, which is a cohort design problem rather than a parameter change.</w:t>
      </w:r>
    </w:p>
    <w:p>
      <w:pPr>
        <w:pStyle w:val="ListBullet"/>
        <w:spacing w:after="40"/>
      </w:pPr>
      <w:r>
        <w:rPr>
          <w:b/>
          <w:sz w:val="21"/>
        </w:rPr>
        <w:t>Showing that Harmony removed batch, rather than rearranged the embedding, would require a matched re-prep.</w:t>
      </w:r>
      <w:r>
        <w:rPr>
          <w:sz w:val="21"/>
        </w:rPr>
        <w:t xml:space="preserve"> The same donor processed across protocols is what separates donor identity from technical batch. Foreign-donor kNN fraction and within-class donor silhouette are the two metrics this module chose to monitor; they are diagnostic of the embedding, not causal about its source.</w:t>
      </w:r>
    </w:p>
    <w:p>
      <w:pPr>
        <w:pStyle w:val="ListBullet"/>
        <w:spacing w:after="40"/>
      </w:pPr>
      <w:r>
        <w:rPr>
          <w:b/>
          <w:sz w:val="21"/>
        </w:rPr>
        <w:t>Trusting a mixing verdict per compartment requires per-compartment reporting.</w:t>
      </w:r>
      <w:r>
        <w:rPr>
          <w:sz w:val="21"/>
        </w:rPr>
        <w:t xml:space="preserve"> The immune silhouette moving toward zero while three compartments move negative is visible only because the silhouette table is stratified by </w:t>
      </w:r>
      <w:r>
        <w:rPr>
          <w:rFonts w:ascii="Menlo" w:hAnsi="Menlo"/>
          <w:color w:val="1A3E6E"/>
          <w:sz w:val="19"/>
        </w:rPr>
        <w:t>cell_class</w:t>
      </w:r>
      <w:r>
        <w:rPr>
          <w:sz w:val="21"/>
        </w:rPr>
        <w:t>. A single global mixing number would require a stratified companion metric before anyone reads it as uniform improvement.</w:t>
      </w:r>
    </w:p>
    <w:p>
      <w:pPr>
        <w:spacing w:after="140"/>
      </w:pPr>
      <w:r>
        <w:rPr>
          <w:b/>
          <w:sz w:val="21"/>
        </w:rPr>
        <w:t>Forward link.</w:t>
      </w:r>
      <w:r>
        <w:rPr>
          <w:sz w:val="21"/>
        </w:rPr>
        <w:t xml:space="preserve"> Module 3 interprets paired RNA+ATAC for Donor_2 (</w:t>
      </w:r>
      <w:r>
        <w:rPr>
          <w:rFonts w:ascii="Menlo" w:hAnsi="Menlo"/>
          <w:color w:val="1A3E6E"/>
          <w:sz w:val="19"/>
        </w:rPr>
        <w:t>HBM828.GPVG.252</w:t>
      </w:r>
      <w:r>
        <w:rPr>
          <w:sz w:val="21"/>
        </w:rPr>
        <w:t>), matched to the Donor_2 10x snRNA teaching block. Module 4 reuses composition-weighted pseudobulk in the HuBMAP-GTEx bridge and compares cross-ecosystem contrasts.</w:t>
      </w:r>
    </w:p>
    <w:p>
      <w:pPr>
        <w:pStyle w:val="Heading1"/>
      </w:pPr>
      <w:r>
        <w:rPr>
          <w:color w:val="1F4E79"/>
        </w:rPr>
        <w:t>7. Open questions</w:t>
      </w:r>
    </w:p>
    <w:p>
      <w:pPr>
        <w:pStyle w:val="ListNumber"/>
        <w:spacing w:after="40"/>
      </w:pPr>
      <w:r>
        <w:rPr>
          <w:sz w:val="21"/>
        </w:rPr>
        <w:t>Which cell population or cluster was analyzed?</w:t>
      </w:r>
    </w:p>
    <w:p>
      <w:pPr>
        <w:pStyle w:val="ListNumber"/>
        <w:spacing w:after="40"/>
      </w:pPr>
      <w:r>
        <w:rPr>
          <w:sz w:val="21"/>
        </w:rPr>
        <w:t>What are the top marker genes, and do they match known lung identities?</w:t>
      </w:r>
    </w:p>
    <w:p>
      <w:pPr>
        <w:pStyle w:val="ListNumber"/>
        <w:spacing w:after="40"/>
      </w:pPr>
      <w:r>
        <w:rPr>
          <w:sz w:val="21"/>
        </w:rPr>
        <w:t>What pathways are enriched, and are they biologically coherent for that population?</w:t>
      </w:r>
    </w:p>
    <w:p>
      <w:pPr>
        <w:pStyle w:val="ListNumber"/>
        <w:spacing w:after="40"/>
      </w:pPr>
      <w:r>
        <w:rPr>
          <w:sz w:val="21"/>
        </w:rPr>
        <w:t>What biological interpretation is supported by markers + pathways together?</w:t>
      </w:r>
    </w:p>
    <w:p>
      <w:pPr>
        <w:pStyle w:val="ListNumber"/>
        <w:spacing w:after="40"/>
      </w:pPr>
      <w:r>
        <w:rPr>
          <w:sz w:val="21"/>
        </w:rPr>
        <w:t>What limitations remain (label transfer uncertainty, enrichment bias, small input lists)?</w:t>
      </w:r>
    </w:p>
    <w:p>
      <w:pPr>
        <w:pStyle w:val="ListNumber"/>
        <w:spacing w:after="40"/>
      </w:pPr>
      <w:r>
        <w:rPr>
          <w:sz w:val="21"/>
        </w:rPr>
        <w:t>Did Harmony change donor mixing in a way that matches the silhouette story, or do the two metrics disagree?</w:t>
      </w:r>
    </w:p>
    <w:p>
      <w:pPr>
        <w:pStyle w:val="ListNumber"/>
        <w:spacing w:after="40"/>
      </w:pPr>
      <w:r>
        <w:rPr>
          <w:sz w:val="21"/>
        </w:rPr>
        <w:t>Where does composition change stop and cell-state change begin in these tables?</w:t>
      </w:r>
    </w:p>
    <w:p>
      <w:r>
        <w:br w:type="page"/>
      </w:r>
    </w:p>
    <w:p>
      <w:pPr>
        <w:pStyle w:val="Heading1"/>
      </w:pPr>
      <w:r>
        <w:rPr>
          <w:color w:val="1F4E79"/>
        </w:rPr>
        <w:t>Appendix A: Analysis parameters</w:t>
      </w:r>
    </w:p>
    <w:p>
      <w:pPr>
        <w:spacing w:after="140"/>
      </w:pPr>
      <w:r>
        <w:rPr>
          <w:sz w:val="21"/>
        </w:rPr>
        <w:t xml:space="preserve">Live values under </w:t>
      </w:r>
      <w:r>
        <w:rPr>
          <w:rFonts w:ascii="Menlo" w:hAnsi="Menlo"/>
          <w:color w:val="1A3E6E"/>
          <w:sz w:val="19"/>
        </w:rPr>
        <w:t>module2</w:t>
      </w:r>
      <w:r>
        <w:rPr>
          <w:sz w:val="21"/>
        </w:rPr>
        <w:t xml:space="preserve"> in </w:t>
      </w:r>
      <w:r>
        <w:rPr>
          <w:rFonts w:ascii="Menlo" w:hAnsi="Menlo"/>
          <w:color w:val="1A3E6E"/>
          <w:sz w:val="19"/>
        </w:rPr>
        <w:t>config/paths.yaml</w:t>
      </w:r>
      <w:r>
        <w:rPr>
          <w:sz w:val="21"/>
        </w:rPr>
        <w:t>. Section numbers match the Methods subsections.</w:t>
      </w:r>
    </w:p>
    <w:p>
      <w:pPr>
        <w:pStyle w:val="Heading4"/>
      </w:pPr>
      <w:r>
        <w:rPr>
          <w:color w:val="1F4E79"/>
        </w:rPr>
        <w:t>1. Load and concatenate Module 1 QC objects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Config key</w:t>
            </w:r>
          </w:p>
        </w:tc>
        <w:tc>
          <w:tcPr>
            <w:tcW w:type="dxa" w:w="1872"/>
            <w:shd w:val="clear" w:fill="DCE6F1"/>
          </w:tcPr>
          <w:p>
            <w:r/>
            <w:r>
              <w:rPr>
                <w:b/>
                <w:sz w:val="17"/>
              </w:rPr>
              <w:t>Default</w:t>
            </w:r>
          </w:p>
        </w:tc>
        <w:tc>
          <w:tcPr>
            <w:tcW w:type="dxa" w:w="1872"/>
            <w:shd w:val="clear" w:fill="DCE6F1"/>
          </w:tcPr>
          <w:p>
            <w:r/>
            <w:r>
              <w:rPr>
                <w:b/>
                <w:sz w:val="17"/>
              </w:rPr>
              <w:t>Definition</w:t>
            </w:r>
          </w:p>
        </w:tc>
        <w:tc>
          <w:tcPr>
            <w:tcW w:type="dxa" w:w="1872"/>
            <w:shd w:val="clear" w:fill="DCE6F1"/>
          </w:tcPr>
          <w:p>
            <w:r/>
            <w:r>
              <w:rPr>
                <w:b/>
                <w:sz w:val="17"/>
              </w:rPr>
              <w:t>If modified</w:t>
            </w:r>
          </w:p>
        </w:tc>
        <w:tc>
          <w:tcPr>
            <w:tcW w:type="dxa" w:w="1872"/>
            <w:shd w:val="clear" w:fill="DCE6F1"/>
          </w:tcPr>
          <w:p>
            <w:r/>
            <w:r>
              <w:rPr>
                <w:b/>
                <w:sz w:val="17"/>
              </w:rPr>
              <w:t>Impact on results</w:t>
            </w:r>
          </w:p>
        </w:tc>
      </w:tr>
      <w:tr>
        <w:tc>
          <w:tcPr>
            <w:tcW w:type="dxa" w:w="1872"/>
          </w:tcPr>
          <w:p>
            <w:r/>
            <w:r>
              <w:rPr>
                <w:rFonts w:ascii="Menlo" w:hAnsi="Menlo"/>
                <w:color w:val="1A3E6E"/>
                <w:sz w:val="15"/>
              </w:rPr>
              <w:t>module2.inputs</w:t>
            </w:r>
          </w:p>
        </w:tc>
        <w:tc>
          <w:tcPr>
            <w:tcW w:type="dxa" w:w="1872"/>
          </w:tcPr>
          <w:p>
            <w:r/>
            <w:r>
              <w:rPr>
                <w:sz w:val="17"/>
              </w:rPr>
              <w:t>four donor blocks</w:t>
            </w:r>
          </w:p>
        </w:tc>
        <w:tc>
          <w:tcPr>
            <w:tcW w:type="dxa" w:w="1872"/>
          </w:tcPr>
          <w:p>
            <w:r/>
            <w:r>
              <w:rPr>
                <w:sz w:val="17"/>
              </w:rPr>
              <w:t>Cohort of Module 1 h5ads to concat</w:t>
            </w:r>
          </w:p>
        </w:tc>
        <w:tc>
          <w:tcPr>
            <w:tcW w:type="dxa" w:w="1872"/>
          </w:tcPr>
          <w:p>
            <w:r/>
            <w:r>
              <w:rPr>
                <w:sz w:val="17"/>
              </w:rPr>
              <w:t>Drop/add donor</w:t>
            </w:r>
          </w:p>
        </w:tc>
        <w:tc>
          <w:tcPr>
            <w:tcW w:type="dxa" w:w="1872"/>
          </w:tcPr>
          <w:p>
            <w:r/>
            <w:r>
              <w:rPr>
                <w:sz w:val="17"/>
              </w:rPr>
              <w:t>Every composition fraction and DE n changes</w:t>
            </w:r>
          </w:p>
        </w:tc>
      </w:tr>
      <w:tr>
        <w:tc>
          <w:tcPr>
            <w:tcW w:type="dxa" w:w="1872"/>
          </w:tcPr>
          <w:p>
            <w:r/>
            <w:r>
              <w:rPr>
                <w:rFonts w:ascii="Menlo" w:hAnsi="Menlo"/>
                <w:color w:val="1A3E6E"/>
                <w:sz w:val="15"/>
              </w:rPr>
              <w:t>module2.input_h5ad</w:t>
            </w:r>
          </w:p>
        </w:tc>
        <w:tc>
          <w:tcPr>
            <w:tcW w:type="dxa" w:w="1872"/>
          </w:tcPr>
          <w:p>
            <w:r/>
            <w:r>
              <w:rPr>
                <w:rFonts w:ascii="Menlo" w:hAnsi="Menlo"/>
                <w:color w:val="1A3E6E"/>
                <w:sz w:val="15"/>
              </w:rPr>
              <w:t>data/processed/integrated/module2_hubmap_lung_integrated.h5ad</w:t>
            </w:r>
          </w:p>
        </w:tc>
        <w:tc>
          <w:tcPr>
            <w:tcW w:type="dxa" w:w="1872"/>
          </w:tcPr>
          <w:p>
            <w:r/>
            <w:r>
              <w:rPr>
                <w:sz w:val="17"/>
              </w:rPr>
              <w:t>Written integrated path (DE input)</w:t>
            </w:r>
          </w:p>
        </w:tc>
        <w:tc>
          <w:tcPr>
            <w:tcW w:type="dxa" w:w="1872"/>
          </w:tcPr>
          <w:p>
            <w:r/>
            <w:r>
              <w:rPr>
                <w:sz w:val="17"/>
              </w:rPr>
              <w:t>Relocate</w:t>
            </w:r>
          </w:p>
        </w:tc>
        <w:tc>
          <w:tcPr>
            <w:tcW w:type="dxa" w:w="1872"/>
          </w:tcPr>
          <w:p>
            <w:r/>
            <w:r>
              <w:rPr>
                <w:sz w:val="17"/>
              </w:rPr>
              <w:t>Downstream DE must point at new path</w:t>
            </w:r>
          </w:p>
        </w:tc>
      </w:tr>
      <w:tr>
        <w:tc>
          <w:tcPr>
            <w:tcW w:type="dxa" w:w="1872"/>
          </w:tcPr>
          <w:p>
            <w:r/>
            <w:r>
              <w:rPr>
                <w:rFonts w:ascii="Menlo" w:hAnsi="Menlo"/>
                <w:color w:val="1A3E6E"/>
                <w:sz w:val="15"/>
              </w:rPr>
              <w:t>module1.max_nuclei</w:t>
            </w:r>
          </w:p>
        </w:tc>
        <w:tc>
          <w:tcPr>
            <w:tcW w:type="dxa" w:w="1872"/>
          </w:tcPr>
          <w:p>
            <w:r/>
            <w:r>
              <w:rPr>
                <w:rFonts w:ascii="Menlo" w:hAnsi="Menlo"/>
                <w:color w:val="1A3E6E"/>
                <w:sz w:val="15"/>
              </w:rPr>
              <w:t>5000</w:t>
            </w:r>
          </w:p>
        </w:tc>
        <w:tc>
          <w:tcPr>
            <w:tcW w:type="dxa" w:w="1872"/>
          </w:tcPr>
          <w:p>
            <w:r/>
            <w:r>
              <w:rPr>
                <w:sz w:val="17"/>
              </w:rPr>
              <w:t>Upstream teaching cap (per donor)</w:t>
            </w:r>
          </w:p>
        </w:tc>
        <w:tc>
          <w:tcPr>
            <w:tcW w:type="dxa" w:w="1872"/>
          </w:tcPr>
          <w:p>
            <w:r/>
            <w:r>
              <w:rPr>
                <w:sz w:val="17"/>
              </w:rPr>
              <w:t>Raise/lower</w:t>
            </w:r>
          </w:p>
        </w:tc>
        <w:tc>
          <w:tcPr>
            <w:tcW w:type="dxa" w:w="1872"/>
          </w:tcPr>
          <w:p>
            <w:r/>
            <w:r>
              <w:rPr>
                <w:sz w:val="17"/>
              </w:rPr>
              <w:t>Nucleus counts entering concat</w:t>
            </w:r>
          </w:p>
        </w:tc>
      </w:tr>
      <w:tr>
        <w:tc>
          <w:tcPr>
            <w:tcW w:type="dxa" w:w="1872"/>
          </w:tcPr>
          <w:p>
            <w:r/>
            <w:r>
              <w:rPr>
                <w:rFonts w:ascii="Menlo" w:hAnsi="Menlo"/>
                <w:color w:val="1A3E6E"/>
                <w:sz w:val="15"/>
              </w:rPr>
              <w:t>module2.random_seed</w:t>
            </w:r>
          </w:p>
        </w:tc>
        <w:tc>
          <w:tcPr>
            <w:tcW w:type="dxa" w:w="1872"/>
          </w:tcPr>
          <w:p>
            <w:r/>
            <w:r>
              <w:rPr>
                <w:rFonts w:ascii="Menlo" w:hAnsi="Menlo"/>
                <w:color w:val="1A3E6E"/>
                <w:sz w:val="15"/>
              </w:rPr>
              <w:t>0</w:t>
            </w:r>
          </w:p>
        </w:tc>
        <w:tc>
          <w:tcPr>
            <w:tcW w:type="dxa" w:w="1872"/>
          </w:tcPr>
          <w:p>
            <w:r/>
            <w:r>
              <w:rPr>
                <w:sz w:val="17"/>
              </w:rPr>
              <w:t>Seed for later embedding / diagnostics</w:t>
            </w:r>
          </w:p>
        </w:tc>
        <w:tc>
          <w:tcPr>
            <w:tcW w:type="dxa" w:w="1872"/>
          </w:tcPr>
          <w:p>
            <w:r/>
            <w:r>
              <w:rPr>
                <w:sz w:val="17"/>
              </w:rPr>
              <w:t>Change</w:t>
            </w:r>
          </w:p>
        </w:tc>
        <w:tc>
          <w:tcPr>
            <w:tcW w:type="dxa" w:w="1872"/>
          </w:tcPr>
          <w:p>
            <w:r/>
            <w:r>
              <w:rPr>
                <w:sz w:val="17"/>
              </w:rPr>
              <w:t>Stochastic neighbors/UMAP/Harmony draws</w:t>
            </w:r>
          </w:p>
        </w:tc>
      </w:tr>
    </w:tbl>
    <w:p>
      <w:pPr>
        <w:pStyle w:val="Heading4"/>
      </w:pPr>
      <w:r>
        <w:rPr>
          <w:color w:val="1F4E79"/>
        </w:rPr>
        <w:t>2. Joint embedding (recomputed HVG / PCA)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Config key</w:t>
            </w:r>
          </w:p>
        </w:tc>
        <w:tc>
          <w:tcPr>
            <w:tcW w:type="dxa" w:w="1872"/>
            <w:shd w:val="clear" w:fill="DCE6F1"/>
          </w:tcPr>
          <w:p>
            <w:r/>
            <w:r>
              <w:rPr>
                <w:b/>
                <w:sz w:val="17"/>
              </w:rPr>
              <w:t>Default</w:t>
            </w:r>
          </w:p>
        </w:tc>
        <w:tc>
          <w:tcPr>
            <w:tcW w:type="dxa" w:w="1872"/>
            <w:shd w:val="clear" w:fill="DCE6F1"/>
          </w:tcPr>
          <w:p>
            <w:r/>
            <w:r>
              <w:rPr>
                <w:b/>
                <w:sz w:val="17"/>
              </w:rPr>
              <w:t>Definition</w:t>
            </w:r>
          </w:p>
        </w:tc>
        <w:tc>
          <w:tcPr>
            <w:tcW w:type="dxa" w:w="1872"/>
            <w:shd w:val="clear" w:fill="DCE6F1"/>
          </w:tcPr>
          <w:p>
            <w:r/>
            <w:r>
              <w:rPr>
                <w:b/>
                <w:sz w:val="17"/>
              </w:rPr>
              <w:t>If modified</w:t>
            </w:r>
          </w:p>
        </w:tc>
        <w:tc>
          <w:tcPr>
            <w:tcW w:type="dxa" w:w="1872"/>
            <w:shd w:val="clear" w:fill="DCE6F1"/>
          </w:tcPr>
          <w:p>
            <w:r/>
            <w:r>
              <w:rPr>
                <w:b/>
                <w:sz w:val="17"/>
              </w:rPr>
              <w:t>Impact on results</w:t>
            </w:r>
          </w:p>
        </w:tc>
      </w:tr>
      <w:tr>
        <w:tc>
          <w:tcPr>
            <w:tcW w:type="dxa" w:w="1872"/>
          </w:tcPr>
          <w:p>
            <w:r/>
            <w:r>
              <w:rPr>
                <w:rFonts w:ascii="Menlo" w:hAnsi="Menlo"/>
                <w:color w:val="1A3E6E"/>
                <w:sz w:val="15"/>
              </w:rPr>
              <w:t>module2.embedding.n_top_genes</w:t>
            </w:r>
          </w:p>
        </w:tc>
        <w:tc>
          <w:tcPr>
            <w:tcW w:type="dxa" w:w="1872"/>
          </w:tcPr>
          <w:p>
            <w:r/>
            <w:r>
              <w:rPr>
                <w:rFonts w:ascii="Menlo" w:hAnsi="Menlo"/>
                <w:color w:val="1A3E6E"/>
                <w:sz w:val="15"/>
              </w:rPr>
              <w:t>2000</w:t>
            </w:r>
          </w:p>
        </w:tc>
        <w:tc>
          <w:tcPr>
            <w:tcW w:type="dxa" w:w="1872"/>
          </w:tcPr>
          <w:p>
            <w:r/>
            <w:r>
              <w:rPr>
                <w:sz w:val="17"/>
              </w:rPr>
              <w:t>Joint HVG count (Seurat flavor)</w:t>
            </w:r>
          </w:p>
        </w:tc>
        <w:tc>
          <w:tcPr>
            <w:tcW w:type="dxa" w:w="1872"/>
          </w:tcPr>
          <w:p>
            <w:r/>
            <w:r>
              <w:rPr>
                <w:sz w:val="17"/>
              </w:rPr>
              <w:t>Raise/lower</w:t>
            </w:r>
          </w:p>
        </w:tc>
        <w:tc>
          <w:tcPr>
            <w:tcW w:type="dxa" w:w="1872"/>
          </w:tcPr>
          <w:p>
            <w:r/>
            <w:r>
              <w:rPr>
                <w:sz w:val="17"/>
              </w:rPr>
              <w:t>Changes PCA basis and all neighbors</w:t>
            </w:r>
          </w:p>
        </w:tc>
      </w:tr>
      <w:tr>
        <w:tc>
          <w:tcPr>
            <w:tcW w:type="dxa" w:w="1872"/>
          </w:tcPr>
          <w:p>
            <w:r/>
            <w:r>
              <w:rPr>
                <w:rFonts w:ascii="Menlo" w:hAnsi="Menlo"/>
                <w:color w:val="1A3E6E"/>
                <w:sz w:val="15"/>
              </w:rPr>
              <w:t>module2.embedding.n_pcs</w:t>
            </w:r>
          </w:p>
        </w:tc>
        <w:tc>
          <w:tcPr>
            <w:tcW w:type="dxa" w:w="1872"/>
          </w:tcPr>
          <w:p>
            <w:r/>
            <w:r>
              <w:rPr>
                <w:rFonts w:ascii="Menlo" w:hAnsi="Menlo"/>
                <w:color w:val="1A3E6E"/>
                <w:sz w:val="15"/>
              </w:rPr>
              <w:t>40</w:t>
            </w:r>
          </w:p>
        </w:tc>
        <w:tc>
          <w:tcPr>
            <w:tcW w:type="dxa" w:w="1872"/>
          </w:tcPr>
          <w:p>
            <w:r/>
            <w:r>
              <w:rPr>
                <w:sz w:val="17"/>
              </w:rPr>
              <w:t>PCA components recomputed jointly</w:t>
            </w:r>
          </w:p>
        </w:tc>
        <w:tc>
          <w:tcPr>
            <w:tcW w:type="dxa" w:w="1872"/>
          </w:tcPr>
          <w:p>
            <w:r/>
            <w:r>
              <w:rPr>
                <w:sz w:val="17"/>
              </w:rPr>
              <w:t>Raise</w:t>
            </w:r>
          </w:p>
        </w:tc>
        <w:tc>
          <w:tcPr>
            <w:tcW w:type="dxa" w:w="1872"/>
          </w:tcPr>
          <w:p>
            <w:r/>
            <w:r>
              <w:rPr>
                <w:sz w:val="17"/>
              </w:rPr>
              <w:t>Can reintroduce donor-driven variance into neighbors</w:t>
            </w:r>
          </w:p>
        </w:tc>
      </w:tr>
      <w:tr>
        <w:tc>
          <w:tcPr>
            <w:tcW w:type="dxa" w:w="1872"/>
          </w:tcPr>
          <w:p>
            <w:r/>
            <w:r>
              <w:rPr>
                <w:rFonts w:ascii="Menlo" w:hAnsi="Menlo"/>
                <w:color w:val="1A3E6E"/>
                <w:sz w:val="15"/>
              </w:rPr>
              <w:t>module2.embedding.n_pcs_neighbors</w:t>
            </w:r>
          </w:p>
        </w:tc>
        <w:tc>
          <w:tcPr>
            <w:tcW w:type="dxa" w:w="1872"/>
          </w:tcPr>
          <w:p>
            <w:r/>
            <w:r>
              <w:rPr>
                <w:rFonts w:ascii="Menlo" w:hAnsi="Menlo"/>
                <w:color w:val="1A3E6E"/>
                <w:sz w:val="15"/>
              </w:rPr>
              <w:t>40</w:t>
            </w:r>
          </w:p>
        </w:tc>
        <w:tc>
          <w:tcPr>
            <w:tcW w:type="dxa" w:w="1872"/>
          </w:tcPr>
          <w:p>
            <w:r/>
            <w:r>
              <w:rPr>
                <w:sz w:val="17"/>
              </w:rPr>
              <w:t>PCs used for kNN</w:t>
            </w:r>
          </w:p>
        </w:tc>
        <w:tc>
          <w:tcPr>
            <w:tcW w:type="dxa" w:w="1872"/>
          </w:tcPr>
          <w:p>
            <w:r/>
            <w:r>
              <w:rPr>
                <w:sz w:val="17"/>
              </w:rPr>
              <w:t>Lower</w:t>
            </w:r>
          </w:p>
        </w:tc>
        <w:tc>
          <w:tcPr>
            <w:tcW w:type="dxa" w:w="1872"/>
          </w:tcPr>
          <w:p>
            <w:r/>
            <w:r>
              <w:rPr>
                <w:sz w:val="17"/>
              </w:rPr>
              <w:t>Smoother neighborhoods; may lose fine structure</w:t>
            </w:r>
          </w:p>
        </w:tc>
      </w:tr>
      <w:tr>
        <w:tc>
          <w:tcPr>
            <w:tcW w:type="dxa" w:w="1872"/>
          </w:tcPr>
          <w:p>
            <w:r/>
            <w:r>
              <w:rPr>
                <w:rFonts w:ascii="Menlo" w:hAnsi="Menlo"/>
                <w:color w:val="1A3E6E"/>
                <w:sz w:val="15"/>
              </w:rPr>
              <w:t>module2.embedding.n_neighbors</w:t>
            </w:r>
          </w:p>
        </w:tc>
        <w:tc>
          <w:tcPr>
            <w:tcW w:type="dxa" w:w="1872"/>
          </w:tcPr>
          <w:p>
            <w:r/>
            <w:r>
              <w:rPr>
                <w:rFonts w:ascii="Menlo" w:hAnsi="Menlo"/>
                <w:color w:val="1A3E6E"/>
                <w:sz w:val="15"/>
              </w:rPr>
              <w:t>20</w:t>
            </w:r>
          </w:p>
        </w:tc>
        <w:tc>
          <w:tcPr>
            <w:tcW w:type="dxa" w:w="1872"/>
          </w:tcPr>
          <w:p>
            <w:r/>
            <w:r>
              <w:rPr>
                <w:sz w:val="17"/>
              </w:rPr>
              <w:t>kNN size</w:t>
            </w:r>
          </w:p>
        </w:tc>
        <w:tc>
          <w:tcPr>
            <w:tcW w:type="dxa" w:w="1872"/>
          </w:tcPr>
          <w:p>
            <w:r/>
            <w:r>
              <w:rPr>
                <w:sz w:val="17"/>
              </w:rPr>
              <w:t>Raise</w:t>
            </w:r>
          </w:p>
        </w:tc>
        <w:tc>
          <w:tcPr>
            <w:tcW w:type="dxa" w:w="1872"/>
          </w:tcPr>
          <w:p>
            <w:r/>
            <w:r>
              <w:rPr>
                <w:sz w:val="17"/>
              </w:rPr>
              <w:t>More global mixing in UMAP</w:t>
            </w:r>
          </w:p>
        </w:tc>
      </w:tr>
      <w:tr>
        <w:tc>
          <w:tcPr>
            <w:tcW w:type="dxa" w:w="1872"/>
          </w:tcPr>
          <w:p>
            <w:r/>
            <w:r>
              <w:rPr>
                <w:rFonts w:ascii="Menlo" w:hAnsi="Menlo"/>
                <w:color w:val="1A3E6E"/>
                <w:sz w:val="15"/>
              </w:rPr>
              <w:t>module2.embedding.umap_min_dist</w:t>
            </w:r>
          </w:p>
        </w:tc>
        <w:tc>
          <w:tcPr>
            <w:tcW w:type="dxa" w:w="1872"/>
          </w:tcPr>
          <w:p>
            <w:r/>
            <w:r>
              <w:rPr>
                <w:rFonts w:ascii="Menlo" w:hAnsi="Menlo"/>
                <w:color w:val="1A3E6E"/>
                <w:sz w:val="15"/>
              </w:rPr>
              <w:t>0.25</w:t>
            </w:r>
          </w:p>
        </w:tc>
        <w:tc>
          <w:tcPr>
            <w:tcW w:type="dxa" w:w="1872"/>
          </w:tcPr>
          <w:p>
            <w:r/>
            <w:r>
              <w:rPr>
                <w:sz w:val="17"/>
              </w:rPr>
              <w:t>UMAP min_dist</w:t>
            </w:r>
          </w:p>
        </w:tc>
        <w:tc>
          <w:tcPr>
            <w:tcW w:type="dxa" w:w="1872"/>
          </w:tcPr>
          <w:p>
            <w:r/>
            <w:r>
              <w:rPr>
                <w:sz w:val="17"/>
              </w:rPr>
              <w:t>Lower</w:t>
            </w:r>
          </w:p>
        </w:tc>
        <w:tc>
          <w:tcPr>
            <w:tcW w:type="dxa" w:w="1872"/>
          </w:tcPr>
          <w:p>
            <w:r/>
            <w:r>
              <w:rPr>
                <w:sz w:val="17"/>
              </w:rPr>
              <w:t>Tighter visual clusters</w:t>
            </w:r>
          </w:p>
        </w:tc>
      </w:tr>
      <w:tr>
        <w:tc>
          <w:tcPr>
            <w:tcW w:type="dxa" w:w="1872"/>
          </w:tcPr>
          <w:p>
            <w:r/>
            <w:r>
              <w:rPr>
                <w:rFonts w:ascii="Menlo" w:hAnsi="Menlo"/>
                <w:color w:val="1A3E6E"/>
                <w:sz w:val="15"/>
              </w:rPr>
              <w:t>module2.embedding.umap_spread</w:t>
            </w:r>
          </w:p>
        </w:tc>
        <w:tc>
          <w:tcPr>
            <w:tcW w:type="dxa" w:w="1872"/>
          </w:tcPr>
          <w:p>
            <w:r/>
            <w:r>
              <w:rPr>
                <w:rFonts w:ascii="Menlo" w:hAnsi="Menlo"/>
                <w:color w:val="1A3E6E"/>
                <w:sz w:val="15"/>
              </w:rPr>
              <w:t>1.2</w:t>
            </w:r>
          </w:p>
        </w:tc>
        <w:tc>
          <w:tcPr>
            <w:tcW w:type="dxa" w:w="1872"/>
          </w:tcPr>
          <w:p>
            <w:r/>
            <w:r>
              <w:rPr>
                <w:sz w:val="17"/>
              </w:rPr>
              <w:t>UMAP spread</w:t>
            </w:r>
          </w:p>
        </w:tc>
        <w:tc>
          <w:tcPr>
            <w:tcW w:type="dxa" w:w="1872"/>
          </w:tcPr>
          <w:p>
            <w:r/>
            <w:r>
              <w:rPr>
                <w:sz w:val="17"/>
              </w:rPr>
              <w:t>Raise</w:t>
            </w:r>
          </w:p>
        </w:tc>
        <w:tc>
          <w:tcPr>
            <w:tcW w:type="dxa" w:w="1872"/>
          </w:tcPr>
          <w:p>
            <w:r/>
            <w:r>
              <w:rPr>
                <w:sz w:val="17"/>
              </w:rPr>
              <w:t>More dispersed layout</w:t>
            </w:r>
          </w:p>
        </w:tc>
      </w:tr>
      <w:tr>
        <w:tc>
          <w:tcPr>
            <w:tcW w:type="dxa" w:w="1872"/>
          </w:tcPr>
          <w:p>
            <w:r/>
            <w:r>
              <w:rPr>
                <w:rFonts w:ascii="Menlo" w:hAnsi="Menlo"/>
                <w:color w:val="1A3E6E"/>
                <w:sz w:val="15"/>
              </w:rPr>
              <w:t>module2.embedding.scale_max_value</w:t>
            </w:r>
          </w:p>
        </w:tc>
        <w:tc>
          <w:tcPr>
            <w:tcW w:type="dxa" w:w="1872"/>
          </w:tcPr>
          <w:p>
            <w:r/>
            <w:r>
              <w:rPr>
                <w:rFonts w:ascii="Menlo" w:hAnsi="Menlo"/>
                <w:color w:val="1A3E6E"/>
                <w:sz w:val="15"/>
              </w:rPr>
              <w:t>10</w:t>
            </w:r>
          </w:p>
        </w:tc>
        <w:tc>
          <w:tcPr>
            <w:tcW w:type="dxa" w:w="1872"/>
          </w:tcPr>
          <w:p>
            <w:r/>
            <w:r>
              <w:rPr>
                <w:sz w:val="17"/>
              </w:rPr>
              <w:t>Scale clip before PCA</w:t>
            </w:r>
          </w:p>
        </w:tc>
        <w:tc>
          <w:tcPr>
            <w:tcW w:type="dxa" w:w="1872"/>
          </w:tcPr>
          <w:p>
            <w:r/>
            <w:r>
              <w:rPr>
                <w:sz w:val="17"/>
              </w:rPr>
              <w:t>Lower</w:t>
            </w:r>
          </w:p>
        </w:tc>
        <w:tc>
          <w:tcPr>
            <w:tcW w:type="dxa" w:w="1872"/>
          </w:tcPr>
          <w:p>
            <w:r/>
            <w:r>
              <w:rPr>
                <w:sz w:val="17"/>
              </w:rPr>
              <w:t>Compresses outlier gene leverage</w:t>
            </w:r>
          </w:p>
        </w:tc>
      </w:tr>
      <w:tr>
        <w:tc>
          <w:tcPr>
            <w:tcW w:type="dxa" w:w="1872"/>
          </w:tcPr>
          <w:p>
            <w:r/>
            <w:r>
              <w:rPr>
                <w:rFonts w:ascii="Menlo" w:hAnsi="Menlo"/>
                <w:color w:val="1A3E6E"/>
                <w:sz w:val="15"/>
              </w:rPr>
              <w:t>module2.embedding.leiden_resolution</w:t>
            </w:r>
          </w:p>
        </w:tc>
        <w:tc>
          <w:tcPr>
            <w:tcW w:type="dxa" w:w="1872"/>
          </w:tcPr>
          <w:p>
            <w:r/>
            <w:r>
              <w:rPr>
                <w:rFonts w:ascii="Menlo" w:hAnsi="Menlo"/>
                <w:color w:val="1A3E6E"/>
                <w:sz w:val="15"/>
              </w:rPr>
              <w:t>0.8</w:t>
            </w:r>
          </w:p>
        </w:tc>
        <w:tc>
          <w:tcPr>
            <w:tcW w:type="dxa" w:w="1872"/>
          </w:tcPr>
          <w:p>
            <w:r/>
            <w:r>
              <w:rPr>
                <w:sz w:val="17"/>
              </w:rPr>
              <w:t>Default Leiden for teaching</w:t>
            </w:r>
          </w:p>
        </w:tc>
        <w:tc>
          <w:tcPr>
            <w:tcW w:type="dxa" w:w="1872"/>
          </w:tcPr>
          <w:p>
            <w:r/>
            <w:r>
              <w:rPr>
                <w:sz w:val="17"/>
              </w:rPr>
              <w:t>Change</w:t>
            </w:r>
          </w:p>
        </w:tc>
        <w:tc>
          <w:tcPr>
            <w:tcW w:type="dxa" w:w="1872"/>
          </w:tcPr>
          <w:p>
            <w:r/>
            <w:r>
              <w:rPr>
                <w:sz w:val="17"/>
              </w:rPr>
              <w:t>Cluster grain; default label still Azimuth-driven</w:t>
            </w:r>
          </w:p>
        </w:tc>
      </w:tr>
      <w:tr>
        <w:tc>
          <w:tcPr>
            <w:tcW w:type="dxa" w:w="1872"/>
          </w:tcPr>
          <w:p>
            <w:r/>
            <w:r>
              <w:rPr>
                <w:rFonts w:ascii="Menlo" w:hAnsi="Menlo"/>
                <w:color w:val="1A3E6E"/>
                <w:sz w:val="15"/>
              </w:rPr>
              <w:t>module2.embedding.leiden_resolutions</w:t>
            </w:r>
          </w:p>
        </w:tc>
        <w:tc>
          <w:tcPr>
            <w:tcW w:type="dxa" w:w="1872"/>
          </w:tcPr>
          <w:p>
            <w:r/>
            <w:r>
              <w:rPr>
                <w:rFonts w:ascii="Menlo" w:hAnsi="Menlo"/>
                <w:color w:val="1A3E6E"/>
                <w:sz w:val="15"/>
              </w:rPr>
              <w:t>[0.4, 0.8, 1.2]</w:t>
            </w:r>
          </w:p>
        </w:tc>
        <w:tc>
          <w:tcPr>
            <w:tcW w:type="dxa" w:w="1872"/>
          </w:tcPr>
          <w:p>
            <w:r/>
            <w:r>
              <w:rPr>
                <w:sz w:val="17"/>
              </w:rPr>
              <w:t xml:space="preserve">Exploratory sweep stored as </w:t>
            </w:r>
            <w:r>
              <w:rPr>
                <w:rFonts w:ascii="Menlo" w:hAnsi="Menlo"/>
                <w:color w:val="1A3E6E"/>
                <w:sz w:val="15"/>
              </w:rPr>
              <w:t>leiden_r*</w:t>
            </w:r>
          </w:p>
        </w:tc>
        <w:tc>
          <w:tcPr>
            <w:tcW w:type="dxa" w:w="1872"/>
          </w:tcPr>
          <w:p>
            <w:r/>
            <w:r>
              <w:rPr>
                <w:sz w:val="17"/>
              </w:rPr>
              <w:t>Edit list</w:t>
            </w:r>
          </w:p>
        </w:tc>
        <w:tc>
          <w:tcPr>
            <w:tcW w:type="dxa" w:w="1872"/>
          </w:tcPr>
          <w:p>
            <w:r/>
            <w:r>
              <w:rPr>
                <w:sz w:val="17"/>
              </w:rPr>
              <w:t>Extra cluster columns only</w:t>
            </w:r>
          </w:p>
        </w:tc>
      </w:tr>
    </w:tbl>
    <w:p>
      <w:pPr>
        <w:pStyle w:val="Heading4"/>
      </w:pPr>
      <w:r>
        <w:rPr>
          <w:color w:val="1F4E79"/>
        </w:rPr>
        <w:t>3. Harmony batch correction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Config key</w:t>
            </w:r>
          </w:p>
        </w:tc>
        <w:tc>
          <w:tcPr>
            <w:tcW w:type="dxa" w:w="1872"/>
            <w:shd w:val="clear" w:fill="DCE6F1"/>
          </w:tcPr>
          <w:p>
            <w:r/>
            <w:r>
              <w:rPr>
                <w:b/>
                <w:sz w:val="17"/>
              </w:rPr>
              <w:t>Default</w:t>
            </w:r>
          </w:p>
        </w:tc>
        <w:tc>
          <w:tcPr>
            <w:tcW w:type="dxa" w:w="1872"/>
            <w:shd w:val="clear" w:fill="DCE6F1"/>
          </w:tcPr>
          <w:p>
            <w:r/>
            <w:r>
              <w:rPr>
                <w:b/>
                <w:sz w:val="17"/>
              </w:rPr>
              <w:t>Definition</w:t>
            </w:r>
          </w:p>
        </w:tc>
        <w:tc>
          <w:tcPr>
            <w:tcW w:type="dxa" w:w="1872"/>
            <w:shd w:val="clear" w:fill="DCE6F1"/>
          </w:tcPr>
          <w:p>
            <w:r/>
            <w:r>
              <w:rPr>
                <w:b/>
                <w:sz w:val="17"/>
              </w:rPr>
              <w:t>If modified</w:t>
            </w:r>
          </w:p>
        </w:tc>
        <w:tc>
          <w:tcPr>
            <w:tcW w:type="dxa" w:w="1872"/>
            <w:shd w:val="clear" w:fill="DCE6F1"/>
          </w:tcPr>
          <w:p>
            <w:r/>
            <w:r>
              <w:rPr>
                <w:b/>
                <w:sz w:val="17"/>
              </w:rPr>
              <w:t>Impact on results</w:t>
            </w:r>
          </w:p>
        </w:tc>
      </w:tr>
      <w:tr>
        <w:tc>
          <w:tcPr>
            <w:tcW w:type="dxa" w:w="1872"/>
          </w:tcPr>
          <w:p>
            <w:r/>
            <w:r>
              <w:rPr>
                <w:rFonts w:ascii="Menlo" w:hAnsi="Menlo"/>
                <w:color w:val="1A3E6E"/>
                <w:sz w:val="15"/>
              </w:rPr>
              <w:t>module2.harmony.enabled</w:t>
            </w:r>
          </w:p>
        </w:tc>
        <w:tc>
          <w:tcPr>
            <w:tcW w:type="dxa" w:w="1872"/>
          </w:tcPr>
          <w:p>
            <w:r/>
            <w:r>
              <w:rPr>
                <w:rFonts w:ascii="Menlo" w:hAnsi="Menlo"/>
                <w:color w:val="1A3E6E"/>
                <w:sz w:val="15"/>
              </w:rPr>
              <w:t>true</w:t>
            </w:r>
          </w:p>
        </w:tc>
        <w:tc>
          <w:tcPr>
            <w:tcW w:type="dxa" w:w="1872"/>
          </w:tcPr>
          <w:p>
            <w:r/>
            <w:r>
              <w:rPr>
                <w:sz w:val="17"/>
              </w:rPr>
              <w:t>Whether Harmony runs</w:t>
            </w:r>
          </w:p>
        </w:tc>
        <w:tc>
          <w:tcPr>
            <w:tcW w:type="dxa" w:w="1872"/>
          </w:tcPr>
          <w:p>
            <w:r/>
            <w:r>
              <w:rPr>
                <w:sz w:val="17"/>
              </w:rPr>
              <w:t xml:space="preserve">Set </w:t>
            </w:r>
            <w:r>
              <w:rPr>
                <w:rFonts w:ascii="Menlo" w:hAnsi="Menlo"/>
                <w:color w:val="1A3E6E"/>
                <w:sz w:val="15"/>
              </w:rPr>
              <w:t>false</w:t>
            </w:r>
          </w:p>
        </w:tc>
        <w:tc>
          <w:tcPr>
            <w:tcW w:type="dxa" w:w="1872"/>
          </w:tcPr>
          <w:p>
            <w:r/>
            <w:r>
              <w:rPr>
                <w:sz w:val="17"/>
              </w:rPr>
              <w:t xml:space="preserve">No </w:t>
            </w:r>
            <w:r>
              <w:rPr>
                <w:rFonts w:ascii="Menlo" w:hAnsi="Menlo"/>
                <w:color w:val="1A3E6E"/>
                <w:sz w:val="15"/>
              </w:rPr>
              <w:t>X_pca_harmony</w:t>
            </w:r>
            <w:r>
              <w:rPr>
                <w:sz w:val="17"/>
              </w:rPr>
              <w:t>; mixing comparison collapses</w:t>
            </w:r>
          </w:p>
        </w:tc>
      </w:tr>
      <w:tr>
        <w:tc>
          <w:tcPr>
            <w:tcW w:type="dxa" w:w="1872"/>
          </w:tcPr>
          <w:p>
            <w:r/>
            <w:r>
              <w:rPr>
                <w:rFonts w:ascii="Menlo" w:hAnsi="Menlo"/>
                <w:color w:val="1A3E6E"/>
                <w:sz w:val="15"/>
              </w:rPr>
              <w:t>module2.harmony.key</w:t>
            </w:r>
          </w:p>
        </w:tc>
        <w:tc>
          <w:tcPr>
            <w:tcW w:type="dxa" w:w="1872"/>
          </w:tcPr>
          <w:p>
            <w:r/>
            <w:r>
              <w:rPr>
                <w:rFonts w:ascii="Menlo" w:hAnsi="Menlo"/>
                <w:color w:val="1A3E6E"/>
                <w:sz w:val="15"/>
              </w:rPr>
              <w:t>donor_id</w:t>
            </w:r>
          </w:p>
        </w:tc>
        <w:tc>
          <w:tcPr>
            <w:tcW w:type="dxa" w:w="1872"/>
          </w:tcPr>
          <w:p>
            <w:r/>
            <w:r>
              <w:rPr>
                <w:sz w:val="17"/>
              </w:rPr>
              <w:t>Obs column for batch</w:t>
            </w:r>
          </w:p>
        </w:tc>
        <w:tc>
          <w:tcPr>
            <w:tcW w:type="dxa" w:w="1872"/>
          </w:tcPr>
          <w:p>
            <w:r/>
            <w:r>
              <w:rPr>
                <w:sz w:val="17"/>
              </w:rPr>
              <w:t xml:space="preserve">Use </w:t>
            </w:r>
            <w:r>
              <w:rPr>
                <w:rFonts w:ascii="Menlo" w:hAnsi="Menlo"/>
                <w:color w:val="1A3E6E"/>
                <w:sz w:val="15"/>
              </w:rPr>
              <w:t>donor_label</w:t>
            </w:r>
          </w:p>
        </w:tc>
        <w:tc>
          <w:tcPr>
            <w:tcW w:type="dxa" w:w="1872"/>
          </w:tcPr>
          <w:p>
            <w:r/>
            <w:r>
              <w:rPr>
                <w:sz w:val="17"/>
              </w:rPr>
              <w:t>Same biological batches if IDs align</w:t>
            </w:r>
          </w:p>
        </w:tc>
      </w:tr>
      <w:tr>
        <w:tc>
          <w:tcPr>
            <w:tcW w:type="dxa" w:w="1872"/>
          </w:tcPr>
          <w:p>
            <w:r/>
            <w:r>
              <w:rPr>
                <w:rFonts w:ascii="Menlo" w:hAnsi="Menlo"/>
                <w:color w:val="1A3E6E"/>
                <w:sz w:val="15"/>
              </w:rPr>
              <w:t>module2.harmony.max_iter_harmony</w:t>
            </w:r>
          </w:p>
        </w:tc>
        <w:tc>
          <w:tcPr>
            <w:tcW w:type="dxa" w:w="1872"/>
          </w:tcPr>
          <w:p>
            <w:r/>
            <w:r>
              <w:rPr>
                <w:rFonts w:ascii="Menlo" w:hAnsi="Menlo"/>
                <w:color w:val="1A3E6E"/>
                <w:sz w:val="15"/>
              </w:rPr>
              <w:t>20</w:t>
            </w:r>
          </w:p>
        </w:tc>
        <w:tc>
          <w:tcPr>
            <w:tcW w:type="dxa" w:w="1872"/>
          </w:tcPr>
          <w:p>
            <w:r/>
            <w:r>
              <w:rPr>
                <w:sz w:val="17"/>
              </w:rPr>
              <w:t>Harmony iterations</w:t>
            </w:r>
          </w:p>
        </w:tc>
        <w:tc>
          <w:tcPr>
            <w:tcW w:type="dxa" w:w="1872"/>
          </w:tcPr>
          <w:p>
            <w:r/>
            <w:r>
              <w:rPr>
                <w:sz w:val="17"/>
              </w:rPr>
              <w:t>Raise</w:t>
            </w:r>
          </w:p>
        </w:tc>
        <w:tc>
          <w:tcPr>
            <w:tcW w:type="dxa" w:w="1872"/>
          </w:tcPr>
          <w:p>
            <w:r/>
            <w:r>
              <w:rPr>
                <w:sz w:val="17"/>
              </w:rPr>
              <w:t>Longer runtime; usually small geometry change</w:t>
            </w:r>
          </w:p>
        </w:tc>
      </w:tr>
      <w:tr>
        <w:tc>
          <w:tcPr>
            <w:tcW w:type="dxa" w:w="1872"/>
          </w:tcPr>
          <w:p>
            <w:r/>
            <w:r>
              <w:rPr>
                <w:rFonts w:ascii="Menlo" w:hAnsi="Menlo"/>
                <w:color w:val="1A3E6E"/>
                <w:sz w:val="15"/>
              </w:rPr>
              <w:t>module2.harmony.theta</w:t>
            </w:r>
          </w:p>
        </w:tc>
        <w:tc>
          <w:tcPr>
            <w:tcW w:type="dxa" w:w="1872"/>
          </w:tcPr>
          <w:p>
            <w:r/>
            <w:r>
              <w:rPr>
                <w:rFonts w:ascii="Menlo" w:hAnsi="Menlo"/>
                <w:color w:val="1A3E6E"/>
                <w:sz w:val="15"/>
              </w:rPr>
              <w:t>null</w:t>
            </w:r>
          </w:p>
        </w:tc>
        <w:tc>
          <w:tcPr>
            <w:tcW w:type="dxa" w:w="1872"/>
          </w:tcPr>
          <w:p>
            <w:r/>
            <w:r>
              <w:rPr>
                <w:sz w:val="17"/>
              </w:rPr>
              <w:t>Diversity penalty (null = package default)</w:t>
            </w:r>
          </w:p>
        </w:tc>
        <w:tc>
          <w:tcPr>
            <w:tcW w:type="dxa" w:w="1872"/>
          </w:tcPr>
          <w:p>
            <w:r/>
            <w:r>
              <w:rPr>
                <w:sz w:val="17"/>
              </w:rPr>
              <w:t>Raise</w:t>
            </w:r>
          </w:p>
        </w:tc>
        <w:tc>
          <w:tcPr>
            <w:tcW w:type="dxa" w:w="1872"/>
          </w:tcPr>
          <w:p>
            <w:r/>
            <w:r>
              <w:rPr>
                <w:sz w:val="17"/>
              </w:rPr>
              <w:t>Stronger correction; risk of overmixing rare states</w:t>
            </w:r>
          </w:p>
        </w:tc>
      </w:tr>
      <w:tr>
        <w:tc>
          <w:tcPr>
            <w:tcW w:type="dxa" w:w="1872"/>
          </w:tcPr>
          <w:p>
            <w:r/>
            <w:r>
              <w:rPr>
                <w:rFonts w:ascii="Menlo" w:hAnsi="Menlo"/>
                <w:color w:val="1A3E6E"/>
                <w:sz w:val="15"/>
              </w:rPr>
              <w:t>module2.random_seed</w:t>
            </w:r>
          </w:p>
        </w:tc>
        <w:tc>
          <w:tcPr>
            <w:tcW w:type="dxa" w:w="1872"/>
          </w:tcPr>
          <w:p>
            <w:r/>
            <w:r>
              <w:rPr>
                <w:rFonts w:ascii="Menlo" w:hAnsi="Menlo"/>
                <w:color w:val="1A3E6E"/>
                <w:sz w:val="15"/>
              </w:rPr>
              <w:t>0</w:t>
            </w:r>
          </w:p>
        </w:tc>
        <w:tc>
          <w:tcPr>
            <w:tcW w:type="dxa" w:w="1872"/>
          </w:tcPr>
          <w:p>
            <w:r/>
            <w:r>
              <w:rPr>
                <w:sz w:val="17"/>
              </w:rPr>
              <w:t>Passed to Harmony / neighbors</w:t>
            </w:r>
          </w:p>
        </w:tc>
        <w:tc>
          <w:tcPr>
            <w:tcW w:type="dxa" w:w="1872"/>
          </w:tcPr>
          <w:p>
            <w:r/>
            <w:r>
              <w:rPr>
                <w:sz w:val="17"/>
              </w:rPr>
              <w:t>Change</w:t>
            </w:r>
          </w:p>
        </w:tc>
        <w:tc>
          <w:tcPr>
            <w:tcW w:type="dxa" w:w="1872"/>
          </w:tcPr>
          <w:p>
            <w:r/>
            <w:r>
              <w:rPr>
                <w:sz w:val="17"/>
              </w:rPr>
              <w:t>Stochastic differences in corrected space</w:t>
            </w:r>
          </w:p>
        </w:tc>
      </w:tr>
    </w:tbl>
    <w:p>
      <w:pPr>
        <w:pStyle w:val="Heading4"/>
      </w:pPr>
      <w:r>
        <w:rPr>
          <w:color w:val="1F4E79"/>
        </w:rPr>
        <w:t>4. Mixing and silhouette diagnostics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Config key</w:t>
            </w:r>
          </w:p>
        </w:tc>
        <w:tc>
          <w:tcPr>
            <w:tcW w:type="dxa" w:w="1872"/>
            <w:shd w:val="clear" w:fill="DCE6F1"/>
          </w:tcPr>
          <w:p>
            <w:r/>
            <w:r>
              <w:rPr>
                <w:b/>
                <w:sz w:val="17"/>
              </w:rPr>
              <w:t>Default</w:t>
            </w:r>
          </w:p>
        </w:tc>
        <w:tc>
          <w:tcPr>
            <w:tcW w:type="dxa" w:w="1872"/>
            <w:shd w:val="clear" w:fill="DCE6F1"/>
          </w:tcPr>
          <w:p>
            <w:r/>
            <w:r>
              <w:rPr>
                <w:b/>
                <w:sz w:val="17"/>
              </w:rPr>
              <w:t>Definition</w:t>
            </w:r>
          </w:p>
        </w:tc>
        <w:tc>
          <w:tcPr>
            <w:tcW w:type="dxa" w:w="1872"/>
            <w:shd w:val="clear" w:fill="DCE6F1"/>
          </w:tcPr>
          <w:p>
            <w:r/>
            <w:r>
              <w:rPr>
                <w:b/>
                <w:sz w:val="17"/>
              </w:rPr>
              <w:t>If modified</w:t>
            </w:r>
          </w:p>
        </w:tc>
        <w:tc>
          <w:tcPr>
            <w:tcW w:type="dxa" w:w="1872"/>
            <w:shd w:val="clear" w:fill="DCE6F1"/>
          </w:tcPr>
          <w:p>
            <w:r/>
            <w:r>
              <w:rPr>
                <w:b/>
                <w:sz w:val="17"/>
              </w:rPr>
              <w:t>Impact on results</w:t>
            </w:r>
          </w:p>
        </w:tc>
      </w:tr>
      <w:tr>
        <w:tc>
          <w:tcPr>
            <w:tcW w:type="dxa" w:w="1872"/>
          </w:tcPr>
          <w:p>
            <w:r/>
            <w:r>
              <w:rPr>
                <w:rFonts w:ascii="Menlo" w:hAnsi="Menlo"/>
                <w:color w:val="1A3E6E"/>
                <w:sz w:val="15"/>
              </w:rPr>
              <w:t>module2.diagnostics.enabled</w:t>
            </w:r>
          </w:p>
        </w:tc>
        <w:tc>
          <w:tcPr>
            <w:tcW w:type="dxa" w:w="1872"/>
          </w:tcPr>
          <w:p>
            <w:r/>
            <w:r>
              <w:rPr>
                <w:rFonts w:ascii="Menlo" w:hAnsi="Menlo"/>
                <w:color w:val="1A3E6E"/>
                <w:sz w:val="15"/>
              </w:rPr>
              <w:t>true</w:t>
            </w:r>
          </w:p>
        </w:tc>
        <w:tc>
          <w:tcPr>
            <w:tcW w:type="dxa" w:w="1872"/>
          </w:tcPr>
          <w:p>
            <w:r/>
            <w:r>
              <w:rPr>
                <w:sz w:val="17"/>
              </w:rPr>
              <w:t>Run mixing / silhouette</w:t>
            </w:r>
          </w:p>
        </w:tc>
        <w:tc>
          <w:tcPr>
            <w:tcW w:type="dxa" w:w="1872"/>
          </w:tcPr>
          <w:p>
            <w:r/>
            <w:r>
              <w:rPr>
                <w:sz w:val="17"/>
              </w:rPr>
              <w:t xml:space="preserve">Set </w:t>
            </w:r>
            <w:r>
              <w:rPr>
                <w:rFonts w:ascii="Menlo" w:hAnsi="Menlo"/>
                <w:color w:val="1A3E6E"/>
                <w:sz w:val="15"/>
              </w:rPr>
              <w:t>false</w:t>
            </w:r>
          </w:p>
        </w:tc>
        <w:tc>
          <w:tcPr>
            <w:tcW w:type="dxa" w:w="1872"/>
          </w:tcPr>
          <w:p>
            <w:r/>
            <w:r>
              <w:rPr>
                <w:sz w:val="17"/>
              </w:rPr>
              <w:t>No mixing tables; RAM floor may omit diagnostic peak</w:t>
            </w:r>
          </w:p>
        </w:tc>
      </w:tr>
      <w:tr>
        <w:tc>
          <w:tcPr>
            <w:tcW w:type="dxa" w:w="1872"/>
          </w:tcPr>
          <w:p>
            <w:r/>
            <w:r>
              <w:rPr>
                <w:rFonts w:ascii="Menlo" w:hAnsi="Menlo"/>
                <w:color w:val="1A3E6E"/>
                <w:sz w:val="15"/>
              </w:rPr>
              <w:t>module2.diagnostics.log_matrix_memory</w:t>
            </w:r>
          </w:p>
        </w:tc>
        <w:tc>
          <w:tcPr>
            <w:tcW w:type="dxa" w:w="1872"/>
          </w:tcPr>
          <w:p>
            <w:r/>
            <w:r>
              <w:rPr>
                <w:rFonts w:ascii="Menlo" w:hAnsi="Menlo"/>
                <w:color w:val="1A3E6E"/>
                <w:sz w:val="15"/>
              </w:rPr>
              <w:t>true</w:t>
            </w:r>
          </w:p>
        </w:tc>
        <w:tc>
          <w:tcPr>
            <w:tcW w:type="dxa" w:w="1872"/>
          </w:tcPr>
          <w:p>
            <w:r/>
            <w:r>
              <w:rPr>
                <w:sz w:val="17"/>
              </w:rPr>
              <w:t>Log matrix RSS notes</w:t>
            </w:r>
          </w:p>
        </w:tc>
        <w:tc>
          <w:tcPr>
            <w:tcW w:type="dxa" w:w="1872"/>
          </w:tcPr>
          <w:p>
            <w:r/>
            <w:r>
              <w:rPr>
                <w:sz w:val="17"/>
              </w:rPr>
              <w:t xml:space="preserve">Set </w:t>
            </w:r>
            <w:r>
              <w:rPr>
                <w:rFonts w:ascii="Menlo" w:hAnsi="Menlo"/>
                <w:color w:val="1A3E6E"/>
                <w:sz w:val="15"/>
              </w:rPr>
              <w:t>false</w:t>
            </w:r>
          </w:p>
        </w:tc>
        <w:tc>
          <w:tcPr>
            <w:tcW w:type="dxa" w:w="1872"/>
          </w:tcPr>
          <w:p>
            <w:r/>
            <w:r>
              <w:rPr>
                <w:sz w:val="17"/>
              </w:rPr>
              <w:t>Reporting only</w:t>
            </w:r>
          </w:p>
        </w:tc>
      </w:tr>
      <w:tr>
        <w:tc>
          <w:tcPr>
            <w:tcW w:type="dxa" w:w="1872"/>
          </w:tcPr>
          <w:p>
            <w:r/>
            <w:r>
              <w:rPr>
                <w:rFonts w:ascii="Menlo" w:hAnsi="Menlo"/>
                <w:color w:val="1A3E6E"/>
                <w:sz w:val="15"/>
              </w:rPr>
              <w:t>module2.diagnostics.knn_k</w:t>
            </w:r>
          </w:p>
        </w:tc>
        <w:tc>
          <w:tcPr>
            <w:tcW w:type="dxa" w:w="1872"/>
          </w:tcPr>
          <w:p>
            <w:r/>
            <w:r>
              <w:rPr>
                <w:rFonts w:ascii="Menlo" w:hAnsi="Menlo"/>
                <w:color w:val="1A3E6E"/>
                <w:sz w:val="15"/>
              </w:rPr>
              <w:t>30</w:t>
            </w:r>
          </w:p>
        </w:tc>
        <w:tc>
          <w:tcPr>
            <w:tcW w:type="dxa" w:w="1872"/>
          </w:tcPr>
          <w:p>
            <w:r/>
            <w:r>
              <w:rPr>
                <w:sz w:val="17"/>
              </w:rPr>
              <w:t>Neighbors for foreign-donor fraction</w:t>
            </w:r>
          </w:p>
        </w:tc>
        <w:tc>
          <w:tcPr>
            <w:tcW w:type="dxa" w:w="1872"/>
          </w:tcPr>
          <w:p>
            <w:r/>
            <w:r>
              <w:rPr>
                <w:sz w:val="17"/>
              </w:rPr>
              <w:t>Change k</w:t>
            </w:r>
          </w:p>
        </w:tc>
        <w:tc>
          <w:tcPr>
            <w:tcW w:type="dxa" w:w="1872"/>
          </w:tcPr>
          <w:p>
            <w:r/>
            <w:r>
              <w:rPr>
                <w:sz w:val="17"/>
              </w:rPr>
              <w:t>Numeric mixing score scale changes</w:t>
            </w:r>
          </w:p>
        </w:tc>
      </w:tr>
      <w:tr>
        <w:tc>
          <w:tcPr>
            <w:tcW w:type="dxa" w:w="1872"/>
          </w:tcPr>
          <w:p>
            <w:r/>
            <w:r>
              <w:rPr>
                <w:rFonts w:ascii="Menlo" w:hAnsi="Menlo"/>
                <w:color w:val="1A3E6E"/>
                <w:sz w:val="15"/>
              </w:rPr>
              <w:t>module2.diagnostics.max_cells</w:t>
            </w:r>
          </w:p>
        </w:tc>
        <w:tc>
          <w:tcPr>
            <w:tcW w:type="dxa" w:w="1872"/>
          </w:tcPr>
          <w:p>
            <w:r/>
            <w:r>
              <w:rPr>
                <w:rFonts w:ascii="Menlo" w:hAnsi="Menlo"/>
                <w:color w:val="1A3E6E"/>
                <w:sz w:val="15"/>
              </w:rPr>
              <w:t>8000</w:t>
            </w:r>
          </w:p>
        </w:tc>
        <w:tc>
          <w:tcPr>
            <w:tcW w:type="dxa" w:w="1872"/>
          </w:tcPr>
          <w:p>
            <w:r/>
            <w:r>
              <w:rPr>
                <w:sz w:val="17"/>
              </w:rPr>
              <w:t>Subsample cap for scoring</w:t>
            </w:r>
          </w:p>
        </w:tc>
        <w:tc>
          <w:tcPr>
            <w:tcW w:type="dxa" w:w="1872"/>
          </w:tcPr>
          <w:p>
            <w:r/>
            <w:r>
              <w:rPr>
                <w:sz w:val="17"/>
              </w:rPr>
              <w:t>Raise</w:t>
            </w:r>
          </w:p>
        </w:tc>
        <w:tc>
          <w:tcPr>
            <w:tcW w:type="dxa" w:w="1872"/>
          </w:tcPr>
          <w:p>
            <w:r/>
            <w:r>
              <w:rPr>
                <w:sz w:val="17"/>
              </w:rPr>
              <w:t>Higher RAM; stabler estimate</w:t>
            </w:r>
          </w:p>
        </w:tc>
      </w:tr>
      <w:tr>
        <w:tc>
          <w:tcPr>
            <w:tcW w:type="dxa" w:w="1872"/>
          </w:tcPr>
          <w:p>
            <w:r/>
            <w:r>
              <w:rPr>
                <w:rFonts w:ascii="Menlo" w:hAnsi="Menlo"/>
                <w:color w:val="1A3E6E"/>
                <w:sz w:val="15"/>
              </w:rPr>
              <w:t>module2.diagnostics.random_seed</w:t>
            </w:r>
          </w:p>
        </w:tc>
        <w:tc>
          <w:tcPr>
            <w:tcW w:type="dxa" w:w="1872"/>
          </w:tcPr>
          <w:p>
            <w:r/>
            <w:r>
              <w:rPr>
                <w:rFonts w:ascii="Menlo" w:hAnsi="Menlo"/>
                <w:color w:val="1A3E6E"/>
                <w:sz w:val="15"/>
              </w:rPr>
              <w:t>null</w:t>
            </w:r>
          </w:p>
        </w:tc>
        <w:tc>
          <w:tcPr>
            <w:tcW w:type="dxa" w:w="1872"/>
          </w:tcPr>
          <w:p>
            <w:r/>
            <w:r>
              <w:rPr>
                <w:sz w:val="17"/>
              </w:rPr>
              <w:t xml:space="preserve">Null falls back to </w:t>
            </w:r>
            <w:r>
              <w:rPr>
                <w:rFonts w:ascii="Menlo" w:hAnsi="Menlo"/>
                <w:color w:val="1A3E6E"/>
                <w:sz w:val="15"/>
              </w:rPr>
              <w:t>module2.random_seed</w:t>
            </w:r>
          </w:p>
        </w:tc>
        <w:tc>
          <w:tcPr>
            <w:tcW w:type="dxa" w:w="1872"/>
          </w:tcPr>
          <w:p>
            <w:r/>
            <w:r>
              <w:rPr>
                <w:sz w:val="17"/>
              </w:rPr>
              <w:t>Set explicit</w:t>
            </w:r>
          </w:p>
        </w:tc>
        <w:tc>
          <w:tcPr>
            <w:tcW w:type="dxa" w:w="1872"/>
          </w:tcPr>
          <w:p>
            <w:r/>
            <w:r>
              <w:rPr>
                <w:sz w:val="17"/>
              </w:rPr>
              <w:t>Controls diagnostic subsample only</w:t>
            </w:r>
          </w:p>
        </w:tc>
      </w:tr>
    </w:tbl>
    <w:p>
      <w:pPr>
        <w:pStyle w:val="Heading4"/>
      </w:pPr>
      <w:r>
        <w:rPr>
          <w:color w:val="1F4E79"/>
        </w:rPr>
        <w:t>5. Coarse cell_class mapping, composition, and pseudobulk</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Config key</w:t>
            </w:r>
          </w:p>
        </w:tc>
        <w:tc>
          <w:tcPr>
            <w:tcW w:type="dxa" w:w="1872"/>
            <w:shd w:val="clear" w:fill="DCE6F1"/>
          </w:tcPr>
          <w:p>
            <w:r/>
            <w:r>
              <w:rPr>
                <w:b/>
                <w:sz w:val="17"/>
              </w:rPr>
              <w:t>Default</w:t>
            </w:r>
          </w:p>
        </w:tc>
        <w:tc>
          <w:tcPr>
            <w:tcW w:type="dxa" w:w="1872"/>
            <w:shd w:val="clear" w:fill="DCE6F1"/>
          </w:tcPr>
          <w:p>
            <w:r/>
            <w:r>
              <w:rPr>
                <w:b/>
                <w:sz w:val="17"/>
              </w:rPr>
              <w:t>Definition</w:t>
            </w:r>
          </w:p>
        </w:tc>
        <w:tc>
          <w:tcPr>
            <w:tcW w:type="dxa" w:w="1872"/>
            <w:shd w:val="clear" w:fill="DCE6F1"/>
          </w:tcPr>
          <w:p>
            <w:r/>
            <w:r>
              <w:rPr>
                <w:b/>
                <w:sz w:val="17"/>
              </w:rPr>
              <w:t>If modified</w:t>
            </w:r>
          </w:p>
        </w:tc>
        <w:tc>
          <w:tcPr>
            <w:tcW w:type="dxa" w:w="1872"/>
            <w:shd w:val="clear" w:fill="DCE6F1"/>
          </w:tcPr>
          <w:p>
            <w:r/>
            <w:r>
              <w:rPr>
                <w:b/>
                <w:sz w:val="17"/>
              </w:rPr>
              <w:t>Impact on results</w:t>
            </w:r>
          </w:p>
        </w:tc>
      </w:tr>
      <w:tr>
        <w:tc>
          <w:tcPr>
            <w:tcW w:type="dxa" w:w="1872"/>
          </w:tcPr>
          <w:p>
            <w:r/>
            <w:r>
              <w:rPr>
                <w:rFonts w:ascii="Menlo" w:hAnsi="Menlo"/>
                <w:color w:val="1A3E6E"/>
                <w:sz w:val="15"/>
              </w:rPr>
              <w:t>module2.label_column</w:t>
            </w:r>
          </w:p>
        </w:tc>
        <w:tc>
          <w:tcPr>
            <w:tcW w:type="dxa" w:w="1872"/>
          </w:tcPr>
          <w:p>
            <w:r/>
            <w:r>
              <w:rPr>
                <w:rFonts w:ascii="Menlo" w:hAnsi="Menlo"/>
                <w:color w:val="1A3E6E"/>
                <w:sz w:val="15"/>
              </w:rPr>
              <w:t>azimuth_label</w:t>
            </w:r>
          </w:p>
        </w:tc>
        <w:tc>
          <w:tcPr>
            <w:tcW w:type="dxa" w:w="1872"/>
          </w:tcPr>
          <w:p>
            <w:r/>
            <w:r>
              <w:rPr>
                <w:sz w:val="17"/>
              </w:rPr>
              <w:t>Fine label source for mapping</w:t>
            </w:r>
          </w:p>
        </w:tc>
        <w:tc>
          <w:tcPr>
            <w:tcW w:type="dxa" w:w="1872"/>
          </w:tcPr>
          <w:p>
            <w:r/>
            <w:r>
              <w:rPr>
                <w:sz w:val="17"/>
              </w:rPr>
              <w:t>Switch column</w:t>
            </w:r>
          </w:p>
        </w:tc>
        <w:tc>
          <w:tcPr>
            <w:tcW w:type="dxa" w:w="1872"/>
          </w:tcPr>
          <w:p>
            <w:r/>
            <w:r>
              <w:rPr>
                <w:sz w:val="17"/>
              </w:rPr>
              <w:t xml:space="preserve">Remaps every </w:t>
            </w:r>
            <w:r>
              <w:rPr>
                <w:rFonts w:ascii="Menlo" w:hAnsi="Menlo"/>
                <w:color w:val="1A3E6E"/>
                <w:sz w:val="15"/>
              </w:rPr>
              <w:t>cell_class</w:t>
            </w:r>
          </w:p>
        </w:tc>
      </w:tr>
      <w:tr>
        <w:tc>
          <w:tcPr>
            <w:tcW w:type="dxa" w:w="1872"/>
          </w:tcPr>
          <w:p>
            <w:r/>
            <w:r>
              <w:rPr>
                <w:rFonts w:ascii="Menlo" w:hAnsi="Menlo"/>
                <w:color w:val="1A3E6E"/>
                <w:sz w:val="15"/>
              </w:rPr>
              <w:t>module2.labels.fetch_remote</w:t>
            </w:r>
          </w:p>
        </w:tc>
        <w:tc>
          <w:tcPr>
            <w:tcW w:type="dxa" w:w="1872"/>
          </w:tcPr>
          <w:p>
            <w:r/>
            <w:r>
              <w:rPr>
                <w:rFonts w:ascii="Menlo" w:hAnsi="Menlo"/>
                <w:color w:val="1A3E6E"/>
                <w:sz w:val="15"/>
              </w:rPr>
              <w:t>false</w:t>
            </w:r>
          </w:p>
        </w:tc>
        <w:tc>
          <w:tcPr>
            <w:tcW w:type="dxa" w:w="1872"/>
          </w:tcPr>
          <w:p>
            <w:r/>
            <w:r>
              <w:rPr>
                <w:sz w:val="17"/>
              </w:rPr>
              <w:t>Remote range-read for labels</w:t>
            </w:r>
          </w:p>
        </w:tc>
        <w:tc>
          <w:tcPr>
            <w:tcW w:type="dxa" w:w="1872"/>
          </w:tcPr>
          <w:p>
            <w:r/>
            <w:r>
              <w:rPr>
                <w:sz w:val="17"/>
              </w:rPr>
              <w:t xml:space="preserve">Set </w:t>
            </w:r>
            <w:r>
              <w:rPr>
                <w:rFonts w:ascii="Menlo" w:hAnsi="Menlo"/>
                <w:color w:val="1A3E6E"/>
                <w:sz w:val="15"/>
              </w:rPr>
              <w:t>true</w:t>
            </w:r>
          </w:p>
        </w:tc>
        <w:tc>
          <w:tcPr>
            <w:tcW w:type="dxa" w:w="1872"/>
          </w:tcPr>
          <w:p>
            <w:r/>
            <w:r>
              <w:rPr>
                <w:sz w:val="17"/>
              </w:rPr>
              <w:t>Join coverage may change</w:t>
            </w:r>
          </w:p>
        </w:tc>
      </w:tr>
      <w:tr>
        <w:tc>
          <w:tcPr>
            <w:tcW w:type="dxa" w:w="1872"/>
          </w:tcPr>
          <w:p>
            <w:r/>
            <w:r>
              <w:rPr>
                <w:rFonts w:ascii="Menlo" w:hAnsi="Menlo"/>
                <w:color w:val="1A3E6E"/>
                <w:sz w:val="15"/>
              </w:rPr>
              <w:t>module2.labels.cache</w:t>
            </w:r>
          </w:p>
        </w:tc>
        <w:tc>
          <w:tcPr>
            <w:tcW w:type="dxa" w:w="1872"/>
          </w:tcPr>
          <w:p>
            <w:r/>
            <w:r>
              <w:rPr>
                <w:rFonts w:ascii="Menlo" w:hAnsi="Menlo"/>
                <w:color w:val="1A3E6E"/>
                <w:sz w:val="15"/>
              </w:rPr>
              <w:t>outputs/tables/module2_azimuth_labels.tsv</w:t>
            </w:r>
          </w:p>
        </w:tc>
        <w:tc>
          <w:tcPr>
            <w:tcW w:type="dxa" w:w="1872"/>
          </w:tcPr>
          <w:p>
            <w:r/>
            <w:r>
              <w:rPr>
                <w:sz w:val="17"/>
              </w:rPr>
              <w:t>Local label cache</w:t>
            </w:r>
          </w:p>
        </w:tc>
        <w:tc>
          <w:tcPr>
            <w:tcW w:type="dxa" w:w="1872"/>
          </w:tcPr>
          <w:p>
            <w:r/>
            <w:r>
              <w:rPr>
                <w:sz w:val="17"/>
              </w:rPr>
              <w:t>Refresh</w:t>
            </w:r>
          </w:p>
        </w:tc>
        <w:tc>
          <w:tcPr>
            <w:tcW w:type="dxa" w:w="1872"/>
          </w:tcPr>
          <w:p>
            <w:r/>
            <w:r>
              <w:rPr>
                <w:sz w:val="17"/>
              </w:rPr>
              <w:t>Same as join change</w:t>
            </w:r>
          </w:p>
        </w:tc>
      </w:tr>
      <w:tr>
        <w:tc>
          <w:tcPr>
            <w:tcW w:type="dxa" w:w="1872"/>
          </w:tcPr>
          <w:p>
            <w:r/>
            <w:r>
              <w:rPr>
                <w:rFonts w:ascii="Menlo" w:hAnsi="Menlo"/>
                <w:color w:val="1A3E6E"/>
                <w:sz w:val="15"/>
              </w:rPr>
              <w:t>module2.groupby</w:t>
            </w:r>
          </w:p>
        </w:tc>
        <w:tc>
          <w:tcPr>
            <w:tcW w:type="dxa" w:w="1872"/>
          </w:tcPr>
          <w:p>
            <w:r/>
            <w:r>
              <w:rPr>
                <w:rFonts w:ascii="Menlo" w:hAnsi="Menlo"/>
                <w:color w:val="1A3E6E"/>
                <w:sz w:val="15"/>
              </w:rPr>
              <w:t>cell_class</w:t>
            </w:r>
          </w:p>
        </w:tc>
        <w:tc>
          <w:tcPr>
            <w:tcW w:type="dxa" w:w="1872"/>
          </w:tcPr>
          <w:p>
            <w:r/>
            <w:r>
              <w:rPr>
                <w:sz w:val="17"/>
              </w:rPr>
              <w:t>Default DE grouping</w:t>
            </w:r>
          </w:p>
        </w:tc>
        <w:tc>
          <w:tcPr>
            <w:tcW w:type="dxa" w:w="1872"/>
          </w:tcPr>
          <w:p>
            <w:r/>
            <w:r>
              <w:rPr>
                <w:sz w:val="17"/>
              </w:rPr>
              <w:t>Use fine labels</w:t>
            </w:r>
          </w:p>
        </w:tc>
        <w:tc>
          <w:tcPr>
            <w:tcW w:type="dxa" w:w="1872"/>
          </w:tcPr>
          <w:p>
            <w:r/>
            <w:r>
              <w:rPr>
                <w:sz w:val="17"/>
              </w:rPr>
              <w:t>Marker tables explode in groups</w:t>
            </w:r>
          </w:p>
        </w:tc>
      </w:tr>
      <w:tr>
        <w:tc>
          <w:tcPr>
            <w:tcW w:type="dxa" w:w="1872"/>
          </w:tcPr>
          <w:p>
            <w:r/>
            <w:r>
              <w:rPr>
                <w:rFonts w:ascii="Menlo" w:hAnsi="Menlo"/>
                <w:color w:val="1A3E6E"/>
                <w:sz w:val="15"/>
              </w:rPr>
              <w:t>module2.export_pseudobulk</w:t>
            </w:r>
          </w:p>
        </w:tc>
        <w:tc>
          <w:tcPr>
            <w:tcW w:type="dxa" w:w="1872"/>
          </w:tcPr>
          <w:p>
            <w:r/>
            <w:r>
              <w:rPr>
                <w:rFonts w:ascii="Menlo" w:hAnsi="Menlo"/>
                <w:color w:val="1A3E6E"/>
                <w:sz w:val="15"/>
              </w:rPr>
              <w:t>true</w:t>
            </w:r>
          </w:p>
        </w:tc>
        <w:tc>
          <w:tcPr>
            <w:tcW w:type="dxa" w:w="1872"/>
          </w:tcPr>
          <w:p>
            <w:r/>
            <w:r>
              <w:rPr>
                <w:sz w:val="17"/>
              </w:rPr>
              <w:t>Write bridge vectors for Module 4</w:t>
            </w:r>
          </w:p>
        </w:tc>
        <w:tc>
          <w:tcPr>
            <w:tcW w:type="dxa" w:w="1872"/>
          </w:tcPr>
          <w:p>
            <w:r/>
            <w:r>
              <w:rPr>
                <w:sz w:val="17"/>
              </w:rPr>
              <w:t xml:space="preserve">Set </w:t>
            </w:r>
            <w:r>
              <w:rPr>
                <w:rFonts w:ascii="Menlo" w:hAnsi="Menlo"/>
                <w:color w:val="1A3E6E"/>
                <w:sz w:val="15"/>
              </w:rPr>
              <w:t>false</w:t>
            </w:r>
          </w:p>
        </w:tc>
        <w:tc>
          <w:tcPr>
            <w:tcW w:type="dxa" w:w="1872"/>
          </w:tcPr>
          <w:p>
            <w:r/>
            <w:r>
              <w:rPr>
                <w:sz w:val="17"/>
              </w:rPr>
              <w:t>Module 4 level bridge lacks HuBMAP side</w:t>
            </w:r>
          </w:p>
        </w:tc>
      </w:tr>
      <w:tr>
        <w:tc>
          <w:tcPr>
            <w:tcW w:type="dxa" w:w="1872"/>
          </w:tcPr>
          <w:p>
            <w:r/>
            <w:r>
              <w:rPr>
                <w:rFonts w:ascii="Menlo" w:hAnsi="Menlo"/>
                <w:color w:val="1A3E6E"/>
                <w:sz w:val="15"/>
              </w:rPr>
              <w:t>module2.markers</w:t>
            </w:r>
          </w:p>
        </w:tc>
        <w:tc>
          <w:tcPr>
            <w:tcW w:type="dxa" w:w="1872"/>
          </w:tcPr>
          <w:p>
            <w:r/>
            <w:r>
              <w:rPr>
                <w:sz w:val="17"/>
              </w:rPr>
              <w:t>lung panel list</w:t>
            </w:r>
          </w:p>
        </w:tc>
        <w:tc>
          <w:tcPr>
            <w:tcW w:type="dxa" w:w="1872"/>
          </w:tcPr>
          <w:p>
            <w:r/>
            <w:r>
              <w:rPr>
                <w:sz w:val="17"/>
              </w:rPr>
              <w:t>Genes for teaching heatmaps/dotplots</w:t>
            </w:r>
          </w:p>
        </w:tc>
        <w:tc>
          <w:tcPr>
            <w:tcW w:type="dxa" w:w="1872"/>
          </w:tcPr>
          <w:p>
            <w:r/>
            <w:r>
              <w:rPr>
                <w:sz w:val="17"/>
              </w:rPr>
              <w:t>Edit list</w:t>
            </w:r>
          </w:p>
        </w:tc>
        <w:tc>
          <w:tcPr>
            <w:tcW w:type="dxa" w:w="1872"/>
          </w:tcPr>
          <w:p>
            <w:r/>
            <w:r>
              <w:rPr>
                <w:sz w:val="17"/>
              </w:rPr>
              <w:t>Figure content only</w:t>
            </w:r>
          </w:p>
        </w:tc>
      </w:tr>
      <w:tr>
        <w:tc>
          <w:tcPr>
            <w:tcW w:type="dxa" w:w="1872"/>
          </w:tcPr>
          <w:p>
            <w:r/>
            <w:r>
              <w:rPr>
                <w:rFonts w:ascii="Menlo" w:hAnsi="Menlo"/>
                <w:color w:val="1A3E6E"/>
                <w:sz w:val="15"/>
              </w:rPr>
              <w:t>module2.known_markers</w:t>
            </w:r>
          </w:p>
        </w:tc>
        <w:tc>
          <w:tcPr>
            <w:tcW w:type="dxa" w:w="1872"/>
          </w:tcPr>
          <w:p>
            <w:r/>
            <w:r>
              <w:rPr>
                <w:sz w:val="17"/>
              </w:rPr>
              <w:t>lineage panels</w:t>
            </w:r>
          </w:p>
        </w:tc>
        <w:tc>
          <w:tcPr>
            <w:tcW w:type="dxa" w:w="1872"/>
          </w:tcPr>
          <w:p>
            <w:r/>
            <w:r>
              <w:rPr>
                <w:sz w:val="17"/>
              </w:rPr>
              <w:t>Named marker sets for dotplots</w:t>
            </w:r>
          </w:p>
        </w:tc>
        <w:tc>
          <w:tcPr>
            <w:tcW w:type="dxa" w:w="1872"/>
          </w:tcPr>
          <w:p>
            <w:r/>
            <w:r>
              <w:rPr>
                <w:sz w:val="17"/>
              </w:rPr>
              <w:t>Edit</w:t>
            </w:r>
          </w:p>
        </w:tc>
        <w:tc>
          <w:tcPr>
            <w:tcW w:type="dxa" w:w="1872"/>
          </w:tcPr>
          <w:p>
            <w:r/>
            <w:r>
              <w:rPr>
                <w:sz w:val="17"/>
              </w:rPr>
              <w:t>Figure content only</w:t>
            </w:r>
          </w:p>
        </w:tc>
      </w:tr>
    </w:tbl>
    <w:p>
      <w:pPr>
        <w:pStyle w:val="Heading4"/>
      </w:pPr>
      <w:r>
        <w:rPr>
          <w:color w:val="1F4E79"/>
        </w:rPr>
        <w:t>6. Intron exclusion on the DE path, Wilcoxon markers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Config key</w:t>
            </w:r>
          </w:p>
        </w:tc>
        <w:tc>
          <w:tcPr>
            <w:tcW w:type="dxa" w:w="1872"/>
            <w:shd w:val="clear" w:fill="DCE6F1"/>
          </w:tcPr>
          <w:p>
            <w:r/>
            <w:r>
              <w:rPr>
                <w:b/>
                <w:sz w:val="17"/>
              </w:rPr>
              <w:t>Default</w:t>
            </w:r>
          </w:p>
        </w:tc>
        <w:tc>
          <w:tcPr>
            <w:tcW w:type="dxa" w:w="1872"/>
            <w:shd w:val="clear" w:fill="DCE6F1"/>
          </w:tcPr>
          <w:p>
            <w:r/>
            <w:r>
              <w:rPr>
                <w:b/>
                <w:sz w:val="17"/>
              </w:rPr>
              <w:t>Definition</w:t>
            </w:r>
          </w:p>
        </w:tc>
        <w:tc>
          <w:tcPr>
            <w:tcW w:type="dxa" w:w="1872"/>
            <w:shd w:val="clear" w:fill="DCE6F1"/>
          </w:tcPr>
          <w:p>
            <w:r/>
            <w:r>
              <w:rPr>
                <w:b/>
                <w:sz w:val="17"/>
              </w:rPr>
              <w:t>If modified</w:t>
            </w:r>
          </w:p>
        </w:tc>
        <w:tc>
          <w:tcPr>
            <w:tcW w:type="dxa" w:w="1872"/>
            <w:shd w:val="clear" w:fill="DCE6F1"/>
          </w:tcPr>
          <w:p>
            <w:r/>
            <w:r>
              <w:rPr>
                <w:b/>
                <w:sz w:val="17"/>
              </w:rPr>
              <w:t>Impact on results</w:t>
            </w:r>
          </w:p>
        </w:tc>
      </w:tr>
      <w:tr>
        <w:tc>
          <w:tcPr>
            <w:tcW w:type="dxa" w:w="1872"/>
          </w:tcPr>
          <w:p>
            <w:r/>
            <w:r>
              <w:rPr>
                <w:rFonts w:ascii="Menlo" w:hAnsi="Menlo"/>
                <w:color w:val="1A3E6E"/>
                <w:sz w:val="15"/>
              </w:rPr>
              <w:t>module2.exclude_intron_features</w:t>
            </w:r>
          </w:p>
        </w:tc>
        <w:tc>
          <w:tcPr>
            <w:tcW w:type="dxa" w:w="1872"/>
          </w:tcPr>
          <w:p>
            <w:r/>
            <w:r>
              <w:rPr>
                <w:rFonts w:ascii="Menlo" w:hAnsi="Menlo"/>
                <w:color w:val="1A3E6E"/>
                <w:sz w:val="15"/>
              </w:rPr>
              <w:t>true</w:t>
            </w:r>
          </w:p>
        </w:tc>
        <w:tc>
          <w:tcPr>
            <w:tcW w:type="dxa" w:w="1872"/>
          </w:tcPr>
          <w:p>
            <w:r/>
            <w:r>
              <w:rPr>
                <w:sz w:val="17"/>
              </w:rPr>
              <w:t xml:space="preserve">Drop </w:t>
            </w:r>
            <w:r>
              <w:rPr>
                <w:rFonts w:ascii="Menlo" w:hAnsi="Menlo"/>
                <w:color w:val="1A3E6E"/>
                <w:sz w:val="15"/>
              </w:rPr>
              <w:t>*-I</w:t>
            </w:r>
            <w:r>
              <w:rPr>
                <w:sz w:val="17"/>
              </w:rPr>
              <w:t xml:space="preserve"> features at DE load</w:t>
            </w:r>
          </w:p>
        </w:tc>
        <w:tc>
          <w:tcPr>
            <w:tcW w:type="dxa" w:w="1872"/>
          </w:tcPr>
          <w:p>
            <w:r/>
            <w:r>
              <w:rPr>
                <w:sz w:val="17"/>
              </w:rPr>
              <w:t xml:space="preserve">Set </w:t>
            </w:r>
            <w:r>
              <w:rPr>
                <w:rFonts w:ascii="Menlo" w:hAnsi="Menlo"/>
                <w:color w:val="1A3E6E"/>
                <w:sz w:val="15"/>
              </w:rPr>
              <w:t>false</w:t>
            </w:r>
          </w:p>
        </w:tc>
        <w:tc>
          <w:tcPr>
            <w:tcW w:type="dxa" w:w="1872"/>
          </w:tcPr>
          <w:p>
            <w:r/>
            <w:r>
              <w:rPr>
                <w:sz w:val="17"/>
              </w:rPr>
              <w:t>Intron tags compete in ranks; markers change</w:t>
            </w:r>
          </w:p>
        </w:tc>
      </w:tr>
      <w:tr>
        <w:tc>
          <w:tcPr>
            <w:tcW w:type="dxa" w:w="1872"/>
          </w:tcPr>
          <w:p>
            <w:r/>
            <w:r>
              <w:rPr>
                <w:rFonts w:ascii="Menlo" w:hAnsi="Menlo"/>
                <w:color w:val="1A3E6E"/>
                <w:sz w:val="15"/>
              </w:rPr>
              <w:t>module2.de.method</w:t>
            </w:r>
          </w:p>
        </w:tc>
        <w:tc>
          <w:tcPr>
            <w:tcW w:type="dxa" w:w="1872"/>
          </w:tcPr>
          <w:p>
            <w:r/>
            <w:r>
              <w:rPr>
                <w:rFonts w:ascii="Menlo" w:hAnsi="Menlo"/>
                <w:color w:val="1A3E6E"/>
                <w:sz w:val="15"/>
              </w:rPr>
              <w:t>wilcoxon</w:t>
            </w:r>
          </w:p>
        </w:tc>
        <w:tc>
          <w:tcPr>
            <w:tcW w:type="dxa" w:w="1872"/>
          </w:tcPr>
          <w:p>
            <w:r/>
            <w:r>
              <w:rPr>
                <w:rFonts w:ascii="Menlo" w:hAnsi="Menlo"/>
                <w:color w:val="1A3E6E"/>
                <w:sz w:val="15"/>
              </w:rPr>
              <w:t>rank_genes_groups</w:t>
            </w:r>
            <w:r>
              <w:rPr>
                <w:sz w:val="17"/>
              </w:rPr>
              <w:t xml:space="preserve"> method</w:t>
            </w:r>
          </w:p>
        </w:tc>
        <w:tc>
          <w:tcPr>
            <w:tcW w:type="dxa" w:w="1872"/>
          </w:tcPr>
          <w:p>
            <w:r/>
            <w:r>
              <w:rPr>
                <w:sz w:val="17"/>
              </w:rPr>
              <w:t>Change</w:t>
            </w:r>
          </w:p>
        </w:tc>
        <w:tc>
          <w:tcPr>
            <w:tcW w:type="dxa" w:w="1872"/>
          </w:tcPr>
          <w:p>
            <w:r/>
            <w:r>
              <w:rPr>
                <w:sz w:val="17"/>
              </w:rPr>
              <w:t>Rank statistics differ</w:t>
            </w:r>
          </w:p>
        </w:tc>
      </w:tr>
      <w:tr>
        <w:tc>
          <w:tcPr>
            <w:tcW w:type="dxa" w:w="1872"/>
          </w:tcPr>
          <w:p>
            <w:r/>
            <w:r>
              <w:rPr>
                <w:rFonts w:ascii="Menlo" w:hAnsi="Menlo"/>
                <w:color w:val="1A3E6E"/>
                <w:sz w:val="15"/>
              </w:rPr>
              <w:t>module2.de.n_genes</w:t>
            </w:r>
          </w:p>
        </w:tc>
        <w:tc>
          <w:tcPr>
            <w:tcW w:type="dxa" w:w="1872"/>
          </w:tcPr>
          <w:p>
            <w:r/>
            <w:r>
              <w:rPr>
                <w:rFonts w:ascii="Menlo" w:hAnsi="Menlo"/>
                <w:color w:val="1A3E6E"/>
                <w:sz w:val="15"/>
              </w:rPr>
              <w:t>3000</w:t>
            </w:r>
          </w:p>
        </w:tc>
        <w:tc>
          <w:tcPr>
            <w:tcW w:type="dxa" w:w="1872"/>
          </w:tcPr>
          <w:p>
            <w:r/>
            <w:r>
              <w:rPr>
                <w:sz w:val="17"/>
              </w:rPr>
              <w:t>Genes reported per group (prerank-friendly)</w:t>
            </w:r>
          </w:p>
        </w:tc>
        <w:tc>
          <w:tcPr>
            <w:tcW w:type="dxa" w:w="1872"/>
          </w:tcPr>
          <w:p>
            <w:r/>
            <w:r>
              <w:rPr>
                <w:sz w:val="17"/>
              </w:rPr>
              <w:t>Lower</w:t>
            </w:r>
          </w:p>
        </w:tc>
        <w:tc>
          <w:tcPr>
            <w:tcW w:type="dxa" w:w="1872"/>
          </w:tcPr>
          <w:p>
            <w:r/>
            <w:r>
              <w:rPr>
                <w:sz w:val="17"/>
              </w:rPr>
              <w:t>Shorter ranked lists for GSEA</w:t>
            </w:r>
          </w:p>
        </w:tc>
      </w:tr>
      <w:tr>
        <w:tc>
          <w:tcPr>
            <w:tcW w:type="dxa" w:w="1872"/>
          </w:tcPr>
          <w:p>
            <w:r/>
            <w:r>
              <w:rPr>
                <w:rFonts w:ascii="Menlo" w:hAnsi="Menlo"/>
                <w:color w:val="1A3E6E"/>
                <w:sz w:val="15"/>
              </w:rPr>
              <w:t>module2.de.min_cells_per_group</w:t>
            </w:r>
          </w:p>
        </w:tc>
        <w:tc>
          <w:tcPr>
            <w:tcW w:type="dxa" w:w="1872"/>
          </w:tcPr>
          <w:p>
            <w:r/>
            <w:r>
              <w:rPr>
                <w:rFonts w:ascii="Menlo" w:hAnsi="Menlo"/>
                <w:color w:val="1A3E6E"/>
                <w:sz w:val="15"/>
              </w:rPr>
              <w:t>50</w:t>
            </w:r>
          </w:p>
        </w:tc>
        <w:tc>
          <w:tcPr>
            <w:tcW w:type="dxa" w:w="1872"/>
          </w:tcPr>
          <w:p>
            <w:r/>
            <w:r>
              <w:rPr>
                <w:sz w:val="17"/>
              </w:rPr>
              <w:t>Minimum nuclei to keep a group</w:t>
            </w:r>
          </w:p>
        </w:tc>
        <w:tc>
          <w:tcPr>
            <w:tcW w:type="dxa" w:w="1872"/>
          </w:tcPr>
          <w:p>
            <w:r/>
            <w:r>
              <w:rPr>
                <w:sz w:val="17"/>
              </w:rPr>
              <w:t>Raise</w:t>
            </w:r>
          </w:p>
        </w:tc>
        <w:tc>
          <w:tcPr>
            <w:tcW w:type="dxa" w:w="1872"/>
          </w:tcPr>
          <w:p>
            <w:r/>
            <w:r>
              <w:rPr>
                <w:sz w:val="17"/>
              </w:rPr>
              <w:t>Rare classes may drop from DE</w:t>
            </w:r>
          </w:p>
        </w:tc>
      </w:tr>
      <w:tr>
        <w:tc>
          <w:tcPr>
            <w:tcW w:type="dxa" w:w="1872"/>
          </w:tcPr>
          <w:p>
            <w:r/>
            <w:r>
              <w:rPr>
                <w:rFonts w:ascii="Menlo" w:hAnsi="Menlo"/>
                <w:color w:val="1A3E6E"/>
                <w:sz w:val="15"/>
              </w:rPr>
              <w:t>module2.de.min_logfoldchange</w:t>
            </w:r>
          </w:p>
        </w:tc>
        <w:tc>
          <w:tcPr>
            <w:tcW w:type="dxa" w:w="1872"/>
          </w:tcPr>
          <w:p>
            <w:r/>
            <w:r>
              <w:rPr>
                <w:rFonts w:ascii="Menlo" w:hAnsi="Menlo"/>
                <w:color w:val="1A3E6E"/>
                <w:sz w:val="15"/>
              </w:rPr>
              <w:t>0.25</w:t>
            </w:r>
          </w:p>
        </w:tc>
        <w:tc>
          <w:tcPr>
            <w:tcW w:type="dxa" w:w="1872"/>
          </w:tcPr>
          <w:p>
            <w:r/>
            <w:r>
              <w:rPr>
                <w:sz w:val="17"/>
              </w:rPr>
              <w:t>Filter for ORA input markers</w:t>
            </w:r>
          </w:p>
        </w:tc>
        <w:tc>
          <w:tcPr>
            <w:tcW w:type="dxa" w:w="1872"/>
          </w:tcPr>
          <w:p>
            <w:r/>
            <w:r>
              <w:rPr>
                <w:sz w:val="17"/>
              </w:rPr>
              <w:t>Raise</w:t>
            </w:r>
          </w:p>
        </w:tc>
        <w:tc>
          <w:tcPr>
            <w:tcW w:type="dxa" w:w="1872"/>
          </w:tcPr>
          <w:p>
            <w:r/>
            <w:r>
              <w:rPr>
                <w:sz w:val="17"/>
              </w:rPr>
              <w:t>Fewer ORA genes; brittle enrichment</w:t>
            </w:r>
          </w:p>
        </w:tc>
      </w:tr>
      <w:tr>
        <w:tc>
          <w:tcPr>
            <w:tcW w:type="dxa" w:w="1872"/>
          </w:tcPr>
          <w:p>
            <w:r/>
            <w:r>
              <w:rPr>
                <w:rFonts w:ascii="Menlo" w:hAnsi="Menlo"/>
                <w:color w:val="1A3E6E"/>
                <w:sz w:val="15"/>
              </w:rPr>
              <w:t>module2.de.max_padj</w:t>
            </w:r>
          </w:p>
        </w:tc>
        <w:tc>
          <w:tcPr>
            <w:tcW w:type="dxa" w:w="1872"/>
          </w:tcPr>
          <w:p>
            <w:r/>
            <w:r>
              <w:rPr>
                <w:rFonts w:ascii="Menlo" w:hAnsi="Menlo"/>
                <w:color w:val="1A3E6E"/>
                <w:sz w:val="15"/>
              </w:rPr>
              <w:t>0.05</w:t>
            </w:r>
          </w:p>
        </w:tc>
        <w:tc>
          <w:tcPr>
            <w:tcW w:type="dxa" w:w="1872"/>
          </w:tcPr>
          <w:p>
            <w:r/>
            <w:r>
              <w:rPr>
                <w:sz w:val="17"/>
              </w:rPr>
              <w:t>Adjusted p filter for markers</w:t>
            </w:r>
          </w:p>
        </w:tc>
        <w:tc>
          <w:tcPr>
            <w:tcW w:type="dxa" w:w="1872"/>
          </w:tcPr>
          <w:p>
            <w:r/>
            <w:r>
              <w:rPr>
                <w:sz w:val="17"/>
              </w:rPr>
              <w:t>Stricter</w:t>
            </w:r>
          </w:p>
        </w:tc>
        <w:tc>
          <w:tcPr>
            <w:tcW w:type="dxa" w:w="1872"/>
          </w:tcPr>
          <w:p>
            <w:r/>
            <w:r>
              <w:rPr>
                <w:sz w:val="17"/>
              </w:rPr>
              <w:t>Same direction as LFC filter</w:t>
            </w:r>
          </w:p>
        </w:tc>
      </w:tr>
      <w:tr>
        <w:tc>
          <w:tcPr>
            <w:tcW w:type="dxa" w:w="1872"/>
          </w:tcPr>
          <w:p>
            <w:r/>
            <w:r>
              <w:rPr>
                <w:rFonts w:ascii="Menlo" w:hAnsi="Menlo"/>
                <w:color w:val="1A3E6E"/>
                <w:sz w:val="15"/>
              </w:rPr>
              <w:t>module2.de.exclude_ribosomal_genes</w:t>
            </w:r>
          </w:p>
        </w:tc>
        <w:tc>
          <w:tcPr>
            <w:tcW w:type="dxa" w:w="1872"/>
          </w:tcPr>
          <w:p>
            <w:r/>
            <w:r>
              <w:rPr>
                <w:rFonts w:ascii="Menlo" w:hAnsi="Menlo"/>
                <w:color w:val="1A3E6E"/>
                <w:sz w:val="15"/>
              </w:rPr>
              <w:t>true</w:t>
            </w:r>
          </w:p>
        </w:tc>
        <w:tc>
          <w:tcPr>
            <w:tcW w:type="dxa" w:w="1872"/>
          </w:tcPr>
          <w:p>
            <w:r/>
            <w:r>
              <w:rPr>
                <w:sz w:val="17"/>
              </w:rPr>
              <w:t>Drop ribosomal symbols from marker tables</w:t>
            </w:r>
          </w:p>
        </w:tc>
        <w:tc>
          <w:tcPr>
            <w:tcW w:type="dxa" w:w="1872"/>
          </w:tcPr>
          <w:p>
            <w:r/>
            <w:r>
              <w:rPr>
                <w:sz w:val="17"/>
              </w:rPr>
              <w:t xml:space="preserve">Set </w:t>
            </w:r>
            <w:r>
              <w:rPr>
                <w:rFonts w:ascii="Menlo" w:hAnsi="Menlo"/>
                <w:color w:val="1A3E6E"/>
                <w:sz w:val="15"/>
              </w:rPr>
              <w:t>false</w:t>
            </w:r>
          </w:p>
        </w:tc>
        <w:tc>
          <w:tcPr>
            <w:tcW w:type="dxa" w:w="1872"/>
          </w:tcPr>
          <w:p>
            <w:r/>
            <w:r>
              <w:rPr>
                <w:sz w:val="17"/>
              </w:rPr>
              <w:t>Ribosomal genes dominate ranks</w:t>
            </w:r>
          </w:p>
        </w:tc>
      </w:tr>
      <w:tr>
        <w:tc>
          <w:tcPr>
            <w:tcW w:type="dxa" w:w="1872"/>
          </w:tcPr>
          <w:p>
            <w:r/>
            <w:r>
              <w:rPr>
                <w:rFonts w:ascii="Menlo" w:hAnsi="Menlo"/>
                <w:color w:val="1A3E6E"/>
                <w:sz w:val="15"/>
              </w:rPr>
              <w:t>module2.azimuth_focus</w:t>
            </w:r>
          </w:p>
        </w:tc>
        <w:tc>
          <w:tcPr>
            <w:tcW w:type="dxa" w:w="1872"/>
          </w:tcPr>
          <w:p>
            <w:r/>
            <w:r>
              <w:rPr>
                <w:sz w:val="17"/>
              </w:rPr>
              <w:t>AT2/AT1/...</w:t>
            </w:r>
          </w:p>
        </w:tc>
        <w:tc>
          <w:tcPr>
            <w:tcW w:type="dxa" w:w="1872"/>
          </w:tcPr>
          <w:p>
            <w:r/>
            <w:r>
              <w:rPr>
                <w:sz w:val="17"/>
              </w:rPr>
              <w:t>Fine labels highlighted in plots</w:t>
            </w:r>
          </w:p>
        </w:tc>
        <w:tc>
          <w:tcPr>
            <w:tcW w:type="dxa" w:w="1872"/>
          </w:tcPr>
          <w:p>
            <w:r/>
            <w:r>
              <w:rPr>
                <w:sz w:val="17"/>
              </w:rPr>
              <w:t>Edit</w:t>
            </w:r>
          </w:p>
        </w:tc>
        <w:tc>
          <w:tcPr>
            <w:tcW w:type="dxa" w:w="1872"/>
          </w:tcPr>
          <w:p>
            <w:r/>
            <w:r>
              <w:rPr>
                <w:sz w:val="17"/>
              </w:rPr>
              <w:t>Figure focus only</w:t>
            </w:r>
          </w:p>
        </w:tc>
      </w:tr>
    </w:tbl>
    <w:p>
      <w:pPr>
        <w:pStyle w:val="Heading4"/>
      </w:pPr>
      <w:r>
        <w:rPr>
          <w:color w:val="1F4E79"/>
        </w:rPr>
        <w:t>7. Local GMT enrichment (ORA and prerank)</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7"/>
              </w:rPr>
              <w:t>Config key</w:t>
            </w:r>
          </w:p>
        </w:tc>
        <w:tc>
          <w:tcPr>
            <w:tcW w:type="dxa" w:w="1872"/>
            <w:shd w:val="clear" w:fill="DCE6F1"/>
          </w:tcPr>
          <w:p>
            <w:r/>
            <w:r>
              <w:rPr>
                <w:b/>
                <w:sz w:val="17"/>
              </w:rPr>
              <w:t>Default</w:t>
            </w:r>
          </w:p>
        </w:tc>
        <w:tc>
          <w:tcPr>
            <w:tcW w:type="dxa" w:w="1872"/>
            <w:shd w:val="clear" w:fill="DCE6F1"/>
          </w:tcPr>
          <w:p>
            <w:r/>
            <w:r>
              <w:rPr>
                <w:b/>
                <w:sz w:val="17"/>
              </w:rPr>
              <w:t>Definition</w:t>
            </w:r>
          </w:p>
        </w:tc>
        <w:tc>
          <w:tcPr>
            <w:tcW w:type="dxa" w:w="1872"/>
            <w:shd w:val="clear" w:fill="DCE6F1"/>
          </w:tcPr>
          <w:p>
            <w:r/>
            <w:r>
              <w:rPr>
                <w:b/>
                <w:sz w:val="17"/>
              </w:rPr>
              <w:t>If modified</w:t>
            </w:r>
          </w:p>
        </w:tc>
        <w:tc>
          <w:tcPr>
            <w:tcW w:type="dxa" w:w="1872"/>
            <w:shd w:val="clear" w:fill="DCE6F1"/>
          </w:tcPr>
          <w:p>
            <w:r/>
            <w:r>
              <w:rPr>
                <w:b/>
                <w:sz w:val="17"/>
              </w:rPr>
              <w:t>Impact on results</w:t>
            </w:r>
          </w:p>
        </w:tc>
      </w:tr>
      <w:tr>
        <w:tc>
          <w:tcPr>
            <w:tcW w:type="dxa" w:w="1872"/>
          </w:tcPr>
          <w:p>
            <w:r/>
            <w:r>
              <w:rPr>
                <w:rFonts w:ascii="Menlo" w:hAnsi="Menlo"/>
                <w:color w:val="1A3E6E"/>
                <w:sz w:val="15"/>
              </w:rPr>
              <w:t>module2.enrichment.enabled</w:t>
            </w:r>
          </w:p>
        </w:tc>
        <w:tc>
          <w:tcPr>
            <w:tcW w:type="dxa" w:w="1872"/>
          </w:tcPr>
          <w:p>
            <w:r/>
            <w:r>
              <w:rPr>
                <w:rFonts w:ascii="Menlo" w:hAnsi="Menlo"/>
                <w:color w:val="1A3E6E"/>
                <w:sz w:val="15"/>
              </w:rPr>
              <w:t>true</w:t>
            </w:r>
          </w:p>
        </w:tc>
        <w:tc>
          <w:tcPr>
            <w:tcW w:type="dxa" w:w="1872"/>
          </w:tcPr>
          <w:p>
            <w:r/>
            <w:r>
              <w:rPr>
                <w:sz w:val="17"/>
              </w:rPr>
              <w:t>Run enrichment half</w:t>
            </w:r>
          </w:p>
        </w:tc>
        <w:tc>
          <w:tcPr>
            <w:tcW w:type="dxa" w:w="1872"/>
          </w:tcPr>
          <w:p>
            <w:r/>
            <w:r>
              <w:rPr>
                <w:sz w:val="17"/>
              </w:rPr>
              <w:t xml:space="preserve">Set </w:t>
            </w:r>
            <w:r>
              <w:rPr>
                <w:rFonts w:ascii="Menlo" w:hAnsi="Menlo"/>
                <w:color w:val="1A3E6E"/>
                <w:sz w:val="15"/>
              </w:rPr>
              <w:t>false</w:t>
            </w:r>
          </w:p>
        </w:tc>
        <w:tc>
          <w:tcPr>
            <w:tcW w:type="dxa" w:w="1872"/>
          </w:tcPr>
          <w:p>
            <w:r/>
            <w:r>
              <w:rPr>
                <w:sz w:val="17"/>
              </w:rPr>
              <w:t>No pathway tables</w:t>
            </w:r>
          </w:p>
        </w:tc>
      </w:tr>
      <w:tr>
        <w:tc>
          <w:tcPr>
            <w:tcW w:type="dxa" w:w="1872"/>
          </w:tcPr>
          <w:p>
            <w:r/>
            <w:r>
              <w:rPr>
                <w:rFonts w:ascii="Menlo" w:hAnsi="Menlo"/>
                <w:color w:val="1A3E6E"/>
                <w:sz w:val="15"/>
              </w:rPr>
              <w:t>module2.enrichment.mode</w:t>
            </w:r>
          </w:p>
        </w:tc>
        <w:tc>
          <w:tcPr>
            <w:tcW w:type="dxa" w:w="1872"/>
          </w:tcPr>
          <w:p>
            <w:r/>
            <w:r>
              <w:rPr>
                <w:rFonts w:ascii="Menlo" w:hAnsi="Menlo"/>
                <w:color w:val="1A3E6E"/>
                <w:sz w:val="15"/>
              </w:rPr>
              <w:t>local_gmt</w:t>
            </w:r>
          </w:p>
        </w:tc>
        <w:tc>
          <w:tcPr>
            <w:tcW w:type="dxa" w:w="1872"/>
          </w:tcPr>
          <w:p>
            <w:r/>
            <w:r>
              <w:rPr>
                <w:sz w:val="17"/>
              </w:rPr>
              <w:t>Offline GMT vs Enrichr HTTP</w:t>
            </w:r>
          </w:p>
        </w:tc>
        <w:tc>
          <w:tcPr>
            <w:tcW w:type="dxa" w:w="1872"/>
          </w:tcPr>
          <w:p>
            <w:r/>
            <w:r>
              <w:rPr>
                <w:rFonts w:ascii="Menlo" w:hAnsi="Menlo"/>
                <w:color w:val="1A3E6E"/>
                <w:sz w:val="15"/>
              </w:rPr>
              <w:t>enrichr_online</w:t>
            </w:r>
          </w:p>
        </w:tc>
        <w:tc>
          <w:tcPr>
            <w:tcW w:type="dxa" w:w="1872"/>
          </w:tcPr>
          <w:p>
            <w:r/>
            <w:r>
              <w:rPr>
                <w:sz w:val="17"/>
              </w:rPr>
              <w:t>Needs network; different background</w:t>
            </w:r>
          </w:p>
        </w:tc>
      </w:tr>
      <w:tr>
        <w:tc>
          <w:tcPr>
            <w:tcW w:type="dxa" w:w="1872"/>
          </w:tcPr>
          <w:p>
            <w:r/>
            <w:r>
              <w:rPr>
                <w:rFonts w:ascii="Menlo" w:hAnsi="Menlo"/>
                <w:color w:val="1A3E6E"/>
                <w:sz w:val="15"/>
              </w:rPr>
              <w:t>module2.enrichment.gene_sets</w:t>
            </w:r>
          </w:p>
        </w:tc>
        <w:tc>
          <w:tcPr>
            <w:tcW w:type="dxa" w:w="1872"/>
          </w:tcPr>
          <w:p>
            <w:r/>
            <w:r>
              <w:rPr>
                <w:sz w:val="17"/>
              </w:rPr>
              <w:t>Hallmark, Reactome, GO BP</w:t>
            </w:r>
          </w:p>
        </w:tc>
        <w:tc>
          <w:tcPr>
            <w:tcW w:type="dxa" w:w="1872"/>
          </w:tcPr>
          <w:p>
            <w:r/>
            <w:r>
              <w:rPr>
                <w:sz w:val="17"/>
              </w:rPr>
              <w:t xml:space="preserve">GMT basenames under </w:t>
            </w:r>
            <w:r>
              <w:rPr>
                <w:rFonts w:ascii="Menlo" w:hAnsi="Menlo"/>
                <w:color w:val="1A3E6E"/>
                <w:sz w:val="15"/>
              </w:rPr>
              <w:t>data/genesets</w:t>
            </w:r>
          </w:p>
        </w:tc>
        <w:tc>
          <w:tcPr>
            <w:tcW w:type="dxa" w:w="1872"/>
          </w:tcPr>
          <w:p>
            <w:r/>
            <w:r>
              <w:rPr>
                <w:sz w:val="17"/>
              </w:rPr>
              <w:t>Swap release</w:t>
            </w:r>
          </w:p>
        </w:tc>
        <w:tc>
          <w:tcPr>
            <w:tcW w:type="dxa" w:w="1872"/>
          </w:tcPr>
          <w:p>
            <w:r/>
            <w:r>
              <w:rPr>
                <w:sz w:val="17"/>
              </w:rPr>
              <w:t>Term names/sizes change</w:t>
            </w:r>
          </w:p>
        </w:tc>
      </w:tr>
      <w:tr>
        <w:tc>
          <w:tcPr>
            <w:tcW w:type="dxa" w:w="1872"/>
          </w:tcPr>
          <w:p>
            <w:r/>
            <w:r>
              <w:rPr>
                <w:rFonts w:ascii="Menlo" w:hAnsi="Menlo"/>
                <w:color w:val="1A3E6E"/>
                <w:sz w:val="15"/>
              </w:rPr>
              <w:t>module2.enrichment.geneset_dir</w:t>
            </w:r>
          </w:p>
        </w:tc>
        <w:tc>
          <w:tcPr>
            <w:tcW w:type="dxa" w:w="1872"/>
          </w:tcPr>
          <w:p>
            <w:r/>
            <w:r>
              <w:rPr>
                <w:rFonts w:ascii="Menlo" w:hAnsi="Menlo"/>
                <w:color w:val="1A3E6E"/>
                <w:sz w:val="15"/>
              </w:rPr>
              <w:t>data/genesets</w:t>
            </w:r>
          </w:p>
        </w:tc>
        <w:tc>
          <w:tcPr>
            <w:tcW w:type="dxa" w:w="1872"/>
          </w:tcPr>
          <w:p>
            <w:r/>
            <w:r>
              <w:rPr>
                <w:sz w:val="17"/>
              </w:rPr>
              <w:t>GMT directory</w:t>
            </w:r>
          </w:p>
        </w:tc>
        <w:tc>
          <w:tcPr>
            <w:tcW w:type="dxa" w:w="1872"/>
          </w:tcPr>
          <w:p>
            <w:r/>
            <w:r>
              <w:rPr>
                <w:sz w:val="17"/>
              </w:rPr>
              <w:t>Relocate</w:t>
            </w:r>
          </w:p>
        </w:tc>
        <w:tc>
          <w:tcPr>
            <w:tcW w:type="dxa" w:w="1872"/>
          </w:tcPr>
          <w:p>
            <w:r/>
            <w:r>
              <w:rPr>
                <w:sz w:val="17"/>
              </w:rPr>
              <w:t>Path resolution</w:t>
            </w:r>
          </w:p>
        </w:tc>
      </w:tr>
      <w:tr>
        <w:tc>
          <w:tcPr>
            <w:tcW w:type="dxa" w:w="1872"/>
          </w:tcPr>
          <w:p>
            <w:r/>
            <w:r>
              <w:rPr>
                <w:rFonts w:ascii="Menlo" w:hAnsi="Menlo"/>
                <w:color w:val="1A3E6E"/>
                <w:sz w:val="15"/>
              </w:rPr>
              <w:t>module2.enrichment.top_genes_per_group</w:t>
            </w:r>
          </w:p>
        </w:tc>
        <w:tc>
          <w:tcPr>
            <w:tcW w:type="dxa" w:w="1872"/>
          </w:tcPr>
          <w:p>
            <w:r/>
            <w:r>
              <w:rPr>
                <w:rFonts w:ascii="Menlo" w:hAnsi="Menlo"/>
                <w:color w:val="1A3E6E"/>
                <w:sz w:val="15"/>
              </w:rPr>
              <w:t>100</w:t>
            </w:r>
          </w:p>
        </w:tc>
        <w:tc>
          <w:tcPr>
            <w:tcW w:type="dxa" w:w="1872"/>
          </w:tcPr>
          <w:p>
            <w:r/>
            <w:r>
              <w:rPr>
                <w:sz w:val="17"/>
              </w:rPr>
              <w:t>ORA input list size</w:t>
            </w:r>
          </w:p>
        </w:tc>
        <w:tc>
          <w:tcPr>
            <w:tcW w:type="dxa" w:w="1872"/>
          </w:tcPr>
          <w:p>
            <w:r/>
            <w:r>
              <w:rPr>
                <w:sz w:val="17"/>
              </w:rPr>
              <w:t>Lower</w:t>
            </w:r>
          </w:p>
        </w:tc>
        <w:tc>
          <w:tcPr>
            <w:tcW w:type="dxa" w:w="1872"/>
          </w:tcPr>
          <w:p>
            <w:r/>
            <w:r>
              <w:rPr>
                <w:sz w:val="17"/>
              </w:rPr>
              <w:t>Unstable ORA</w:t>
            </w:r>
          </w:p>
        </w:tc>
      </w:tr>
      <w:tr>
        <w:tc>
          <w:tcPr>
            <w:tcW w:type="dxa" w:w="1872"/>
          </w:tcPr>
          <w:p>
            <w:r/>
            <w:r>
              <w:rPr>
                <w:rFonts w:ascii="Menlo" w:hAnsi="Menlo"/>
                <w:color w:val="1A3E6E"/>
                <w:sz w:val="15"/>
              </w:rPr>
              <w:t>module2.enrichment.cutoff_padj</w:t>
            </w:r>
          </w:p>
        </w:tc>
        <w:tc>
          <w:tcPr>
            <w:tcW w:type="dxa" w:w="1872"/>
          </w:tcPr>
          <w:p>
            <w:r/>
            <w:r>
              <w:rPr>
                <w:rFonts w:ascii="Menlo" w:hAnsi="Menlo"/>
                <w:color w:val="1A3E6E"/>
                <w:sz w:val="15"/>
              </w:rPr>
              <w:t>0.05</w:t>
            </w:r>
          </w:p>
        </w:tc>
        <w:tc>
          <w:tcPr>
            <w:tcW w:type="dxa" w:w="1872"/>
          </w:tcPr>
          <w:p>
            <w:r/>
            <w:r>
              <w:rPr>
                <w:sz w:val="17"/>
              </w:rPr>
              <w:t>ORA marker padj gate</w:t>
            </w:r>
          </w:p>
        </w:tc>
        <w:tc>
          <w:tcPr>
            <w:tcW w:type="dxa" w:w="1872"/>
          </w:tcPr>
          <w:p>
            <w:r/>
            <w:r>
              <w:rPr>
                <w:sz w:val="17"/>
              </w:rPr>
              <w:t>Stricter</w:t>
            </w:r>
          </w:p>
        </w:tc>
        <w:tc>
          <w:tcPr>
            <w:tcW w:type="dxa" w:w="1872"/>
          </w:tcPr>
          <w:p>
            <w:r/>
            <w:r>
              <w:rPr>
                <w:sz w:val="17"/>
              </w:rPr>
              <w:t>Fewer input genes</w:t>
            </w:r>
          </w:p>
        </w:tc>
      </w:tr>
      <w:tr>
        <w:tc>
          <w:tcPr>
            <w:tcW w:type="dxa" w:w="1872"/>
          </w:tcPr>
          <w:p>
            <w:r/>
            <w:r>
              <w:rPr>
                <w:rFonts w:ascii="Menlo" w:hAnsi="Menlo"/>
                <w:color w:val="1A3E6E"/>
                <w:sz w:val="15"/>
              </w:rPr>
              <w:t>module2.enrichment.prerank.enabled</w:t>
            </w:r>
          </w:p>
        </w:tc>
        <w:tc>
          <w:tcPr>
            <w:tcW w:type="dxa" w:w="1872"/>
          </w:tcPr>
          <w:p>
            <w:r/>
            <w:r>
              <w:rPr>
                <w:rFonts w:ascii="Menlo" w:hAnsi="Menlo"/>
                <w:color w:val="1A3E6E"/>
                <w:sz w:val="15"/>
              </w:rPr>
              <w:t>true</w:t>
            </w:r>
          </w:p>
        </w:tc>
        <w:tc>
          <w:tcPr>
            <w:tcW w:type="dxa" w:w="1872"/>
          </w:tcPr>
          <w:p>
            <w:r/>
            <w:r>
              <w:rPr>
                <w:sz w:val="17"/>
              </w:rPr>
              <w:t>Run prerank GSEA</w:t>
            </w:r>
          </w:p>
        </w:tc>
        <w:tc>
          <w:tcPr>
            <w:tcW w:type="dxa" w:w="1872"/>
          </w:tcPr>
          <w:p>
            <w:r/>
            <w:r>
              <w:rPr>
                <w:sz w:val="17"/>
              </w:rPr>
              <w:t xml:space="preserve">Set </w:t>
            </w:r>
            <w:r>
              <w:rPr>
                <w:rFonts w:ascii="Menlo" w:hAnsi="Menlo"/>
                <w:color w:val="1A3E6E"/>
                <w:sz w:val="15"/>
              </w:rPr>
              <w:t>false</w:t>
            </w:r>
          </w:p>
        </w:tc>
        <w:tc>
          <w:tcPr>
            <w:tcW w:type="dxa" w:w="1872"/>
          </w:tcPr>
          <w:p>
            <w:r/>
            <w:r>
              <w:rPr>
                <w:sz w:val="17"/>
              </w:rPr>
              <w:t>No NES table for Module 2</w:t>
            </w:r>
          </w:p>
        </w:tc>
      </w:tr>
      <w:tr>
        <w:tc>
          <w:tcPr>
            <w:tcW w:type="dxa" w:w="1872"/>
          </w:tcPr>
          <w:p>
            <w:r/>
            <w:r>
              <w:rPr>
                <w:rFonts w:ascii="Menlo" w:hAnsi="Menlo"/>
                <w:color w:val="1A3E6E"/>
                <w:sz w:val="15"/>
              </w:rPr>
              <w:t>module2.enrichment.prerank.min_size</w:t>
            </w:r>
          </w:p>
        </w:tc>
        <w:tc>
          <w:tcPr>
            <w:tcW w:type="dxa" w:w="1872"/>
          </w:tcPr>
          <w:p>
            <w:r/>
            <w:r>
              <w:rPr>
                <w:rFonts w:ascii="Menlo" w:hAnsi="Menlo"/>
                <w:color w:val="1A3E6E"/>
                <w:sz w:val="15"/>
              </w:rPr>
              <w:t>15</w:t>
            </w:r>
          </w:p>
        </w:tc>
        <w:tc>
          <w:tcPr>
            <w:tcW w:type="dxa" w:w="1872"/>
          </w:tcPr>
          <w:p>
            <w:r/>
            <w:r>
              <w:rPr>
                <w:sz w:val="17"/>
              </w:rPr>
              <w:t>Min overlapping genes in set</w:t>
            </w:r>
          </w:p>
        </w:tc>
        <w:tc>
          <w:tcPr>
            <w:tcW w:type="dxa" w:w="1872"/>
          </w:tcPr>
          <w:p>
            <w:r/>
            <w:r>
              <w:rPr>
                <w:sz w:val="17"/>
              </w:rPr>
              <w:t>Raise</w:t>
            </w:r>
          </w:p>
        </w:tc>
        <w:tc>
          <w:tcPr>
            <w:tcW w:type="dxa" w:w="1872"/>
          </w:tcPr>
          <w:p>
            <w:r/>
            <w:r>
              <w:rPr>
                <w:sz w:val="17"/>
              </w:rPr>
              <w:t>Drops small sets</w:t>
            </w:r>
          </w:p>
        </w:tc>
      </w:tr>
      <w:tr>
        <w:tc>
          <w:tcPr>
            <w:tcW w:type="dxa" w:w="1872"/>
          </w:tcPr>
          <w:p>
            <w:r/>
            <w:r>
              <w:rPr>
                <w:rFonts w:ascii="Menlo" w:hAnsi="Menlo"/>
                <w:color w:val="1A3E6E"/>
                <w:sz w:val="15"/>
              </w:rPr>
              <w:t>module2.enrichment.prerank.max_size</w:t>
            </w:r>
          </w:p>
        </w:tc>
        <w:tc>
          <w:tcPr>
            <w:tcW w:type="dxa" w:w="1872"/>
          </w:tcPr>
          <w:p>
            <w:r/>
            <w:r>
              <w:rPr>
                <w:rFonts w:ascii="Menlo" w:hAnsi="Menlo"/>
                <w:color w:val="1A3E6E"/>
                <w:sz w:val="15"/>
              </w:rPr>
              <w:t>500</w:t>
            </w:r>
          </w:p>
        </w:tc>
        <w:tc>
          <w:tcPr>
            <w:tcW w:type="dxa" w:w="1872"/>
          </w:tcPr>
          <w:p>
            <w:r/>
            <w:r>
              <w:rPr>
                <w:sz w:val="17"/>
              </w:rPr>
              <w:t>Max set size</w:t>
            </w:r>
          </w:p>
        </w:tc>
        <w:tc>
          <w:tcPr>
            <w:tcW w:type="dxa" w:w="1872"/>
          </w:tcPr>
          <w:p>
            <w:r/>
            <w:r>
              <w:rPr>
                <w:sz w:val="17"/>
              </w:rPr>
              <w:t>Lower</w:t>
            </w:r>
          </w:p>
        </w:tc>
        <w:tc>
          <w:tcPr>
            <w:tcW w:type="dxa" w:w="1872"/>
          </w:tcPr>
          <w:p>
            <w:r/>
            <w:r>
              <w:rPr>
                <w:sz w:val="17"/>
              </w:rPr>
              <w:t>Drops large sets</w:t>
            </w:r>
          </w:p>
        </w:tc>
      </w:tr>
      <w:tr>
        <w:tc>
          <w:tcPr>
            <w:tcW w:type="dxa" w:w="1872"/>
          </w:tcPr>
          <w:p>
            <w:r/>
            <w:r>
              <w:rPr>
                <w:rFonts w:ascii="Menlo" w:hAnsi="Menlo"/>
                <w:color w:val="1A3E6E"/>
                <w:sz w:val="15"/>
              </w:rPr>
              <w:t>module2.enrichment.prerank.permutation_num</w:t>
            </w:r>
          </w:p>
        </w:tc>
        <w:tc>
          <w:tcPr>
            <w:tcW w:type="dxa" w:w="1872"/>
          </w:tcPr>
          <w:p>
            <w:r/>
            <w:r>
              <w:rPr>
                <w:rFonts w:ascii="Menlo" w:hAnsi="Menlo"/>
                <w:color w:val="1A3E6E"/>
                <w:sz w:val="15"/>
              </w:rPr>
              <w:t>100</w:t>
            </w:r>
          </w:p>
        </w:tc>
        <w:tc>
          <w:tcPr>
            <w:tcW w:type="dxa" w:w="1872"/>
          </w:tcPr>
          <w:p>
            <w:r/>
            <w:r>
              <w:rPr>
                <w:sz w:val="17"/>
              </w:rPr>
              <w:t>Prerank permutations</w:t>
            </w:r>
          </w:p>
        </w:tc>
        <w:tc>
          <w:tcPr>
            <w:tcW w:type="dxa" w:w="1872"/>
          </w:tcPr>
          <w:p>
            <w:r/>
            <w:r>
              <w:rPr>
                <w:sz w:val="17"/>
              </w:rPr>
              <w:t>Raise</w:t>
            </w:r>
          </w:p>
        </w:tc>
        <w:tc>
          <w:tcPr>
            <w:tcW w:type="dxa" w:w="1872"/>
          </w:tcPr>
          <w:p>
            <w:r/>
            <w:r>
              <w:rPr>
                <w:sz w:val="17"/>
              </w:rPr>
              <w:t>Stabler FDR; slower</w:t>
            </w:r>
          </w:p>
        </w:tc>
      </w:tr>
      <w:tr>
        <w:tc>
          <w:tcPr>
            <w:tcW w:type="dxa" w:w="1872"/>
          </w:tcPr>
          <w:p>
            <w:r/>
            <w:r>
              <w:rPr>
                <w:rFonts w:ascii="Menlo" w:hAnsi="Menlo"/>
                <w:color w:val="1A3E6E"/>
                <w:sz w:val="15"/>
              </w:rPr>
              <w:t>module2.enrichment.exclude_ribosomal_genes</w:t>
            </w:r>
          </w:p>
        </w:tc>
        <w:tc>
          <w:tcPr>
            <w:tcW w:type="dxa" w:w="1872"/>
          </w:tcPr>
          <w:p>
            <w:r/>
            <w:r>
              <w:rPr>
                <w:rFonts w:ascii="Menlo" w:hAnsi="Menlo"/>
                <w:color w:val="1A3E6E"/>
                <w:sz w:val="15"/>
              </w:rPr>
              <w:t>null</w:t>
            </w:r>
          </w:p>
        </w:tc>
        <w:tc>
          <w:tcPr>
            <w:tcW w:type="dxa" w:w="1872"/>
          </w:tcPr>
          <w:p>
            <w:r/>
            <w:r>
              <w:rPr>
                <w:sz w:val="17"/>
              </w:rPr>
              <w:t>Null inherits DE ribosomal policy</w:t>
            </w:r>
          </w:p>
        </w:tc>
        <w:tc>
          <w:tcPr>
            <w:tcW w:type="dxa" w:w="1872"/>
          </w:tcPr>
          <w:p>
            <w:r/>
            <w:r>
              <w:rPr>
                <w:sz w:val="17"/>
              </w:rPr>
              <w:t>Override</w:t>
            </w:r>
          </w:p>
        </w:tc>
        <w:tc>
          <w:tcPr>
            <w:tcW w:type="dxa" w:w="1872"/>
          </w:tcPr>
          <w:p>
            <w:r/>
            <w:r>
              <w:rPr>
                <w:sz w:val="17"/>
              </w:rPr>
              <w:t>Changes ranked inputs</w:t>
            </w:r>
          </w:p>
        </w:tc>
      </w:tr>
    </w:tbl>
    <w:p>
      <w:pPr>
        <w:pStyle w:val="Heading1"/>
      </w:pPr>
      <w:r>
        <w:rPr>
          <w:color w:val="1F4E79"/>
        </w:rPr>
        <w:t>References</w:t>
      </w:r>
    </w:p>
    <w:p>
      <w:pPr>
        <w:pStyle w:val="ListNumber"/>
        <w:spacing w:after="40"/>
      </w:pPr>
      <w:r>
        <w:rPr>
          <w:sz w:val="21"/>
        </w:rPr>
        <w:t xml:space="preserve">Korsunsky I, et al. Fast, sensitive and accurate integration of single-cell data with Harmony. </w:t>
      </w:r>
      <w:r>
        <w:rPr>
          <w:i/>
          <w:sz w:val="21"/>
        </w:rPr>
        <w:t>Nat Methods</w:t>
      </w:r>
      <w:r>
        <w:rPr>
          <w:sz w:val="21"/>
        </w:rPr>
        <w:t xml:space="preserve">. 2019;16(12):1289-1296. PMID: </w:t>
      </w:r>
      <w:hyperlink r:id="rId17">
        <w:r>
          <w:rPr>
            <w:color w:val="0B4F8A"/>
            <w:u w:val="single"/>
            <w:sz w:val="21"/>
          </w:rPr>
          <w:t xml:space="preserve">31740819</w:t>
        </w:r>
      </w:hyperlink>
      <w:r>
        <w:rPr>
          <w:sz w:val="21"/>
        </w:rPr>
        <w:t>.</w:t>
      </w:r>
    </w:p>
    <w:p>
      <w:pPr>
        <w:pStyle w:val="ListNumber"/>
        <w:spacing w:after="40"/>
      </w:pPr>
      <w:r>
        <w:rPr>
          <w:sz w:val="21"/>
        </w:rPr>
        <w:t xml:space="preserve">Subramanian A, et al. Gene set enrichment analysis: a knowledge-based approach for interpreting genome-wide expression profiles. </w:t>
      </w:r>
      <w:r>
        <w:rPr>
          <w:i/>
          <w:sz w:val="21"/>
        </w:rPr>
        <w:t>Proc Natl Acad Sci U S A</w:t>
      </w:r>
      <w:r>
        <w:rPr>
          <w:sz w:val="21"/>
        </w:rPr>
        <w:t xml:space="preserve">. 2005;102(43):15545-15550. PMID: </w:t>
      </w:r>
      <w:hyperlink r:id="rId18">
        <w:r>
          <w:rPr>
            <w:color w:val="0B4F8A"/>
            <w:u w:val="single"/>
            <w:sz w:val="21"/>
          </w:rPr>
          <w:t xml:space="preserve">16199517</w:t>
        </w:r>
      </w:hyperlink>
      <w:r>
        <w:rPr>
          <w:sz w:val="21"/>
        </w:rPr>
        <w:t>.</w:t>
      </w:r>
    </w:p>
    <w:p>
      <w:pPr>
        <w:pStyle w:val="ListNumber"/>
        <w:spacing w:after="40"/>
      </w:pPr>
      <w:r>
        <w:rPr>
          <w:sz w:val="21"/>
        </w:rPr>
        <w:t xml:space="preserve">Wolf FA, Angerer P, Theis FJ. SCANPY: large-scale single-cell gene expression data analysis. </w:t>
      </w:r>
      <w:r>
        <w:rPr>
          <w:i/>
          <w:sz w:val="21"/>
        </w:rPr>
        <w:t>Genome Biol</w:t>
      </w:r>
      <w:r>
        <w:rPr>
          <w:sz w:val="21"/>
        </w:rPr>
        <w:t xml:space="preserve">. 2018;19(1):15. PMID: </w:t>
      </w:r>
      <w:hyperlink r:id="rId19">
        <w:r>
          <w:rPr>
            <w:color w:val="0B4F8A"/>
            <w:u w:val="single"/>
            <w:sz w:val="21"/>
          </w:rPr>
          <w:t xml:space="preserve">29409532</w:t>
        </w:r>
      </w:hyperlink>
      <w:r>
        <w:rPr>
          <w:sz w:val="21"/>
        </w:rPr>
        <w:t>.</w:t>
      </w:r>
    </w:p>
    <w:p>
      <w:pPr>
        <w:pStyle w:val="ListNumber"/>
        <w:spacing w:after="40"/>
      </w:pPr>
      <w:r>
        <w:rPr>
          <w:sz w:val="21"/>
        </w:rPr>
        <w:t xml:space="preserve">Liberzon A, et al. The Molecular Signatures Database (MSigDB) hallmark gene set collection. </w:t>
      </w:r>
      <w:r>
        <w:rPr>
          <w:i/>
          <w:sz w:val="21"/>
        </w:rPr>
        <w:t>Cell Syst</w:t>
      </w:r>
      <w:r>
        <w:rPr>
          <w:sz w:val="21"/>
        </w:rPr>
        <w:t xml:space="preserve">. 2015;1(6):417-425. PMID: </w:t>
      </w:r>
      <w:hyperlink r:id="rId20">
        <w:r>
          <w:rPr>
            <w:color w:val="0B4F8A"/>
            <w:u w:val="single"/>
            <w:sz w:val="21"/>
          </w:rPr>
          <w:t xml:space="preserve">26771021</w:t>
        </w:r>
      </w:hyperlink>
      <w:r>
        <w:rPr>
          <w:sz w:val="21"/>
        </w:rPr>
        <w:t>.</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44444"/>
        <w:sz w:val="18"/>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hyperlink" Target="https://pubmed.ncbi.nlm.nih.gov/31740819/" TargetMode="External"/><Relationship Id="rId18" Type="http://schemas.openxmlformats.org/officeDocument/2006/relationships/hyperlink" Target="https://pubmed.ncbi.nlm.nih.gov/16199517/" TargetMode="External"/><Relationship Id="rId19" Type="http://schemas.openxmlformats.org/officeDocument/2006/relationships/hyperlink" Target="https://pubmed.ncbi.nlm.nih.gov/29409532/" TargetMode="External"/><Relationship Id="rId20" Type="http://schemas.openxmlformats.org/officeDocument/2006/relationships/hyperlink" Target="https://pubmed.ncbi.nlm.nih.gov/267710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