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b/>
          <w:color w:val="1F4E79"/>
          <w:sz w:val="38"/>
        </w:rPr>
        <w:t>Module 3: Paired multiome interpretation with MOFA</w:t>
      </w:r>
    </w:p>
    <w:p>
      <w:pPr>
        <w:spacing w:after="200"/>
      </w:pPr>
      <w:r>
        <w:rPr>
          <w:color w:val="444444"/>
          <w:sz w:val="19"/>
        </w:rPr>
        <w:t>Instructional time: 30 min. Bloom: Analyze. Notebook: notebooks/03_multiome.ipynb</w:t>
      </w:r>
    </w:p>
    <w:p>
      <w:pPr>
        <w:pBdr>
          <w:bottom w:val="single" w:sz="12" w:color="1F4E79"/>
        </w:pBdr>
      </w:pPr>
    </w:p>
    <w:p>
      <w:pPr>
        <w:pStyle w:val="Heading1"/>
      </w:pPr>
      <w:r>
        <w:rPr>
          <w:color w:val="1F4E79"/>
        </w:rPr>
        <w:t>1. Overview</w:t>
      </w:r>
    </w:p>
    <w:p>
      <w:pPr>
        <w:spacing w:after="140"/>
      </w:pPr>
      <w:r>
        <w:rPr>
          <w:sz w:val="21"/>
        </w:rPr>
        <w:t>Module 3 interprets a fitted MOFA model on HuBMAP SNARE-seq2 data from Donor_2 (</w:t>
      </w:r>
      <w:r>
        <w:rPr>
          <w:rFonts w:ascii="Menlo" w:hAnsi="Menlo"/>
          <w:color w:val="1A3E6E"/>
          <w:sz w:val="19"/>
        </w:rPr>
        <w:t>HBM828.GPVG.252</w:t>
      </w:r>
      <w:r>
        <w:rPr>
          <w:sz w:val="21"/>
        </w:rPr>
        <w:t>). That multiome shares a block and a section with the Donor_2 10x snRNA teaching block used in Modules 1-2, so the two assays can be compared as a matched pair (different nuclei; no per-nucleus join). The lesson asks whether RNA and ATAC share latent structure, whether MOFA found cell identity at all, what the ATAC gene-activity view actually encodes, and whether a second integrator (WNN) does better.</w:t>
      </w:r>
    </w:p>
    <w:p>
      <w:pPr>
        <w:spacing w:after="140"/>
      </w:pPr>
      <w:r>
        <w:rPr>
          <w:b/>
          <w:sz w:val="21"/>
        </w:rPr>
        <w:t>Key components.</w:t>
      </w:r>
      <w:r>
        <w:rPr>
          <w:sz w:val="21"/>
        </w:rPr>
        <w:t xml:space="preserve"> </w:t>
      </w:r>
      <w:r>
        <w:rPr>
          <w:rFonts w:ascii="Menlo" w:hAnsi="Menlo"/>
          <w:color w:val="1A3E6E"/>
          <w:sz w:val="19"/>
        </w:rPr>
        <w:t>multiome_mofa.hdf5</w:t>
      </w:r>
      <w:r>
        <w:rPr>
          <w:sz w:val="21"/>
        </w:rPr>
        <w:t xml:space="preserve"> as the default download; a committed Azimuth / WNN label cache in the package; variance and dominance tables; cluster concordance; QC association; factor versus label association; genome-wide and focus-gene bridges.</w:t>
      </w:r>
    </w:p>
    <w:p>
      <w:pPr>
        <w:spacing w:after="140"/>
      </w:pPr>
      <w:r>
        <w:rPr>
          <w:b/>
          <w:sz w:val="21"/>
        </w:rPr>
        <w:t>Learning objectives.</w:t>
      </w:r>
    </w:p>
    <w:p>
      <w:pPr>
        <w:pStyle w:val="ListBullet"/>
        <w:spacing w:after="40"/>
      </w:pPr>
      <w:r>
        <w:rPr>
          <w:sz w:val="21"/>
        </w:rPr>
        <w:t>Explain what paired multiome adds beyond Module 1/2 snRNA-seq, and what a matched block licenses.</w:t>
      </w:r>
    </w:p>
    <w:p>
      <w:pPr>
        <w:pStyle w:val="ListBullet"/>
        <w:spacing w:after="40"/>
      </w:pPr>
      <w:r>
        <w:rPr>
          <w:sz w:val="21"/>
        </w:rPr>
        <w:t>Read MOFA variance tables and recognize modality-private factors.</w:t>
      </w:r>
    </w:p>
    <w:p>
      <w:pPr>
        <w:pStyle w:val="ListBullet"/>
        <w:spacing w:after="40"/>
      </w:pPr>
      <w:r>
        <w:rPr>
          <w:sz w:val="21"/>
        </w:rPr>
        <w:t>Tell a broken model from an absent ATAC signal using cell-type and QC diagnostics.</w:t>
      </w:r>
    </w:p>
    <w:p>
      <w:pPr>
        <w:pStyle w:val="ListBullet"/>
        <w:spacing w:after="40"/>
      </w:pPr>
      <w:r>
        <w:rPr>
          <w:sz w:val="21"/>
        </w:rPr>
        <w:t>Separate ATAC gene activity from RNA expression when interpreting correlations.</w:t>
      </w:r>
    </w:p>
    <w:p>
      <w:pPr>
        <w:spacing w:after="140"/>
      </w:pPr>
      <w:r>
        <w:rPr>
          <w:sz w:val="21"/>
        </w:rPr>
        <w:t>Default compute stays inside the course RAM floor of 8 GB, with 16 GB recommended (</w:t>
      </w:r>
      <w:r>
        <w:rPr>
          <w:rFonts w:ascii="Menlo" w:hAnsi="Menlo"/>
          <w:color w:val="1A3E6E"/>
          <w:sz w:val="19"/>
        </w:rPr>
        <w:t>load_h5mu: false</w:t>
      </w:r>
      <w:r>
        <w:rPr>
          <w:sz w:val="21"/>
        </w:rPr>
        <w:t>). Learners do not download the ~14.7 GiB MuData file.</w:t>
      </w:r>
    </w:p>
    <w:p>
      <w:pPr>
        <w:pStyle w:val="Heading1"/>
      </w:pPr>
      <w:r>
        <w:rPr>
          <w:color w:val="1F4E79"/>
        </w:rPr>
        <w:t>2. Before you begin</w:t>
      </w:r>
    </w:p>
    <w:p>
      <w:pPr>
        <w:spacing w:after="140"/>
      </w:pPr>
      <w:r>
        <w:rPr>
          <w:b/>
          <w:sz w:val="21"/>
        </w:rPr>
        <w:t>Prerequisites.</w:t>
      </w:r>
      <w:r>
        <w:rPr>
          <w:sz w:val="21"/>
        </w:rPr>
        <w:t xml:space="preserve"> Module 1 (QC objects) and Module 2 (integrated HuBMAP object / pseudobulk exports). Conda env </w:t>
      </w:r>
      <w:r>
        <w:rPr>
          <w:rFonts w:ascii="Menlo" w:hAnsi="Menlo"/>
          <w:color w:val="1A3E6E"/>
          <w:sz w:val="19"/>
        </w:rPr>
        <w:t>CFDE_lung_env</w:t>
      </w:r>
      <w:r>
        <w:rPr>
          <w:sz w:val="21"/>
        </w:rPr>
        <w:t xml:space="preserve"> (or the pinned pip venv). Default path uses the fitted MOFA HDF5 plus the committed label cache; full MuData is not a learner download.</w:t>
      </w:r>
    </w:p>
    <w:p>
      <w:pPr>
        <w:spacing w:after="140"/>
      </w:pPr>
      <w:r>
        <w:rPr>
          <w:b/>
          <w:sz w:val="21"/>
        </w:rPr>
        <w:t>Time.</w:t>
      </w:r>
      <w:r>
        <w:rPr>
          <w:sz w:val="21"/>
        </w:rPr>
        <w:t xml:space="preserve"> Instructional: 30 min. Compute is short on the default path. Measured peak RSS 7.1 GB; 16 GB recommended, 8 GB is the minimum.</w:t>
      </w:r>
    </w:p>
    <w:p>
      <w:pPr>
        <w:pStyle w:val="Heading4"/>
      </w:pPr>
      <w:r>
        <w:rPr>
          <w:color w:val="1F4E79"/>
        </w:rPr>
        <w:t>Biological question</w:t>
      </w:r>
    </w:p>
    <w:p>
      <w:pPr>
        <w:spacing w:after="140"/>
      </w:pPr>
      <w:r>
        <w:rPr>
          <w:sz w:val="21"/>
        </w:rPr>
        <w:t>In Donor_2 SNARE-seq2 nuclei, do RNA and ATAC share latent structure in the shipped MOFA model? If not, did the method fail, or is the ATAC gene-activity view empty of cell-type information?</w:t>
      </w:r>
    </w:p>
    <w:p>
      <w:pPr>
        <w:pStyle w:val="Heading4"/>
      </w:pPr>
      <w:r>
        <w:rPr>
          <w:color w:val="1F4E79"/>
        </w:rPr>
        <w:t>Data used here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
              <w:rPr>
                <w:b/>
                <w:sz w:val="17"/>
              </w:rPr>
              <w:t>File</w:t>
            </w:r>
          </w:p>
        </w:tc>
        <w:tc>
          <w:tcPr>
            <w:tcW w:type="dxa" w:w="3120"/>
            <w:shd w:val="clear" w:fill="DCE6F1"/>
          </w:tcPr>
          <w:p>
            <w:r/>
            <w:r>
              <w:rPr>
                <w:b/>
                <w:sz w:val="17"/>
              </w:rPr>
              <w:t>Local path</w:t>
            </w:r>
          </w:p>
        </w:tc>
        <w:tc>
          <w:tcPr>
            <w:tcW w:type="dxa" w:w="3120"/>
            <w:shd w:val="clear" w:fill="DCE6F1"/>
          </w:tcPr>
          <w:p>
            <w:r/>
            <w:r>
              <w:rPr>
                <w:b/>
                <w:sz w:val="17"/>
              </w:rPr>
              <w:t>Role</w:t>
            </w:r>
          </w:p>
        </w:tc>
      </w:tr>
      <w:tr>
        <w:tc>
          <w:tcPr>
            <w:tcW w:type="dxa" w:w="3120"/>
          </w:tcPr>
          <w:p>
            <w:r/>
            <w:r>
              <w:rPr>
                <w:rFonts w:ascii="Menlo" w:hAnsi="Menlo"/>
                <w:color w:val="1A3E6E"/>
                <w:sz w:val="15"/>
              </w:rPr>
              <w:t>multiome_mofa.hdf5</w:t>
            </w:r>
          </w:p>
        </w:tc>
        <w:tc>
          <w:tcPr>
            <w:tcW w:type="dxa" w:w="3120"/>
          </w:tcPr>
          <w:p>
            <w:r/>
            <w:r>
              <w:rPr>
                <w:rFonts w:ascii="Menlo" w:hAnsi="Menlo"/>
                <w:color w:val="1A3E6E"/>
                <w:sz w:val="15"/>
              </w:rPr>
              <w:t>data/source/HUBMAP/Donor_2/SNAREseq/HBM828.GPVG.252/multiome_mofa.hdf5</w:t>
            </w:r>
          </w:p>
        </w:tc>
        <w:tc>
          <w:tcPr>
            <w:tcW w:type="dxa" w:w="3120"/>
          </w:tcPr>
          <w:p>
            <w:r/>
            <w:r>
              <w:rPr>
                <w:sz w:val="17"/>
              </w:rPr>
              <w:t>Default interpretation object</w:t>
            </w:r>
          </w:p>
        </w:tc>
      </w:tr>
      <w:tr>
        <w:tc>
          <w:tcPr>
            <w:tcW w:type="dxa" w:w="3120"/>
          </w:tcPr>
          <w:p>
            <w:r/>
            <w:r>
              <w:rPr>
                <w:sz w:val="17"/>
              </w:rPr>
              <w:t>Label cache</w:t>
            </w:r>
          </w:p>
        </w:tc>
        <w:tc>
          <w:tcPr>
            <w:tcW w:type="dxa" w:w="3120"/>
          </w:tcPr>
          <w:p>
            <w:r/>
            <w:r>
              <w:rPr>
                <w:rFonts w:ascii="Menlo" w:hAnsi="Menlo"/>
                <w:color w:val="1A3E6E"/>
                <w:sz w:val="15"/>
              </w:rPr>
              <w:t>outputs/tables/module3_label_cache_HBM828.GPVG.252.tsv</w:t>
            </w:r>
          </w:p>
        </w:tc>
        <w:tc>
          <w:tcPr>
            <w:tcW w:type="dxa" w:w="3120"/>
          </w:tcPr>
          <w:p>
            <w:r/>
            <w:r>
              <w:rPr>
                <w:sz w:val="17"/>
              </w:rPr>
              <w:t>Committed Azimuth labels, WNN Leiden, WNN UMAP</w:t>
            </w:r>
          </w:p>
        </w:tc>
      </w:tr>
      <w:tr>
        <w:tc>
          <w:tcPr>
            <w:tcW w:type="dxa" w:w="3120"/>
          </w:tcPr>
          <w:p>
            <w:r/>
            <w:r>
              <w:rPr>
                <w:rFonts w:ascii="Menlo" w:hAnsi="Menlo"/>
                <w:color w:val="1A3E6E"/>
                <w:sz w:val="15"/>
              </w:rPr>
              <w:t>secondary_analysis.h5mu</w:t>
            </w:r>
            <w:r>
              <w:rPr>
                <w:sz w:val="17"/>
              </w:rPr>
              <w:t xml:space="preserve"> (optional)</w:t>
            </w:r>
          </w:p>
        </w:tc>
        <w:tc>
          <w:tcPr>
            <w:tcW w:type="dxa" w:w="3120"/>
          </w:tcPr>
          <w:p>
            <w:r/>
            <w:r>
              <w:rPr>
                <w:sz w:val="17"/>
              </w:rPr>
              <w:t>same SNARE directory</w:t>
            </w:r>
          </w:p>
        </w:tc>
        <w:tc>
          <w:tcPr>
            <w:tcW w:type="dxa" w:w="3120"/>
          </w:tcPr>
          <w:p>
            <w:r/>
            <w:r>
              <w:rPr>
                <w:sz w:val="17"/>
              </w:rPr>
              <w:t xml:space="preserve">Full MuData if </w:t>
            </w:r>
            <w:r>
              <w:rPr>
                <w:rFonts w:ascii="Menlo" w:hAnsi="Menlo"/>
                <w:color w:val="1A3E6E"/>
                <w:sz w:val="15"/>
              </w:rPr>
              <w:t>module3.params.load_h5mu: true</w:t>
            </w:r>
            <w:r>
              <w:rPr>
                <w:sz w:val="17"/>
              </w:rPr>
              <w:t xml:space="preserve"> (~14.7 GiB; not a learner download)</w:t>
            </w:r>
          </w:p>
        </w:tc>
      </w:tr>
    </w:tbl>
    <w:p>
      <w:pPr>
        <w:spacing w:after="140"/>
      </w:pPr>
      <w:r>
        <w:rPr>
          <w:sz w:val="21"/>
        </w:rPr>
        <w:t xml:space="preserve">Portal: </w:t>
      </w:r>
      <w:hyperlink r:id="rId10">
        <w:r>
          <w:rPr>
            <w:color w:val="0B4F8A"/>
            <w:u w:val="single"/>
            <w:sz w:val="21"/>
          </w:rPr>
          <w:t xml:space="preserve">HBM828.GPVG.252</w:t>
        </w:r>
      </w:hyperlink>
      <w:r>
        <w:rPr>
          <w:sz w:val="21"/>
        </w:rPr>
        <w:t xml:space="preserve">. Modules 1-2 use 10x snRNA-seq on Donor_2 block </w:t>
      </w:r>
      <w:r>
        <w:rPr>
          <w:rFonts w:ascii="Menlo" w:hAnsi="Menlo"/>
          <w:color w:val="1A3E6E"/>
          <w:sz w:val="19"/>
        </w:rPr>
        <w:t>HBM473.NKMR.872</w:t>
      </w:r>
      <w:r>
        <w:rPr>
          <w:sz w:val="21"/>
        </w:rPr>
        <w:t>, which shares a block and a section with this multiome.</w:t>
      </w:r>
    </w:p>
    <w:p>
      <w:pPr>
        <w:spacing w:after="140"/>
      </w:pPr>
      <w:r>
        <w:rPr>
          <w:sz w:val="21"/>
        </w:rPr>
        <w:t>SNARE folders are named by the public processed dataset ID, not by a distinct primary block ID. That is the exception relative to the 10x snRNA teaching folders.</w:t>
      </w:r>
    </w:p>
    <w:p>
      <w:pPr>
        <w:pStyle w:val="Heading1"/>
      </w:pPr>
      <w:r>
        <w:rPr>
          <w:color w:val="1F4E79"/>
        </w:rPr>
        <w:t>3. Methods</w:t>
      </w:r>
    </w:p>
    <w:p>
      <w:pPr>
        <w:spacing w:after="140"/>
      </w:pPr>
      <w:r>
        <w:rPr>
          <w:sz w:val="21"/>
        </w:rPr>
        <w:t xml:space="preserve">Parameters below are live values under </w:t>
      </w:r>
      <w:r>
        <w:rPr>
          <w:rFonts w:ascii="Menlo" w:hAnsi="Menlo"/>
          <w:color w:val="1A3E6E"/>
          <w:sz w:val="19"/>
        </w:rPr>
        <w:t>module3</w:t>
      </w:r>
      <w:r>
        <w:rPr>
          <w:sz w:val="21"/>
        </w:rPr>
        <w:t xml:space="preserve"> in </w:t>
      </w:r>
      <w:r>
        <w:rPr>
          <w:rFonts w:ascii="Menlo" w:hAnsi="Menlo"/>
          <w:color w:val="1A3E6E"/>
          <w:sz w:val="19"/>
        </w:rPr>
        <w:t>config/paths.yaml</w:t>
      </w:r>
      <w:r>
        <w:rPr>
          <w:sz w:val="21"/>
        </w:rPr>
        <w:t xml:space="preserve">, collected in the Appendix. Scripts live in </w:t>
      </w:r>
      <w:r>
        <w:rPr>
          <w:rFonts w:ascii="Menlo" w:hAnsi="Menlo"/>
          <w:color w:val="1A3E6E"/>
          <w:sz w:val="19"/>
        </w:rPr>
        <w:t>scripts/nb05_multimodal/</w:t>
      </w:r>
      <w:r>
        <w:rPr>
          <w:sz w:val="21"/>
        </w:rPr>
        <w:t>. Default compute is interpretation-only from the shipped MOFA HDF5 plus the committed cache; full MuData is optional and is not required.</w:t>
      </w:r>
    </w:p>
    <w:p>
      <w:pPr>
        <w:spacing w:after="140"/>
      </w:pPr>
      <w:r>
        <w:rPr>
          <w:sz w:val="21"/>
        </w:rPr>
        <w:t xml:space="preserve">Each Methods step below corresponds to a section of </w:t>
      </w:r>
      <w:r>
        <w:rPr>
          <w:rFonts w:ascii="Menlo" w:hAnsi="Menlo"/>
          <w:color w:val="1A3E6E"/>
          <w:sz w:val="19"/>
        </w:rPr>
        <w:t>notebooks/03_multiome.ipynb</w:t>
      </w:r>
      <w:r>
        <w:rPr>
          <w:sz w:val="21"/>
        </w:rPr>
        <w:t>. The notebook is organized by the question each diagnostic answers rather than by step, so several Methods steps feed one notebook section:</w:t>
      </w:r>
    </w:p>
    <w:tbl>
      <w:tblPr>
        <w:tblStyle w:val="TableGrid"/>
        <w:tblW w:type="auto" w:w="0"/>
        <w:jc w:val="center"/>
        <w:tblLook w:firstColumn="1" w:firstRow="1" w:lastColumn="0" w:lastRow="0" w:noHBand="0" w:noVBand="1" w:val="04A0"/>
      </w:tblPr>
      <w:tblGrid>
        <w:gridCol w:w="4680"/>
        <w:gridCol w:w="4680"/>
      </w:tblGrid>
      <w:tr>
        <w:tc>
          <w:tcPr>
            <w:tcW w:type="dxa" w:w="4680"/>
            <w:shd w:val="clear" w:fill="DCE6F1"/>
          </w:tcPr>
          <w:p>
            <w:r/>
            <w:r>
              <w:rPr>
                <w:b/>
                <w:sz w:val="17"/>
              </w:rPr>
              <w:t>Methods step</w:t>
            </w:r>
          </w:p>
        </w:tc>
        <w:tc>
          <w:tcPr>
            <w:tcW w:type="dxa" w:w="4680"/>
            <w:shd w:val="clear" w:fill="DCE6F1"/>
          </w:tcPr>
          <w:p>
            <w:r/>
            <w:r>
              <w:rPr>
                <w:b/>
                <w:sz w:val="17"/>
              </w:rPr>
              <w:t>Notebook section</w:t>
            </w:r>
          </w:p>
        </w:tc>
      </w:tr>
      <w:tr>
        <w:tc>
          <w:tcPr>
            <w:tcW w:type="dxa" w:w="4680"/>
          </w:tcPr>
          <w:p>
            <w:r/>
            <w:r>
              <w:rPr>
                <w:sz w:val="17"/>
              </w:rPr>
              <w:t>0. The MOFA model and variance explained per view</w:t>
            </w:r>
          </w:p>
        </w:tc>
        <w:tc>
          <w:tcPr>
            <w:tcW w:type="dxa" w:w="4680"/>
          </w:tcPr>
          <w:p>
            <w:r/>
            <w:r>
              <w:rPr>
                <w:sz w:val="17"/>
              </w:rPr>
              <w:t>conceptual, no notebook section</w:t>
            </w:r>
          </w:p>
        </w:tc>
      </w:tr>
      <w:tr>
        <w:tc>
          <w:tcPr>
            <w:tcW w:type="dxa" w:w="4680"/>
          </w:tcPr>
          <w:p>
            <w:r/>
            <w:r>
              <w:rPr>
                <w:sz w:val="17"/>
              </w:rPr>
              <w:t>1. Default path: interpret shipped MOFA</w:t>
            </w:r>
          </w:p>
        </w:tc>
        <w:tc>
          <w:tcPr>
            <w:tcW w:type="dxa" w:w="4680"/>
          </w:tcPr>
          <w:p>
            <w:r/>
            <w:r>
              <w:rPr>
                <w:sz w:val="17"/>
              </w:rPr>
              <w:t>1. Object composition and barcode pairing</w:t>
            </w:r>
          </w:p>
        </w:tc>
      </w:tr>
      <w:tr>
        <w:tc>
          <w:tcPr>
            <w:tcW w:type="dxa" w:w="4680"/>
          </w:tcPr>
          <w:p>
            <w:r/>
            <w:r>
              <w:rPr>
                <w:sz w:val="17"/>
              </w:rPr>
              <w:t>2. Barcode pairing check</w:t>
            </w:r>
          </w:p>
        </w:tc>
        <w:tc>
          <w:tcPr>
            <w:tcW w:type="dxa" w:w="4680"/>
          </w:tcPr>
          <w:p>
            <w:r/>
            <w:r>
              <w:rPr>
                <w:sz w:val="17"/>
              </w:rPr>
              <w:t>1. Object composition and barcode pairing</w:t>
            </w:r>
          </w:p>
        </w:tc>
      </w:tr>
      <w:tr>
        <w:tc>
          <w:tcPr>
            <w:tcW w:type="dxa" w:w="4680"/>
          </w:tcPr>
          <w:p>
            <w:r/>
            <w:r>
              <w:rPr>
                <w:sz w:val="17"/>
              </w:rPr>
              <w:t>3. Variance explained and factor dominance</w:t>
            </w:r>
          </w:p>
        </w:tc>
        <w:tc>
          <w:tcPr>
            <w:tcW w:type="dxa" w:w="4680"/>
          </w:tcPr>
          <w:p>
            <w:r/>
            <w:r>
              <w:rPr>
                <w:sz w:val="17"/>
              </w:rPr>
              <w:t>2. Variance explained across modalities</w:t>
            </w:r>
          </w:p>
        </w:tc>
      </w:tr>
      <w:tr>
        <w:tc>
          <w:tcPr>
            <w:tcW w:type="dxa" w:w="4680"/>
          </w:tcPr>
          <w:p>
            <w:r/>
            <w:r>
              <w:rPr>
                <w:sz w:val="17"/>
              </w:rPr>
              <w:t>4. Factor association with cell identity</w:t>
            </w:r>
          </w:p>
        </w:tc>
        <w:tc>
          <w:tcPr>
            <w:tcW w:type="dxa" w:w="4680"/>
          </w:tcPr>
          <w:p>
            <w:r/>
            <w:r>
              <w:rPr>
                <w:sz w:val="17"/>
              </w:rPr>
              <w:t>3. Factor association with cell identity</w:t>
            </w:r>
          </w:p>
        </w:tc>
      </w:tr>
      <w:tr>
        <w:tc>
          <w:tcPr>
            <w:tcW w:type="dxa" w:w="4680"/>
          </w:tcPr>
          <w:p>
            <w:r/>
            <w:r>
              <w:rPr>
                <w:sz w:val="17"/>
              </w:rPr>
              <w:t>5. Content of the ATAC gene-activity view</w:t>
            </w:r>
          </w:p>
        </w:tc>
        <w:tc>
          <w:tcPr>
            <w:tcW w:type="dxa" w:w="4680"/>
          </w:tcPr>
          <w:p>
            <w:r/>
            <w:r>
              <w:rPr>
                <w:sz w:val="17"/>
              </w:rPr>
              <w:t>4. Content of the ATAC gene-activity view</w:t>
            </w:r>
          </w:p>
        </w:tc>
      </w:tr>
      <w:tr>
        <w:tc>
          <w:tcPr>
            <w:tcW w:type="dxa" w:w="4680"/>
          </w:tcPr>
          <w:p>
            <w:r/>
            <w:r>
              <w:rPr>
                <w:sz w:val="17"/>
              </w:rPr>
              <w:t>6. Weighted nearest neighbor as a second integration</w:t>
            </w:r>
          </w:p>
        </w:tc>
        <w:tc>
          <w:tcPr>
            <w:tcW w:type="dxa" w:w="4680"/>
          </w:tcPr>
          <w:p>
            <w:r/>
            <w:r>
              <w:rPr>
                <w:sz w:val="17"/>
              </w:rPr>
              <w:t>5. Weighted nearest neighbor concordance</w:t>
            </w:r>
          </w:p>
        </w:tc>
      </w:tr>
      <w:tr>
        <w:tc>
          <w:tcPr>
            <w:tcW w:type="dxa" w:w="4680"/>
          </w:tcPr>
          <w:p>
            <w:r/>
            <w:r>
              <w:rPr>
                <w:sz w:val="17"/>
              </w:rPr>
              <w:t>7. Genome-wide RNA-ATAC gene bridge</w:t>
            </w:r>
          </w:p>
        </w:tc>
        <w:tc>
          <w:tcPr>
            <w:tcW w:type="dxa" w:w="4680"/>
          </w:tcPr>
          <w:p>
            <w:r/>
            <w:r>
              <w:rPr>
                <w:sz w:val="17"/>
              </w:rPr>
              <w:t>6. Gene bridge and focus genes</w:t>
            </w:r>
          </w:p>
        </w:tc>
      </w:tr>
      <w:tr>
        <w:tc>
          <w:tcPr>
            <w:tcW w:type="dxa" w:w="4680"/>
          </w:tcPr>
          <w:p>
            <w:r/>
            <w:r>
              <w:rPr>
                <w:sz w:val="17"/>
              </w:rPr>
              <w:t>8. Focus-gene correlations, global and within cell type</w:t>
            </w:r>
          </w:p>
        </w:tc>
        <w:tc>
          <w:tcPr>
            <w:tcW w:type="dxa" w:w="4680"/>
          </w:tcPr>
          <w:p>
            <w:r/>
            <w:r>
              <w:rPr>
                <w:sz w:val="17"/>
              </w:rPr>
              <w:t>6. Gene bridge and focus genes</w:t>
            </w:r>
          </w:p>
        </w:tc>
      </w:tr>
    </w:tbl>
    <w:p>
      <w:pPr>
        <w:spacing w:after="140"/>
      </w:pPr>
      <w:r>
        <w:rPr>
          <w:sz w:val="21"/>
        </w:rPr>
        <w:t>Notebook section 0 is environment setup, covered in Module 0.</w:t>
      </w:r>
    </w:p>
    <w:p>
      <w:pPr>
        <w:pStyle w:val="Heading4"/>
      </w:pPr>
      <w:r>
        <w:rPr>
          <w:color w:val="1F4E79"/>
        </w:rPr>
        <w:t>0. The MOFA model and variance explained per view</w:t>
      </w:r>
    </w:p>
    <w:p>
      <w:pPr>
        <w:spacing w:after="140"/>
      </w:pPr>
      <w:r>
        <w:rPr>
          <w:sz w:val="21"/>
        </w:rPr>
        <w:t>MOFA (Multi-Omics Factor Analysis) is an unsupervised factor model. Given two or more matrices measured on the same cells, it learns a small set of latent factors and, for each factor, a set of weights per feature in each modality. A factor is a direction of variation; its weights say which genes or which chromatin features move along it.</w:t>
      </w:r>
    </w:p>
    <w:p>
      <w:pPr>
        <w:spacing w:after="140"/>
      </w:pPr>
      <w:r>
        <w:rPr>
          <w:sz w:val="21"/>
        </w:rPr>
        <w:t xml:space="preserve">The quantity that matters for interpretation is </w:t>
      </w:r>
      <w:r>
        <w:rPr>
          <w:b/>
          <w:sz w:val="21"/>
        </w:rPr>
        <w:t>variance explained per factor per view</w:t>
      </w:r>
      <w:r>
        <w:rPr>
          <w:sz w:val="21"/>
        </w:rPr>
        <w:t>. For each factor MOFA reports how much of the variance in the RNA view it accounts for, and how much of the variance in the ATAC view. That decomposition is what distinguishes the two outcomes this module asks you to tell apart:</w:t>
      </w:r>
    </w:p>
    <w:p>
      <w:pPr>
        <w:pStyle w:val="ListBullet"/>
        <w:spacing w:after="40"/>
      </w:pPr>
      <w:r>
        <w:rPr>
          <w:sz w:val="21"/>
        </w:rPr>
        <w:t xml:space="preserve">A </w:t>
      </w:r>
      <w:r>
        <w:rPr>
          <w:b/>
          <w:sz w:val="21"/>
        </w:rPr>
        <w:t>shared</w:t>
      </w:r>
      <w:r>
        <w:rPr>
          <w:sz w:val="21"/>
        </w:rPr>
        <w:t xml:space="preserve"> factor explains a substantial share of variance in </w:t>
      </w:r>
      <w:r>
        <w:rPr>
          <w:b/>
          <w:sz w:val="21"/>
        </w:rPr>
        <w:t>both</w:t>
      </w:r>
      <w:r>
        <w:rPr>
          <w:sz w:val="21"/>
        </w:rPr>
        <w:t xml:space="preserve"> views. It represents coordinated variation, where the same biological axis is visible in transcription and in chromatin accessibility.</w:t>
      </w:r>
    </w:p>
    <w:p>
      <w:pPr>
        <w:pStyle w:val="ListBullet"/>
        <w:spacing w:after="40"/>
      </w:pPr>
      <w:r>
        <w:rPr>
          <w:sz w:val="21"/>
        </w:rPr>
        <w:t xml:space="preserve">A </w:t>
      </w:r>
      <w:r>
        <w:rPr>
          <w:b/>
          <w:sz w:val="21"/>
        </w:rPr>
        <w:t>modality-private</w:t>
      </w:r>
      <w:r>
        <w:rPr>
          <w:sz w:val="21"/>
        </w:rPr>
        <w:t xml:space="preserve"> factor explains variance in </w:t>
      </w:r>
      <w:r>
        <w:rPr>
          <w:b/>
          <w:sz w:val="21"/>
        </w:rPr>
        <w:t>one</w:t>
      </w:r>
      <w:r>
        <w:rPr>
          <w:sz w:val="21"/>
        </w:rPr>
        <w:t xml:space="preserve"> view and close to none in the other. It represents structure confined to a single assay.</w:t>
      </w:r>
    </w:p>
    <w:p>
      <w:pPr>
        <w:spacing w:after="140"/>
      </w:pPr>
      <w:r>
        <w:rPr>
          <w:sz w:val="21"/>
        </w:rPr>
        <w:t>Applied to this dataset, RNA is a count matrix over genes and ATAC is summarized as gene-level accessibility, so both views are indexed by gene and a shared factor is biologically plausible: a gene whose promoter opens might be expected to rise in expression. Whether that coupling is actually present in these nuclei is the empirical question, and the variance decomposition answers it directly rather than by inference.</w:t>
      </w:r>
    </w:p>
    <w:p>
      <w:pPr>
        <w:spacing w:after="140"/>
      </w:pPr>
      <w:r>
        <w:rPr>
          <w:sz w:val="21"/>
        </w:rPr>
        <w:t>Two properties of the method are worth carrying into the interpretation. MOFA is unsupervised, so factors are not labeled by cell type or condition and any biological meaning has to be argued from the weights. And the number of factors is set in advance, so factors beyond the informative ones carry near-zero variance and should be read as absent rather than as weak effects.</w:t>
      </w:r>
    </w:p>
    <w:p>
      <w:pPr>
        <w:pStyle w:val="Heading4"/>
      </w:pPr>
      <w:r>
        <w:rPr>
          <w:color w:val="1F4E79"/>
        </w:rPr>
        <w:t>1. Default path: interpret shipped MOFA</w:t>
      </w:r>
    </w:p>
    <w:p>
      <w:pPr>
        <w:spacing w:after="140"/>
      </w:pPr>
      <w:r>
        <w:rPr>
          <w:b/>
          <w:sz w:val="21"/>
        </w:rPr>
        <w:t>Script.</w:t>
      </w:r>
      <w:r>
        <w:rPr>
          <w:sz w:val="21"/>
        </w:rPr>
        <w:t xml:space="preserve"> </w:t>
      </w:r>
      <w:r>
        <w:rPr>
          <w:rFonts w:ascii="Menlo" w:hAnsi="Menlo"/>
          <w:color w:val="1A3E6E"/>
          <w:sz w:val="19"/>
        </w:rPr>
        <w:t>scripts/nb05_multimodal/load.py</w:t>
      </w:r>
      <w:r>
        <w:rPr>
          <w:sz w:val="21"/>
        </w:rPr>
        <w:t xml:space="preserve"> (</w:t>
      </w:r>
      <w:r>
        <w:rPr>
          <w:rFonts w:ascii="Menlo" w:hAnsi="Menlo"/>
          <w:color w:val="1A3E6E"/>
          <w:sz w:val="19"/>
        </w:rPr>
        <w:t>multiome_paths</w:t>
      </w:r>
      <w:r>
        <w:rPr>
          <w:sz w:val="21"/>
        </w:rPr>
        <w:t xml:space="preserve">, </w:t>
      </w:r>
      <w:r>
        <w:rPr>
          <w:rFonts w:ascii="Menlo" w:hAnsi="Menlo"/>
          <w:color w:val="1A3E6E"/>
          <w:sz w:val="19"/>
        </w:rPr>
        <w:t>load_mofa</w:t>
      </w:r>
      <w:r>
        <w:rPr>
          <w:sz w:val="21"/>
        </w:rPr>
        <w:t xml:space="preserve">); inventory helpers in </w:t>
      </w:r>
      <w:r>
        <w:rPr>
          <w:rFonts w:ascii="Menlo" w:hAnsi="Menlo"/>
          <w:color w:val="1A3E6E"/>
          <w:sz w:val="19"/>
        </w:rPr>
        <w:t>scripts/nb05_multimodal/inventory.py</w:t>
      </w:r>
      <w:r>
        <w:rPr>
          <w:sz w:val="21"/>
        </w:rPr>
        <w:t>.</w:t>
      </w:r>
    </w:p>
    <w:p>
      <w:pPr>
        <w:spacing w:after="140"/>
      </w:pPr>
      <w:r>
        <w:rPr>
          <w:b/>
          <w:sz w:val="21"/>
        </w:rPr>
        <w:t>What.</w:t>
      </w:r>
      <w:r>
        <w:rPr>
          <w:sz w:val="21"/>
        </w:rPr>
        <w:t xml:space="preserve"> Load </w:t>
      </w:r>
      <w:r>
        <w:rPr>
          <w:rFonts w:ascii="Menlo" w:hAnsi="Menlo"/>
          <w:color w:val="1A3E6E"/>
          <w:sz w:val="19"/>
        </w:rPr>
        <w:t>multiome_mofa.hdf5</w:t>
      </w:r>
      <w:r>
        <w:rPr>
          <w:sz w:val="21"/>
        </w:rPr>
        <w:t xml:space="preserve"> with views configured as </w:t>
      </w:r>
      <w:r>
        <w:rPr>
          <w:rFonts w:ascii="Menlo" w:hAnsi="Menlo"/>
          <w:color w:val="1A3E6E"/>
          <w:sz w:val="19"/>
        </w:rPr>
        <w:t>rna</w:t>
      </w:r>
      <w:r>
        <w:rPr>
          <w:sz w:val="21"/>
        </w:rPr>
        <w:t xml:space="preserve"> and </w:t>
      </w:r>
      <w:r>
        <w:rPr>
          <w:rFonts w:ascii="Menlo" w:hAnsi="Menlo"/>
          <w:color w:val="1A3E6E"/>
          <w:sz w:val="19"/>
        </w:rPr>
        <w:t>atac_cbg</w:t>
      </w:r>
      <w:r>
        <w:rPr>
          <w:sz w:val="21"/>
        </w:rPr>
        <w:t xml:space="preserve"> (</w:t>
      </w:r>
      <w:r>
        <w:rPr>
          <w:rFonts w:ascii="Menlo" w:hAnsi="Menlo"/>
          <w:color w:val="1A3E6E"/>
          <w:sz w:val="19"/>
        </w:rPr>
        <w:t>module3.modalities</w:t>
      </w:r>
      <w:r>
        <w:rPr>
          <w:sz w:val="21"/>
        </w:rPr>
        <w:t xml:space="preserve">). Do </w:t>
      </w:r>
      <w:r>
        <w:rPr>
          <w:b/>
          <w:sz w:val="21"/>
        </w:rPr>
        <w:t>not</w:t>
      </w:r>
      <w:r>
        <w:rPr>
          <w:sz w:val="21"/>
        </w:rPr>
        <w:t xml:space="preserve"> refit MOFA in the lesson (</w:t>
      </w:r>
      <w:r>
        <w:rPr>
          <w:rFonts w:ascii="Menlo" w:hAnsi="Menlo"/>
          <w:color w:val="1A3E6E"/>
          <w:sz w:val="19"/>
        </w:rPr>
        <w:t>module3.params.interpretation_only: true</w:t>
      </w:r>
      <w:r>
        <w:rPr>
          <w:sz w:val="21"/>
        </w:rPr>
        <w:t xml:space="preserve">, </w:t>
      </w:r>
      <w:r>
        <w:rPr>
          <w:rFonts w:ascii="Menlo" w:hAnsi="Menlo"/>
          <w:color w:val="1A3E6E"/>
          <w:sz w:val="19"/>
        </w:rPr>
        <w:t>load_h5mu: false</w:t>
      </w:r>
      <w:r>
        <w:rPr>
          <w:sz w:val="21"/>
        </w:rPr>
        <w:t xml:space="preserve">). Optional ATAC bin view </w:t>
      </w:r>
      <w:r>
        <w:rPr>
          <w:rFonts w:ascii="Menlo" w:hAnsi="Menlo"/>
          <w:color w:val="1A3E6E"/>
          <w:sz w:val="19"/>
        </w:rPr>
        <w:t>atac_cbb</w:t>
      </w:r>
      <w:r>
        <w:rPr>
          <w:sz w:val="21"/>
        </w:rPr>
        <w:t xml:space="preserve"> exists in config but </w:t>
      </w:r>
      <w:r>
        <w:rPr>
          <w:rFonts w:ascii="Menlo" w:hAnsi="Menlo"/>
          <w:color w:val="1A3E6E"/>
          <w:sz w:val="19"/>
        </w:rPr>
        <w:t>use_atac_bin</w:t>
      </w:r>
      <w:r>
        <w:rPr>
          <w:sz w:val="21"/>
        </w:rPr>
        <w:t xml:space="preserve"> defaults false. The teaching product is HuBMAP SNARE-seq2 for Donor_2 (</w:t>
      </w:r>
      <w:r>
        <w:rPr>
          <w:rFonts w:ascii="Menlo" w:hAnsi="Menlo"/>
          <w:color w:val="1A3E6E"/>
          <w:sz w:val="19"/>
        </w:rPr>
        <w:t>HBM828.GPVG.252</w:t>
      </w:r>
      <w:r>
        <w:rPr>
          <w:sz w:val="21"/>
        </w:rPr>
        <w:t>), matched to the Donor_2 10x snRNA teaching block.</w:t>
      </w:r>
    </w:p>
    <w:p>
      <w:pPr>
        <w:spacing w:after="140"/>
      </w:pPr>
      <w:r>
        <w:rPr>
          <w:sz w:val="21"/>
        </w:rPr>
        <w:t>Parameters: see Appendix, section 1.</w:t>
      </w:r>
    </w:p>
    <w:p>
      <w:pPr>
        <w:spacing w:after="140"/>
      </w:pPr>
      <w:r>
        <w:rPr>
          <w:b/>
          <w:sz w:val="21"/>
        </w:rPr>
        <w:t>Why.</w:t>
      </w:r>
      <w:r>
        <w:rPr>
          <w:sz w:val="21"/>
        </w:rPr>
        <w:t xml:space="preserve"> Refitting is slow, non-identical across environments, and unnecessary for teaching how to read a DCC-provided multiome factor model. The HDF5 plus the committed cache keep the module inside the course download budget.</w:t>
      </w:r>
    </w:p>
    <w:p>
      <w:pPr>
        <w:spacing w:after="140"/>
      </w:pPr>
      <w:r>
        <w:rPr>
          <w:sz w:val="21"/>
        </w:rPr>
        <w:t>Modules 1-2 and 4 are unaffected unless the multiome file is part of the learner download manifest.</w:t>
      </w:r>
    </w:p>
    <w:p>
      <w:pPr>
        <w:pStyle w:val="Heading4"/>
      </w:pPr>
      <w:r>
        <w:rPr>
          <w:color w:val="1F4E79"/>
        </w:rPr>
        <w:t>2. Barcode pairing check</w:t>
      </w:r>
    </w:p>
    <w:p>
      <w:pPr>
        <w:spacing w:after="140"/>
      </w:pPr>
      <w:r>
        <w:rPr>
          <w:b/>
          <w:sz w:val="21"/>
        </w:rPr>
        <w:t>Script.</w:t>
      </w:r>
      <w:r>
        <w:rPr>
          <w:sz w:val="21"/>
        </w:rPr>
        <w:t xml:space="preserve"> </w:t>
      </w:r>
      <w:r>
        <w:rPr>
          <w:rFonts w:ascii="Menlo" w:hAnsi="Menlo"/>
          <w:color w:val="1A3E6E"/>
          <w:sz w:val="19"/>
        </w:rPr>
        <w:t>scripts/nb05_multimodal/bridge.py</w:t>
      </w:r>
      <w:r>
        <w:rPr>
          <w:sz w:val="21"/>
        </w:rPr>
        <w:t xml:space="preserve"> (</w:t>
      </w:r>
      <w:r>
        <w:rPr>
          <w:rFonts w:ascii="Menlo" w:hAnsi="Menlo"/>
          <w:color w:val="1A3E6E"/>
          <w:sz w:val="19"/>
        </w:rPr>
        <w:t>barcode_overlap_table</w:t>
      </w:r>
      <w:r>
        <w:rPr>
          <w:sz w:val="21"/>
        </w:rPr>
        <w:t xml:space="preserve">, </w:t>
      </w:r>
      <w:r>
        <w:rPr>
          <w:rFonts w:ascii="Menlo" w:hAnsi="Menlo"/>
          <w:color w:val="1A3E6E"/>
          <w:sz w:val="19"/>
        </w:rPr>
        <w:t>barcode_overlap_from_mofa</w:t>
      </w:r>
      <w:r>
        <w:rPr>
          <w:sz w:val="21"/>
        </w:rPr>
        <w:t xml:space="preserve">); optional MuData barcode sets in </w:t>
      </w:r>
      <w:r>
        <w:rPr>
          <w:rFonts w:ascii="Menlo" w:hAnsi="Menlo"/>
          <w:color w:val="1A3E6E"/>
          <w:sz w:val="19"/>
        </w:rPr>
        <w:t>scripts/nb05_multimodal/load.py</w:t>
      </w:r>
      <w:r>
        <w:rPr>
          <w:sz w:val="21"/>
        </w:rPr>
        <w:t xml:space="preserve"> (</w:t>
      </w:r>
      <w:r>
        <w:rPr>
          <w:rFonts w:ascii="Menlo" w:hAnsi="Menlo"/>
          <w:color w:val="1A3E6E"/>
          <w:sz w:val="19"/>
        </w:rPr>
        <w:t>barcode_sets</w:t>
      </w:r>
      <w:r>
        <w:rPr>
          <w:sz w:val="21"/>
        </w:rPr>
        <w:t>).</w:t>
      </w:r>
    </w:p>
    <w:p>
      <w:pPr>
        <w:spacing w:after="140"/>
      </w:pPr>
      <w:r>
        <w:rPr>
          <w:b/>
          <w:sz w:val="21"/>
        </w:rPr>
        <w:t>What.</w:t>
      </w:r>
      <w:r>
        <w:rPr>
          <w:sz w:val="21"/>
        </w:rPr>
        <w:t xml:space="preserve"> Report RNA and ATAC barcode counts and overlap (</w:t>
      </w:r>
      <w:r>
        <w:rPr>
          <w:rFonts w:ascii="Menlo" w:hAnsi="Menlo"/>
          <w:color w:val="1A3E6E"/>
          <w:sz w:val="19"/>
        </w:rPr>
        <w:t>module3_barcode_overlap.tsv</w:t>
      </w:r>
      <w:r>
        <w:rPr>
          <w:sz w:val="21"/>
        </w:rPr>
        <w:t>). With MuData unloaded, overlap is asserted by MOFA's shared sample list rather than an independent MuData crosstab. State that basis explicitly in results.</w:t>
      </w:r>
    </w:p>
    <w:p>
      <w:pPr>
        <w:spacing w:after="140"/>
      </w:pPr>
      <w:r>
        <w:rPr>
          <w:sz w:val="21"/>
        </w:rPr>
        <w:t>Parameters: see Appendix, section 2.</w:t>
      </w:r>
    </w:p>
    <w:p>
      <w:pPr>
        <w:spacing w:after="140"/>
      </w:pPr>
      <w:r>
        <w:rPr>
          <w:b/>
          <w:sz w:val="21"/>
        </w:rPr>
        <w:t>Why.</w:t>
      </w:r>
      <w:r>
        <w:rPr>
          <w:sz w:val="21"/>
        </w:rPr>
        <w:t xml:space="preserve"> Paired multiome claims require shared nuclei. Stating the basis of the overlap avoids implying a stronger check than was run on the default path.</w:t>
      </w:r>
    </w:p>
    <w:p>
      <w:pPr>
        <w:pStyle w:val="Heading4"/>
      </w:pPr>
      <w:r>
        <w:rPr>
          <w:color w:val="1F4E79"/>
        </w:rPr>
        <w:t>3. Variance explained and factor dominance</w:t>
      </w:r>
    </w:p>
    <w:p>
      <w:pPr>
        <w:spacing w:after="140"/>
      </w:pPr>
      <w:r>
        <w:rPr>
          <w:b/>
          <w:sz w:val="21"/>
        </w:rPr>
        <w:t>Script.</w:t>
      </w:r>
      <w:r>
        <w:rPr>
          <w:sz w:val="21"/>
        </w:rPr>
        <w:t xml:space="preserve"> </w:t>
      </w:r>
      <w:r>
        <w:rPr>
          <w:rFonts w:ascii="Menlo" w:hAnsi="Menlo"/>
          <w:color w:val="1A3E6E"/>
          <w:sz w:val="19"/>
        </w:rPr>
        <w:t>scripts/nb05_multimodal/bridge.py</w:t>
      </w:r>
      <w:r>
        <w:rPr>
          <w:sz w:val="21"/>
        </w:rPr>
        <w:t xml:space="preserve"> (</w:t>
      </w:r>
      <w:r>
        <w:rPr>
          <w:rFonts w:ascii="Menlo" w:hAnsi="Menlo"/>
          <w:color w:val="1A3E6E"/>
          <w:sz w:val="19"/>
        </w:rPr>
        <w:t>mofa_factor_dominance</w:t>
      </w:r>
      <w:r>
        <w:rPr>
          <w:sz w:val="21"/>
        </w:rPr>
        <w:t xml:space="preserve">); variance export in </w:t>
      </w:r>
      <w:r>
        <w:rPr>
          <w:rFonts w:ascii="Menlo" w:hAnsi="Menlo"/>
          <w:color w:val="1A3E6E"/>
          <w:sz w:val="19"/>
        </w:rPr>
        <w:t>scripts/nb05_multimodal/export.py</w:t>
      </w:r>
      <w:r>
        <w:rPr>
          <w:sz w:val="21"/>
        </w:rPr>
        <w:t xml:space="preserve">; plots in </w:t>
      </w:r>
      <w:r>
        <w:rPr>
          <w:rFonts w:ascii="Menlo" w:hAnsi="Menlo"/>
          <w:color w:val="1A3E6E"/>
          <w:sz w:val="19"/>
        </w:rPr>
        <w:t>scripts/nb05_multimodal/plots.py</w:t>
      </w:r>
      <w:r>
        <w:rPr>
          <w:sz w:val="21"/>
        </w:rPr>
        <w:t xml:space="preserve"> (</w:t>
      </w:r>
      <w:r>
        <w:rPr>
          <w:rFonts w:ascii="Menlo" w:hAnsi="Menlo"/>
          <w:color w:val="1A3E6E"/>
          <w:sz w:val="19"/>
        </w:rPr>
        <w:t>plot_mofa_variance</w:t>
      </w:r>
      <w:r>
        <w:rPr>
          <w:sz w:val="21"/>
        </w:rPr>
        <w:t>).</w:t>
      </w:r>
    </w:p>
    <w:p>
      <w:pPr>
        <w:spacing w:after="140"/>
      </w:pPr>
      <w:r>
        <w:rPr>
          <w:b/>
          <w:sz w:val="21"/>
        </w:rPr>
        <w:t>What.</w:t>
      </w:r>
      <w:r>
        <w:rPr>
          <w:sz w:val="21"/>
        </w:rPr>
        <w:t xml:space="preserve"> Summarize total R2 by view, per-factor R2, and dominance (which view owns each factor). Gate stored R2 units (percent vs fraction) before quoting totals. Config </w:t>
      </w:r>
      <w:r>
        <w:rPr>
          <w:rFonts w:ascii="Menlo" w:hAnsi="Menlo"/>
          <w:color w:val="1A3E6E"/>
          <w:sz w:val="19"/>
        </w:rPr>
        <w:t>module3.analysis.mofa_variance_max_factor</w:t>
      </w:r>
      <w:r>
        <w:rPr>
          <w:sz w:val="21"/>
        </w:rPr>
        <w:t xml:space="preserve"> marks trailing factors as numerically dead on this object (note: this key lives under </w:t>
      </w:r>
      <w:r>
        <w:rPr>
          <w:b/>
          <w:sz w:val="21"/>
        </w:rPr>
        <w:t>`analysis`</w:t>
      </w:r>
      <w:r>
        <w:rPr>
          <w:sz w:val="21"/>
        </w:rPr>
        <w:t xml:space="preserve">, not </w:t>
      </w:r>
      <w:r>
        <w:rPr>
          <w:rFonts w:ascii="Menlo" w:hAnsi="Menlo"/>
          <w:color w:val="1A3E6E"/>
          <w:sz w:val="19"/>
        </w:rPr>
        <w:t>params</w:t>
      </w:r>
      <w:r>
        <w:rPr>
          <w:sz w:val="21"/>
        </w:rPr>
        <w:t>).</w:t>
      </w:r>
    </w:p>
    <w:p>
      <w:pPr>
        <w:spacing w:after="140"/>
      </w:pPr>
      <w:r>
        <w:rPr>
          <w:sz w:val="21"/>
        </w:rPr>
        <w:t>Parameters: see Appendix, section 3.</w:t>
      </w:r>
    </w:p>
    <w:p>
      <w:pPr>
        <w:spacing w:after="140"/>
      </w:pPr>
      <w:r>
        <w:rPr>
          <w:b/>
          <w:sz w:val="21"/>
        </w:rPr>
        <w:t>Why.</w:t>
      </w:r>
      <w:r>
        <w:rPr>
          <w:sz w:val="21"/>
        </w:rPr>
        <w:t xml:space="preserve"> Shared latent biology would show factors with substantial R2 in </w:t>
      </w:r>
      <w:r>
        <w:rPr>
          <w:b/>
          <w:sz w:val="21"/>
        </w:rPr>
        <w:t>both</w:t>
      </w:r>
      <w:r>
        <w:rPr>
          <w:sz w:val="21"/>
        </w:rPr>
        <w:t xml:space="preserve"> views. Modality-private factors mean stacked single-modality structure. Dead trailing factors are a first-class result, not a plotting inconvenience. Misreading percent-scale R2 as fractions invents impossible totals.</w:t>
      </w:r>
    </w:p>
    <w:p>
      <w:pPr>
        <w:pStyle w:val="Heading4"/>
      </w:pPr>
      <w:r>
        <w:rPr>
          <w:color w:val="1F4E79"/>
        </w:rPr>
        <w:t>4. Factor association with cell identity</w:t>
      </w:r>
    </w:p>
    <w:p>
      <w:pPr>
        <w:spacing w:after="140"/>
      </w:pPr>
      <w:r>
        <w:rPr>
          <w:b/>
          <w:sz w:val="21"/>
        </w:rPr>
        <w:t>Script.</w:t>
      </w:r>
      <w:r>
        <w:rPr>
          <w:sz w:val="21"/>
        </w:rPr>
        <w:t xml:space="preserve"> </w:t>
      </w:r>
      <w:r>
        <w:rPr>
          <w:rFonts w:ascii="Menlo" w:hAnsi="Menlo"/>
          <w:color w:val="1A3E6E"/>
          <w:sz w:val="19"/>
        </w:rPr>
        <w:t>scripts/nb05_multimodal/load.py</w:t>
      </w:r>
      <w:r>
        <w:rPr>
          <w:sz w:val="21"/>
        </w:rPr>
        <w:t xml:space="preserve"> (</w:t>
      </w:r>
      <w:r>
        <w:rPr>
          <w:rFonts w:ascii="Menlo" w:hAnsi="Menlo"/>
          <w:color w:val="1A3E6E"/>
          <w:sz w:val="19"/>
        </w:rPr>
        <w:t>load_label_cache</w:t>
      </w:r>
      <w:r>
        <w:rPr>
          <w:sz w:val="21"/>
        </w:rPr>
        <w:t xml:space="preserve">, </w:t>
      </w:r>
      <w:r>
        <w:rPr>
          <w:rFonts w:ascii="Menlo" w:hAnsi="Menlo"/>
          <w:color w:val="1A3E6E"/>
          <w:sz w:val="19"/>
        </w:rPr>
        <w:t>assemble_nucleus_frame</w:t>
      </w:r>
      <w:r>
        <w:rPr>
          <w:sz w:val="21"/>
        </w:rPr>
        <w:t xml:space="preserve">); </w:t>
      </w:r>
      <w:r>
        <w:rPr>
          <w:rFonts w:ascii="Menlo" w:hAnsi="Menlo"/>
          <w:color w:val="1A3E6E"/>
          <w:sz w:val="19"/>
        </w:rPr>
        <w:t>scripts/nb05_multimodal/bridge.py</w:t>
      </w:r>
      <w:r>
        <w:rPr>
          <w:sz w:val="21"/>
        </w:rPr>
        <w:t xml:space="preserve"> (</w:t>
      </w:r>
      <w:r>
        <w:rPr>
          <w:rFonts w:ascii="Menlo" w:hAnsi="Menlo"/>
          <w:color w:val="1A3E6E"/>
          <w:sz w:val="19"/>
        </w:rPr>
        <w:t>factor_label_association</w:t>
      </w:r>
      <w:r>
        <w:rPr>
          <w:sz w:val="21"/>
        </w:rPr>
        <w:t xml:space="preserve">); </w:t>
      </w:r>
      <w:r>
        <w:rPr>
          <w:rFonts w:ascii="Menlo" w:hAnsi="Menlo"/>
          <w:color w:val="1A3E6E"/>
          <w:sz w:val="19"/>
        </w:rPr>
        <w:t>scripts/nb05_multimodal/plots.py</w:t>
      </w:r>
      <w:r>
        <w:rPr>
          <w:sz w:val="21"/>
        </w:rPr>
        <w:t xml:space="preserve"> (</w:t>
      </w:r>
      <w:r>
        <w:rPr>
          <w:rFonts w:ascii="Menlo" w:hAnsi="Menlo"/>
          <w:color w:val="1A3E6E"/>
          <w:sz w:val="19"/>
        </w:rPr>
        <w:t>plot_factor_label_heatmap</w:t>
      </w:r>
      <w:r>
        <w:rPr>
          <w:sz w:val="21"/>
        </w:rPr>
        <w:t>).</w:t>
      </w:r>
    </w:p>
    <w:p>
      <w:pPr>
        <w:spacing w:after="140"/>
      </w:pPr>
      <w:r>
        <w:rPr>
          <w:b/>
          <w:sz w:val="21"/>
        </w:rPr>
        <w:t>What.</w:t>
      </w:r>
      <w:r>
        <w:rPr>
          <w:sz w:val="21"/>
        </w:rPr>
        <w:t xml:space="preserve"> Join the committed cache (Azimuth labels, WNN Leiden, WNN UMAP) onto MOFA sample order. For every factor score, compute eta squared against Azimuth, WNN, RNA Leiden, and ATAC Leiden. Write </w:t>
      </w:r>
      <w:r>
        <w:rPr>
          <w:rFonts w:ascii="Menlo" w:hAnsi="Menlo"/>
          <w:color w:val="1A3E6E"/>
          <w:sz w:val="19"/>
        </w:rPr>
        <w:t>module3_factor_label_association.tsv</w:t>
      </w:r>
      <w:r>
        <w:rPr>
          <w:sz w:val="21"/>
        </w:rPr>
        <w:t>. Cache generation from the MuData file is an authoring step (</w:t>
      </w:r>
      <w:r>
        <w:rPr>
          <w:rFonts w:ascii="Menlo" w:hAnsi="Menlo"/>
          <w:color w:val="1A3E6E"/>
          <w:sz w:val="19"/>
        </w:rPr>
        <w:t>scripts/nb05_multimodal/cache.py</w:t>
      </w:r>
      <w:r>
        <w:rPr>
          <w:sz w:val="21"/>
        </w:rPr>
        <w:t>); learners read the committed TSV.</w:t>
      </w:r>
    </w:p>
    <w:p>
      <w:pPr>
        <w:spacing w:after="140"/>
      </w:pPr>
      <w:r>
        <w:rPr>
          <w:sz w:val="21"/>
        </w:rPr>
        <w:t>Parameters: see Appendix, section 4.</w:t>
      </w:r>
    </w:p>
    <w:p>
      <w:pPr>
        <w:spacing w:after="140"/>
      </w:pPr>
      <w:r>
        <w:rPr>
          <w:b/>
          <w:sz w:val="21"/>
        </w:rPr>
        <w:t>Why.</w:t>
      </w:r>
      <w:r>
        <w:rPr>
          <w:sz w:val="21"/>
        </w:rPr>
        <w:t xml:space="preserve"> A modality-private MOFA fit can still have found biology in one view. Eta squared against cell identity is how you tell "the method worked on RNA" from "the object is noise."</w:t>
      </w:r>
    </w:p>
    <w:p>
      <w:pPr>
        <w:pStyle w:val="Heading4"/>
      </w:pPr>
      <w:r>
        <w:rPr>
          <w:color w:val="1F4E79"/>
        </w:rPr>
        <w:t>5. Content of the ATAC gene-activity view</w:t>
      </w:r>
    </w:p>
    <w:p>
      <w:pPr>
        <w:spacing w:after="140"/>
      </w:pPr>
      <w:r>
        <w:rPr>
          <w:b/>
          <w:sz w:val="21"/>
        </w:rPr>
        <w:t>Script.</w:t>
      </w:r>
      <w:r>
        <w:rPr>
          <w:sz w:val="21"/>
        </w:rPr>
        <w:t xml:space="preserve"> </w:t>
      </w:r>
      <w:r>
        <w:rPr>
          <w:rFonts w:ascii="Menlo" w:hAnsi="Menlo"/>
          <w:color w:val="1A3E6E"/>
          <w:sz w:val="19"/>
        </w:rPr>
        <w:t>scripts/nb05_multimodal/load.py</w:t>
      </w:r>
      <w:r>
        <w:rPr>
          <w:sz w:val="21"/>
        </w:rPr>
        <w:t xml:space="preserve"> (</w:t>
      </w:r>
      <w:r>
        <w:rPr>
          <w:rFonts w:ascii="Menlo" w:hAnsi="Menlo"/>
          <w:color w:val="1A3E6E"/>
          <w:sz w:val="19"/>
        </w:rPr>
        <w:t>mofa_sample_metadata</w:t>
      </w:r>
      <w:r>
        <w:rPr>
          <w:sz w:val="21"/>
        </w:rPr>
        <w:t xml:space="preserve">); </w:t>
      </w:r>
      <w:r>
        <w:rPr>
          <w:rFonts w:ascii="Menlo" w:hAnsi="Menlo"/>
          <w:color w:val="1A3E6E"/>
          <w:sz w:val="19"/>
        </w:rPr>
        <w:t>scripts/nb05_multimodal/bridge.py</w:t>
      </w:r>
      <w:r>
        <w:rPr>
          <w:sz w:val="21"/>
        </w:rPr>
        <w:t xml:space="preserve"> (</w:t>
      </w:r>
      <w:r>
        <w:rPr>
          <w:rFonts w:ascii="Menlo" w:hAnsi="Menlo"/>
          <w:color w:val="1A3E6E"/>
          <w:sz w:val="19"/>
        </w:rPr>
        <w:t>cluster_concordance</w:t>
      </w:r>
      <w:r>
        <w:rPr>
          <w:sz w:val="21"/>
        </w:rPr>
        <w:t xml:space="preserve">, </w:t>
      </w:r>
      <w:r>
        <w:rPr>
          <w:rFonts w:ascii="Menlo" w:hAnsi="Menlo"/>
          <w:color w:val="1A3E6E"/>
          <w:sz w:val="19"/>
        </w:rPr>
        <w:t>qc_association</w:t>
      </w:r>
      <w:r>
        <w:rPr>
          <w:sz w:val="21"/>
        </w:rPr>
        <w:t xml:space="preserve">); </w:t>
      </w:r>
      <w:r>
        <w:rPr>
          <w:rFonts w:ascii="Menlo" w:hAnsi="Menlo"/>
          <w:color w:val="1A3E6E"/>
          <w:sz w:val="19"/>
        </w:rPr>
        <w:t>scripts/nb05_multimodal/plots.py</w:t>
      </w:r>
      <w:r>
        <w:rPr>
          <w:sz w:val="21"/>
        </w:rPr>
        <w:t xml:space="preserve"> (</w:t>
      </w:r>
      <w:r>
        <w:rPr>
          <w:rFonts w:ascii="Menlo" w:hAnsi="Menlo"/>
          <w:color w:val="1A3E6E"/>
          <w:sz w:val="19"/>
        </w:rPr>
        <w:t>plot_cluster_concordance</w:t>
      </w:r>
      <w:r>
        <w:rPr>
          <w:sz w:val="21"/>
        </w:rPr>
        <w:t xml:space="preserve">, </w:t>
      </w:r>
      <w:r>
        <w:rPr>
          <w:rFonts w:ascii="Menlo" w:hAnsi="Menlo"/>
          <w:color w:val="1A3E6E"/>
          <w:sz w:val="19"/>
        </w:rPr>
        <w:t>plot_qc_association</w:t>
      </w:r>
      <w:r>
        <w:rPr>
          <w:sz w:val="21"/>
        </w:rPr>
        <w:t>).</w:t>
      </w:r>
    </w:p>
    <w:p>
      <w:pPr>
        <w:spacing w:after="140"/>
      </w:pPr>
      <w:r>
        <w:rPr>
          <w:b/>
          <w:sz w:val="21"/>
        </w:rPr>
        <w:t>What.</w:t>
      </w:r>
      <w:r>
        <w:rPr>
          <w:sz w:val="21"/>
        </w:rPr>
        <w:t xml:space="preserve"> MOFA </w:t>
      </w:r>
      <w:r>
        <w:rPr>
          <w:rFonts w:ascii="Menlo" w:hAnsi="Menlo"/>
          <w:color w:val="1A3E6E"/>
          <w:sz w:val="19"/>
        </w:rPr>
        <w:t>samples_metadata/group1</w:t>
      </w:r>
      <w:r>
        <w:rPr>
          <w:sz w:val="21"/>
        </w:rPr>
        <w:t xml:space="preserve"> already carries RNA Leiden, ATAC Leiden, ArchR Clusters, and the ATAC QC panel, so these diagnostics do not need the MuData file. Compute pairwise adjusted Rand index and normalized mutual information. Compute eta squared of QC metrics under each clustering, log10-transforming fragment and TSS count columns and recording that transform.</w:t>
      </w:r>
    </w:p>
    <w:p>
      <w:pPr>
        <w:spacing w:after="140"/>
      </w:pPr>
      <w:r>
        <w:rPr>
          <w:sz w:val="21"/>
        </w:rPr>
        <w:t>Parameters: see Appendix, section 5.</w:t>
      </w:r>
    </w:p>
    <w:p>
      <w:pPr>
        <w:spacing w:after="140"/>
      </w:pPr>
      <w:r>
        <w:rPr>
          <w:b/>
          <w:sz w:val="21"/>
        </w:rPr>
        <w:t>Why.</w:t>
      </w:r>
      <w:r>
        <w:rPr>
          <w:sz w:val="21"/>
        </w:rPr>
        <w:t xml:space="preserve"> If ATAC Leiden is chance-level against cell type and strongly associated with sequencing depth, the ATAC gene-activity matrix is not a legitimate basis for integration. That is a property of this representation, not a proof that chromatin is uninformative in lung.</w:t>
      </w:r>
    </w:p>
    <w:p>
      <w:pPr>
        <w:pStyle w:val="Heading4"/>
      </w:pPr>
      <w:r>
        <w:rPr>
          <w:color w:val="1F4E79"/>
        </w:rPr>
        <w:t>6. Weighted nearest neighbor as a second integration</w:t>
      </w:r>
    </w:p>
    <w:p>
      <w:pPr>
        <w:spacing w:after="140"/>
      </w:pPr>
      <w:r>
        <w:rPr>
          <w:b/>
          <w:sz w:val="21"/>
        </w:rPr>
        <w:t>Script.</w:t>
      </w:r>
      <w:r>
        <w:rPr>
          <w:sz w:val="21"/>
        </w:rPr>
        <w:t xml:space="preserve"> </w:t>
      </w:r>
      <w:r>
        <w:rPr>
          <w:rFonts w:ascii="Menlo" w:hAnsi="Menlo"/>
          <w:color w:val="1A3E6E"/>
          <w:sz w:val="19"/>
        </w:rPr>
        <w:t>scripts/nb05_multimodal/bridge.py</w:t>
      </w:r>
      <w:r>
        <w:rPr>
          <w:sz w:val="21"/>
        </w:rPr>
        <w:t xml:space="preserve"> (</w:t>
      </w:r>
      <w:r>
        <w:rPr>
          <w:rFonts w:ascii="Menlo" w:hAnsi="Menlo"/>
          <w:color w:val="1A3E6E"/>
          <w:sz w:val="19"/>
        </w:rPr>
        <w:t>cluster_concordance</w:t>
      </w:r>
      <w:r>
        <w:rPr>
          <w:sz w:val="21"/>
        </w:rPr>
        <w:t xml:space="preserve">); </w:t>
      </w:r>
      <w:r>
        <w:rPr>
          <w:rFonts w:ascii="Menlo" w:hAnsi="Menlo"/>
          <w:color w:val="1A3E6E"/>
          <w:sz w:val="19"/>
        </w:rPr>
        <w:t>scripts/nb05_multimodal/plots.py</w:t>
      </w:r>
      <w:r>
        <w:rPr>
          <w:sz w:val="21"/>
        </w:rPr>
        <w:t xml:space="preserve"> (</w:t>
      </w:r>
      <w:r>
        <w:rPr>
          <w:rFonts w:ascii="Menlo" w:hAnsi="Menlo"/>
          <w:color w:val="1A3E6E"/>
          <w:sz w:val="19"/>
        </w:rPr>
        <w:t>plot_wnn_umap</w:t>
      </w:r>
      <w:r>
        <w:rPr>
          <w:sz w:val="21"/>
        </w:rPr>
        <w:t>).</w:t>
      </w:r>
    </w:p>
    <w:p>
      <w:pPr>
        <w:spacing w:after="140"/>
      </w:pPr>
      <w:r>
        <w:rPr>
          <w:b/>
          <w:sz w:val="21"/>
        </w:rPr>
        <w:t>What.</w:t>
      </w:r>
      <w:r>
        <w:rPr>
          <w:sz w:val="21"/>
        </w:rPr>
        <w:t xml:space="preserve"> The cache supplies WNN Leiden and WNN UMAP from the portal MuData object. Compare WNN to RNA Leiden, ATAC Leiden, and Azimuth. Plot the WNN embedding colored by Azimuth and by ATAC Leiden.</w:t>
      </w:r>
    </w:p>
    <w:p>
      <w:pPr>
        <w:spacing w:after="140"/>
      </w:pPr>
      <w:r>
        <w:rPr>
          <w:sz w:val="21"/>
        </w:rPr>
        <w:t>Parameters: see Appendix, section 6.</w:t>
      </w:r>
    </w:p>
    <w:p>
      <w:pPr>
        <w:spacing w:after="140"/>
      </w:pPr>
      <w:r>
        <w:rPr>
          <w:b/>
          <w:sz w:val="21"/>
        </w:rPr>
        <w:t>Why.</w:t>
      </w:r>
      <w:r>
        <w:rPr>
          <w:sz w:val="21"/>
        </w:rPr>
        <w:t xml:space="preserve"> A joint embedding can look successful while still leaning on one modality. WNN is the portal's second integrator; it is the control for "maybe MOFA was the wrong method."</w:t>
      </w:r>
    </w:p>
    <w:p>
      <w:pPr>
        <w:pStyle w:val="Heading4"/>
      </w:pPr>
      <w:r>
        <w:rPr>
          <w:color w:val="1F4E79"/>
        </w:rPr>
        <w:t>7. Genome-wide RNA-ATAC gene bridge</w:t>
      </w:r>
    </w:p>
    <w:p>
      <w:pPr>
        <w:spacing w:after="140"/>
      </w:pPr>
      <w:r>
        <w:rPr>
          <w:b/>
          <w:sz w:val="21"/>
        </w:rPr>
        <w:t>Script.</w:t>
      </w:r>
      <w:r>
        <w:rPr>
          <w:sz w:val="21"/>
        </w:rPr>
        <w:t xml:space="preserve"> </w:t>
      </w:r>
      <w:r>
        <w:rPr>
          <w:rFonts w:ascii="Menlo" w:hAnsi="Menlo"/>
          <w:color w:val="1A3E6E"/>
          <w:sz w:val="19"/>
        </w:rPr>
        <w:t>scripts/nb05_multimodal/bridge.py</w:t>
      </w:r>
      <w:r>
        <w:rPr>
          <w:sz w:val="21"/>
        </w:rPr>
        <w:t xml:space="preserve"> (</w:t>
      </w:r>
      <w:r>
        <w:rPr>
          <w:rFonts w:ascii="Menlo" w:hAnsi="Menlo"/>
          <w:color w:val="1A3E6E"/>
          <w:sz w:val="19"/>
        </w:rPr>
        <w:t>rna_atac_gene_bridge</w:t>
      </w:r>
      <w:r>
        <w:rPr>
          <w:sz w:val="21"/>
        </w:rPr>
        <w:t xml:space="preserve">); metric configured as </w:t>
      </w:r>
      <w:r>
        <w:rPr>
          <w:rFonts w:ascii="Menlo" w:hAnsi="Menlo"/>
          <w:color w:val="1A3E6E"/>
          <w:sz w:val="19"/>
        </w:rPr>
        <w:t>module3.analysis.bridge_metric</w:t>
      </w:r>
      <w:r>
        <w:rPr>
          <w:sz w:val="21"/>
        </w:rPr>
        <w:t>.</w:t>
      </w:r>
    </w:p>
    <w:p>
      <w:pPr>
        <w:spacing w:after="140"/>
      </w:pPr>
      <w:r>
        <w:rPr>
          <w:b/>
          <w:sz w:val="21"/>
        </w:rPr>
        <w:t>What.</w:t>
      </w:r>
      <w:r>
        <w:rPr>
          <w:sz w:val="21"/>
        </w:rPr>
        <w:t xml:space="preserve"> Join RNA and ATAC features by HUGO symbol on MOFA inputs; summarize dispersion relationships with metric </w:t>
      </w:r>
      <w:r>
        <w:rPr>
          <w:rFonts w:ascii="Menlo" w:hAnsi="Menlo"/>
          <w:color w:val="1A3E6E"/>
          <w:sz w:val="19"/>
        </w:rPr>
        <w:t>feature_std_on_mofa_inputs</w:t>
      </w:r>
      <w:r>
        <w:rPr>
          <w:sz w:val="21"/>
        </w:rPr>
        <w:t>. Report genome-wide Pearson/Spearman on those paired dispersions.</w:t>
      </w:r>
    </w:p>
    <w:p>
      <w:pPr>
        <w:spacing w:after="140"/>
      </w:pPr>
      <w:r>
        <w:rPr>
          <w:sz w:val="21"/>
        </w:rPr>
        <w:t>Parameters: see Appendix, section 7.</w:t>
      </w:r>
    </w:p>
    <w:p>
      <w:pPr>
        <w:spacing w:after="140"/>
      </w:pPr>
      <w:r>
        <w:rPr>
          <w:b/>
          <w:sz w:val="21"/>
        </w:rPr>
        <w:t>Why.</w:t>
      </w:r>
      <w:r>
        <w:rPr>
          <w:sz w:val="21"/>
        </w:rPr>
        <w:t xml:space="preserve"> ATAC gene activity is not RNA expression. Weak global correlation is an expected scientific result for this object, not a pipeline failure.</w:t>
      </w:r>
    </w:p>
    <w:p>
      <w:pPr>
        <w:pStyle w:val="Heading4"/>
      </w:pPr>
      <w:r>
        <w:rPr>
          <w:color w:val="1F4E79"/>
        </w:rPr>
        <w:t>8. Focus-gene correlations, global and within cell type</w:t>
      </w:r>
    </w:p>
    <w:p>
      <w:pPr>
        <w:spacing w:after="140"/>
      </w:pPr>
      <w:r>
        <w:rPr>
          <w:b/>
          <w:sz w:val="21"/>
        </w:rPr>
        <w:t>Script.</w:t>
      </w:r>
      <w:r>
        <w:rPr>
          <w:sz w:val="21"/>
        </w:rPr>
        <w:t xml:space="preserve"> </w:t>
      </w:r>
      <w:r>
        <w:rPr>
          <w:rFonts w:ascii="Menlo" w:hAnsi="Menlo"/>
          <w:color w:val="1A3E6E"/>
          <w:sz w:val="19"/>
        </w:rPr>
        <w:t>scripts/nb05_multimodal/bridge.py</w:t>
      </w:r>
      <w:r>
        <w:rPr>
          <w:sz w:val="21"/>
        </w:rPr>
        <w:t xml:space="preserve"> (</w:t>
      </w:r>
      <w:r>
        <w:rPr>
          <w:rFonts w:ascii="Menlo" w:hAnsi="Menlo"/>
          <w:color w:val="1A3E6E"/>
          <w:sz w:val="19"/>
        </w:rPr>
        <w:t>focus_gene_bridge</w:t>
      </w:r>
      <w:r>
        <w:rPr>
          <w:sz w:val="21"/>
        </w:rPr>
        <w:t xml:space="preserve">, </w:t>
      </w:r>
      <w:r>
        <w:rPr>
          <w:rFonts w:ascii="Menlo" w:hAnsi="Menlo"/>
          <w:color w:val="1A3E6E"/>
          <w:sz w:val="19"/>
        </w:rPr>
        <w:t>focus_gene_correlations</w:t>
      </w:r>
      <w:r>
        <w:rPr>
          <w:sz w:val="21"/>
        </w:rPr>
        <w:t xml:space="preserve">, </w:t>
      </w:r>
      <w:r>
        <w:rPr>
          <w:rFonts w:ascii="Menlo" w:hAnsi="Menlo"/>
          <w:color w:val="1A3E6E"/>
          <w:sz w:val="19"/>
        </w:rPr>
        <w:t>focus_gene_correlations_by_cell_type</w:t>
      </w:r>
      <w:r>
        <w:rPr>
          <w:sz w:val="21"/>
        </w:rPr>
        <w:t xml:space="preserve">, </w:t>
      </w:r>
      <w:r>
        <w:rPr>
          <w:rFonts w:ascii="Menlo" w:hAnsi="Menlo"/>
          <w:color w:val="1A3E6E"/>
          <w:sz w:val="19"/>
        </w:rPr>
        <w:t>combine_focus_correlations</w:t>
      </w:r>
      <w:r>
        <w:rPr>
          <w:sz w:val="21"/>
        </w:rPr>
        <w:t xml:space="preserve">, </w:t>
      </w:r>
      <w:r>
        <w:rPr>
          <w:rFonts w:ascii="Menlo" w:hAnsi="Menlo"/>
          <w:color w:val="1A3E6E"/>
          <w:sz w:val="19"/>
        </w:rPr>
        <w:t>focus_gene_availability</w:t>
      </w:r>
      <w:r>
        <w:rPr>
          <w:sz w:val="21"/>
        </w:rPr>
        <w:t>).</w:t>
      </w:r>
    </w:p>
    <w:p>
      <w:pPr>
        <w:spacing w:after="140"/>
      </w:pPr>
      <w:r>
        <w:rPr>
          <w:b/>
          <w:sz w:val="21"/>
        </w:rPr>
        <w:t>What.</w:t>
      </w:r>
      <w:r>
        <w:rPr>
          <w:sz w:val="21"/>
        </w:rPr>
        <w:t xml:space="preserve"> Correlate configured focus genes in RNA and ATAC spaces. Joining the cache supplies Azimuth labels, so within-cell-type rows are emitted on the default path. Config </w:t>
      </w:r>
      <w:r>
        <w:rPr>
          <w:rFonts w:ascii="Menlo" w:hAnsi="Menlo"/>
          <w:color w:val="1A3E6E"/>
          <w:sz w:val="19"/>
        </w:rPr>
        <w:t>module3.thresholds.min_nuclei_correlation: 50</w:t>
      </w:r>
      <w:r>
        <w:rPr>
          <w:sz w:val="21"/>
        </w:rPr>
        <w:t xml:space="preserve"> flags correlations with n below this threshold. </w:t>
      </w:r>
      <w:r>
        <w:rPr>
          <w:rFonts w:ascii="Menlo" w:hAnsi="Menlo"/>
          <w:color w:val="1A3E6E"/>
          <w:sz w:val="19"/>
        </w:rPr>
        <w:t>focus_gene_cell_types</w:t>
      </w:r>
      <w:r>
        <w:rPr>
          <w:sz w:val="21"/>
        </w:rPr>
        <w:t xml:space="preserve"> was re-checked against the Azimuth labels present in this Donor_2 object. </w:t>
      </w:r>
      <w:r>
        <w:rPr>
          <w:rFonts w:ascii="Menlo" w:hAnsi="Menlo"/>
          <w:color w:val="1A3E6E"/>
          <w:sz w:val="19"/>
        </w:rPr>
        <w:t>focus_genes_not_in_both_modalities</w:t>
      </w:r>
      <w:r>
        <w:rPr>
          <w:sz w:val="21"/>
        </w:rPr>
        <w:t xml:space="preserve"> (e.g. EPCAM) documents genes that cannot support a paired claim.</w:t>
      </w:r>
    </w:p>
    <w:p>
      <w:pPr>
        <w:spacing w:after="140"/>
      </w:pPr>
      <w:r>
        <w:rPr>
          <w:sz w:val="21"/>
        </w:rPr>
        <w:t>Parameters: see Appendix, section 8.</w:t>
      </w:r>
    </w:p>
    <w:p>
      <w:pPr>
        <w:spacing w:after="140"/>
      </w:pPr>
      <w:r>
        <w:rPr>
          <w:b/>
          <w:sz w:val="21"/>
        </w:rPr>
        <w:t>Why.</w:t>
      </w:r>
      <w:r>
        <w:rPr>
          <w:sz w:val="21"/>
        </w:rPr>
        <w:t xml:space="preserve"> Focus genes connect Module 3 to lung programs taught in Modules 1-2 without pretending ATAC gene activity equals RNA abundance. Explicit low-n and missing-modality rows prevent silent empty correlations.</w:t>
      </w:r>
    </w:p>
    <w:p>
      <w:pPr>
        <w:spacing w:after="140"/>
      </w:pPr>
      <w:r>
        <w:rPr>
          <w:sz w:val="21"/>
        </w:rPr>
        <w:t>MOFA inputs or cache changed.</w:t>
      </w:r>
    </w:p>
    <w:p>
      <w:pPr>
        <w:pStyle w:val="Heading1"/>
      </w:pPr>
      <w:r>
        <w:rPr>
          <w:color w:val="1F4E79"/>
        </w:rPr>
        <w:t>4. Results</w:t>
      </w:r>
    </w:p>
    <w:p>
      <w:pPr>
        <w:pStyle w:val="Heading4"/>
      </w:pPr>
      <w:r>
        <w:rPr>
          <w:color w:val="1F4E79"/>
        </w:rPr>
        <w:t>Object composition and barcode pairing</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CE6F1"/>
          </w:tcPr>
          <w:p>
            <w:r/>
            <w:r>
              <w:rPr>
                <w:b/>
                <w:sz w:val="15"/>
              </w:rPr>
              <w:t>rna_n_barcodes</w:t>
            </w:r>
          </w:p>
        </w:tc>
        <w:tc>
          <w:tcPr>
            <w:tcW w:type="dxa" w:w="1337"/>
            <w:shd w:val="clear" w:fill="DCE6F1"/>
          </w:tcPr>
          <w:p>
            <w:r/>
            <w:r>
              <w:rPr>
                <w:b/>
                <w:sz w:val="15"/>
              </w:rPr>
              <w:t>atac_n_barcodes</w:t>
            </w:r>
          </w:p>
        </w:tc>
        <w:tc>
          <w:tcPr>
            <w:tcW w:type="dxa" w:w="1337"/>
            <w:shd w:val="clear" w:fill="DCE6F1"/>
          </w:tcPr>
          <w:p>
            <w:r/>
            <w:r>
              <w:rPr>
                <w:b/>
                <w:sz w:val="15"/>
              </w:rPr>
              <w:t>n_exact_overlap</w:t>
            </w:r>
          </w:p>
        </w:tc>
        <w:tc>
          <w:tcPr>
            <w:tcW w:type="dxa" w:w="1337"/>
            <w:shd w:val="clear" w:fill="DCE6F1"/>
          </w:tcPr>
          <w:p>
            <w:r/>
            <w:r>
              <w:rPr>
                <w:b/>
                <w:sz w:val="15"/>
              </w:rPr>
              <w:t>overlap_fraction_of_rna</w:t>
            </w:r>
          </w:p>
        </w:tc>
        <w:tc>
          <w:tcPr>
            <w:tcW w:type="dxa" w:w="1337"/>
            <w:shd w:val="clear" w:fill="DCE6F1"/>
          </w:tcPr>
          <w:p>
            <w:r/>
            <w:r>
              <w:rPr>
                <w:b/>
                <w:sz w:val="15"/>
              </w:rPr>
              <w:t>overlap_fraction_of_atac</w:t>
            </w:r>
          </w:p>
        </w:tc>
        <w:tc>
          <w:tcPr>
            <w:tcW w:type="dxa" w:w="1337"/>
            <w:shd w:val="clear" w:fill="DCE6F1"/>
          </w:tcPr>
          <w:p>
            <w:r/>
            <w:r>
              <w:rPr>
                <w:b/>
                <w:sz w:val="15"/>
              </w:rPr>
              <w:t>paired_multiome</w:t>
            </w:r>
          </w:p>
        </w:tc>
        <w:tc>
          <w:tcPr>
            <w:tcW w:type="dxa" w:w="1337"/>
            <w:shd w:val="clear" w:fill="DCE6F1"/>
          </w:tcPr>
          <w:p>
            <w:r/>
            <w:r>
              <w:rPr>
                <w:b/>
                <w:sz w:val="15"/>
              </w:rPr>
              <w:t>interpretation</w:t>
            </w:r>
          </w:p>
        </w:tc>
      </w:tr>
      <w:tr>
        <w:tc>
          <w:tcPr>
            <w:tcW w:type="dxa" w:w="1337"/>
          </w:tcPr>
          <w:p>
            <w:r/>
            <w:r>
              <w:rPr>
                <w:sz w:val="15"/>
              </w:rPr>
              <w:t>21978</w:t>
            </w:r>
          </w:p>
        </w:tc>
        <w:tc>
          <w:tcPr>
            <w:tcW w:type="dxa" w:w="1337"/>
          </w:tcPr>
          <w:p>
            <w:r/>
            <w:r>
              <w:rPr>
                <w:sz w:val="15"/>
              </w:rPr>
              <w:t>21978</w:t>
            </w:r>
          </w:p>
        </w:tc>
        <w:tc>
          <w:tcPr>
            <w:tcW w:type="dxa" w:w="1337"/>
          </w:tcPr>
          <w:p>
            <w:r/>
            <w:r>
              <w:rPr>
                <w:sz w:val="15"/>
              </w:rPr>
              <w:t>21978</w:t>
            </w:r>
          </w:p>
        </w:tc>
        <w:tc>
          <w:tcPr>
            <w:tcW w:type="dxa" w:w="1337"/>
          </w:tcPr>
          <w:p>
            <w:r/>
            <w:r>
              <w:rPr>
                <w:sz w:val="15"/>
              </w:rPr>
              <w:t>1.0</w:t>
            </w:r>
          </w:p>
        </w:tc>
        <w:tc>
          <w:tcPr>
            <w:tcW w:type="dxa" w:w="1337"/>
          </w:tcPr>
          <w:p>
            <w:r/>
            <w:r>
              <w:rPr>
                <w:sz w:val="15"/>
              </w:rPr>
              <w:t>1.0</w:t>
            </w:r>
          </w:p>
        </w:tc>
        <w:tc>
          <w:tcPr>
            <w:tcW w:type="dxa" w:w="1337"/>
          </w:tcPr>
          <w:p>
            <w:r/>
            <w:r>
              <w:rPr>
                <w:sz w:val="15"/>
              </w:rPr>
              <w:t>True</w:t>
            </w:r>
          </w:p>
        </w:tc>
        <w:tc>
          <w:tcPr>
            <w:tcW w:type="dxa" w:w="1337"/>
          </w:tcPr>
          <w:p>
            <w:r/>
            <w:r>
              <w:rPr>
                <w:sz w:val="15"/>
              </w:rPr>
              <w:t>NOT independent pairing evidence from a barcode crosstab. Pairing is asserted by MOFA file construction: one shared sample barcode list is written once for rna + atac_cbg views. n_exact_overlap equals that list length by definition (MuData barcode crosstab skipped because load_h5mu=false).</w:t>
            </w:r>
          </w:p>
        </w:tc>
      </w:tr>
    </w:tbl>
    <w:p>
      <w:r>
        <w:rPr>
          <w:i/>
          <w:color w:val="444444"/>
          <w:sz w:val="17"/>
        </w:rPr>
        <w:t>Source: module3_barcode_overlap.tsv</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
              <w:rPr>
                <w:b/>
                <w:sz w:val="17"/>
              </w:rPr>
              <w:t>azimuth_label</w:t>
            </w:r>
          </w:p>
        </w:tc>
        <w:tc>
          <w:tcPr>
            <w:tcW w:type="dxa" w:w="3120"/>
            <w:shd w:val="clear" w:fill="DCE6F1"/>
          </w:tcPr>
          <w:p>
            <w:r/>
            <w:r>
              <w:rPr>
                <w:b/>
                <w:sz w:val="17"/>
              </w:rPr>
              <w:t>n_nuclei</w:t>
            </w:r>
          </w:p>
        </w:tc>
        <w:tc>
          <w:tcPr>
            <w:tcW w:type="dxa" w:w="3120"/>
            <w:shd w:val="clear" w:fill="DCE6F1"/>
          </w:tcPr>
          <w:p>
            <w:r/>
            <w:r>
              <w:rPr>
                <w:b/>
                <w:sz w:val="17"/>
              </w:rPr>
              <w:t>fraction</w:t>
            </w:r>
          </w:p>
        </w:tc>
      </w:tr>
      <w:tr>
        <w:tc>
          <w:tcPr>
            <w:tcW w:type="dxa" w:w="3120"/>
          </w:tcPr>
          <w:p>
            <w:r/>
            <w:r>
              <w:rPr>
                <w:sz w:val="17"/>
              </w:rPr>
              <w:t>EC general capillary</w:t>
            </w:r>
          </w:p>
        </w:tc>
        <w:tc>
          <w:tcPr>
            <w:tcW w:type="dxa" w:w="3120"/>
          </w:tcPr>
          <w:p>
            <w:r/>
            <w:r>
              <w:rPr>
                <w:sz w:val="17"/>
              </w:rPr>
              <w:t>8339</w:t>
            </w:r>
          </w:p>
        </w:tc>
        <w:tc>
          <w:tcPr>
            <w:tcW w:type="dxa" w:w="3120"/>
          </w:tcPr>
          <w:p>
            <w:r/>
            <w:r>
              <w:rPr>
                <w:sz w:val="17"/>
              </w:rPr>
              <w:t>0.379425</w:t>
            </w:r>
          </w:p>
        </w:tc>
      </w:tr>
      <w:tr>
        <w:tc>
          <w:tcPr>
            <w:tcW w:type="dxa" w:w="3120"/>
          </w:tcPr>
          <w:p>
            <w:r/>
            <w:r>
              <w:rPr>
                <w:sz w:val="17"/>
              </w:rPr>
              <w:t>AT1</w:t>
            </w:r>
          </w:p>
        </w:tc>
        <w:tc>
          <w:tcPr>
            <w:tcW w:type="dxa" w:w="3120"/>
          </w:tcPr>
          <w:p>
            <w:r/>
            <w:r>
              <w:rPr>
                <w:sz w:val="17"/>
              </w:rPr>
              <w:t>2210</w:t>
            </w:r>
          </w:p>
        </w:tc>
        <w:tc>
          <w:tcPr>
            <w:tcW w:type="dxa" w:w="3120"/>
          </w:tcPr>
          <w:p>
            <w:r/>
            <w:r>
              <w:rPr>
                <w:sz w:val="17"/>
              </w:rPr>
              <w:t>0.100555</w:t>
            </w:r>
          </w:p>
        </w:tc>
      </w:tr>
      <w:tr>
        <w:tc>
          <w:tcPr>
            <w:tcW w:type="dxa" w:w="3120"/>
          </w:tcPr>
          <w:p>
            <w:r/>
            <w:r>
              <w:rPr>
                <w:sz w:val="17"/>
              </w:rPr>
              <w:t>EC arterial</w:t>
            </w:r>
          </w:p>
        </w:tc>
        <w:tc>
          <w:tcPr>
            <w:tcW w:type="dxa" w:w="3120"/>
          </w:tcPr>
          <w:p>
            <w:r/>
            <w:r>
              <w:rPr>
                <w:sz w:val="17"/>
              </w:rPr>
              <w:t>2030</w:t>
            </w:r>
          </w:p>
        </w:tc>
        <w:tc>
          <w:tcPr>
            <w:tcW w:type="dxa" w:w="3120"/>
          </w:tcPr>
          <w:p>
            <w:r/>
            <w:r>
              <w:rPr>
                <w:sz w:val="17"/>
              </w:rPr>
              <w:t>0.092365</w:t>
            </w:r>
          </w:p>
        </w:tc>
      </w:tr>
      <w:tr>
        <w:tc>
          <w:tcPr>
            <w:tcW w:type="dxa" w:w="3120"/>
          </w:tcPr>
          <w:p>
            <w:r/>
            <w:r>
              <w:rPr>
                <w:sz w:val="17"/>
              </w:rPr>
              <w:t>Alveolar fibroblasts</w:t>
            </w:r>
          </w:p>
        </w:tc>
        <w:tc>
          <w:tcPr>
            <w:tcW w:type="dxa" w:w="3120"/>
          </w:tcPr>
          <w:p>
            <w:r/>
            <w:r>
              <w:rPr>
                <w:sz w:val="17"/>
              </w:rPr>
              <w:t>1620</w:t>
            </w:r>
          </w:p>
        </w:tc>
        <w:tc>
          <w:tcPr>
            <w:tcW w:type="dxa" w:w="3120"/>
          </w:tcPr>
          <w:p>
            <w:r/>
            <w:r>
              <w:rPr>
                <w:sz w:val="17"/>
              </w:rPr>
              <w:t>0.07371</w:t>
            </w:r>
          </w:p>
        </w:tc>
      </w:tr>
      <w:tr>
        <w:tc>
          <w:tcPr>
            <w:tcW w:type="dxa" w:w="3120"/>
          </w:tcPr>
          <w:p>
            <w:r/>
            <w:r>
              <w:rPr>
                <w:sz w:val="17"/>
              </w:rPr>
              <w:t>CD8 T cells</w:t>
            </w:r>
          </w:p>
        </w:tc>
        <w:tc>
          <w:tcPr>
            <w:tcW w:type="dxa" w:w="3120"/>
          </w:tcPr>
          <w:p>
            <w:r/>
            <w:r>
              <w:rPr>
                <w:sz w:val="17"/>
              </w:rPr>
              <w:t>1509</w:t>
            </w:r>
          </w:p>
        </w:tc>
        <w:tc>
          <w:tcPr>
            <w:tcW w:type="dxa" w:w="3120"/>
          </w:tcPr>
          <w:p>
            <w:r/>
            <w:r>
              <w:rPr>
                <w:sz w:val="17"/>
              </w:rPr>
              <w:t>0.06866</w:t>
            </w:r>
          </w:p>
        </w:tc>
      </w:tr>
      <w:tr>
        <w:tc>
          <w:tcPr>
            <w:tcW w:type="dxa" w:w="3120"/>
          </w:tcPr>
          <w:p>
            <w:r/>
            <w:r>
              <w:rPr>
                <w:sz w:val="17"/>
              </w:rPr>
              <w:t>Multiciliated (non-nasal)</w:t>
            </w:r>
          </w:p>
        </w:tc>
        <w:tc>
          <w:tcPr>
            <w:tcW w:type="dxa" w:w="3120"/>
          </w:tcPr>
          <w:p>
            <w:r/>
            <w:r>
              <w:rPr>
                <w:sz w:val="17"/>
              </w:rPr>
              <w:t>1109</w:t>
            </w:r>
          </w:p>
        </w:tc>
        <w:tc>
          <w:tcPr>
            <w:tcW w:type="dxa" w:w="3120"/>
          </w:tcPr>
          <w:p>
            <w:r/>
            <w:r>
              <w:rPr>
                <w:sz w:val="17"/>
              </w:rPr>
              <w:t>0.05046</w:t>
            </w:r>
          </w:p>
        </w:tc>
      </w:tr>
      <w:tr>
        <w:tc>
          <w:tcPr>
            <w:tcW w:type="dxa" w:w="3120"/>
          </w:tcPr>
          <w:p>
            <w:r/>
            <w:r>
              <w:rPr>
                <w:sz w:val="17"/>
              </w:rPr>
              <w:t>AT2</w:t>
            </w:r>
          </w:p>
        </w:tc>
        <w:tc>
          <w:tcPr>
            <w:tcW w:type="dxa" w:w="3120"/>
          </w:tcPr>
          <w:p>
            <w:r/>
            <w:r>
              <w:rPr>
                <w:sz w:val="17"/>
              </w:rPr>
              <w:t>849</w:t>
            </w:r>
          </w:p>
        </w:tc>
        <w:tc>
          <w:tcPr>
            <w:tcW w:type="dxa" w:w="3120"/>
          </w:tcPr>
          <w:p>
            <w:r/>
            <w:r>
              <w:rPr>
                <w:sz w:val="17"/>
              </w:rPr>
              <w:t>0.03863</w:t>
            </w:r>
          </w:p>
        </w:tc>
      </w:tr>
      <w:tr>
        <w:tc>
          <w:tcPr>
            <w:tcW w:type="dxa" w:w="3120"/>
          </w:tcPr>
          <w:p>
            <w:r/>
            <w:r>
              <w:rPr>
                <w:sz w:val="17"/>
              </w:rPr>
              <w:t>Pericytes</w:t>
            </w:r>
          </w:p>
        </w:tc>
        <w:tc>
          <w:tcPr>
            <w:tcW w:type="dxa" w:w="3120"/>
          </w:tcPr>
          <w:p>
            <w:r/>
            <w:r>
              <w:rPr>
                <w:sz w:val="17"/>
              </w:rPr>
              <w:t>676</w:t>
            </w:r>
          </w:p>
        </w:tc>
        <w:tc>
          <w:tcPr>
            <w:tcW w:type="dxa" w:w="3120"/>
          </w:tcPr>
          <w:p>
            <w:r/>
            <w:r>
              <w:rPr>
                <w:sz w:val="17"/>
              </w:rPr>
              <w:t>0.030758</w:t>
            </w:r>
          </w:p>
        </w:tc>
      </w:tr>
      <w:tr>
        <w:tc>
          <w:tcPr>
            <w:tcW w:type="dxa" w:w="3120"/>
          </w:tcPr>
          <w:p>
            <w:r/>
            <w:r>
              <w:rPr>
                <w:sz w:val="17"/>
              </w:rPr>
              <w:t>Ionocyte</w:t>
            </w:r>
          </w:p>
        </w:tc>
        <w:tc>
          <w:tcPr>
            <w:tcW w:type="dxa" w:w="3120"/>
          </w:tcPr>
          <w:p>
            <w:r/>
            <w:r>
              <w:rPr>
                <w:sz w:val="17"/>
              </w:rPr>
              <w:t>601</w:t>
            </w:r>
          </w:p>
        </w:tc>
        <w:tc>
          <w:tcPr>
            <w:tcW w:type="dxa" w:w="3120"/>
          </w:tcPr>
          <w:p>
            <w:r/>
            <w:r>
              <w:rPr>
                <w:sz w:val="17"/>
              </w:rPr>
              <w:t>0.027346</w:t>
            </w:r>
          </w:p>
        </w:tc>
      </w:tr>
      <w:tr>
        <w:tc>
          <w:tcPr>
            <w:tcW w:type="dxa" w:w="3120"/>
          </w:tcPr>
          <w:p>
            <w:r/>
            <w:r>
              <w:rPr>
                <w:sz w:val="17"/>
              </w:rPr>
              <w:t>EC venous pulmonary</w:t>
            </w:r>
          </w:p>
        </w:tc>
        <w:tc>
          <w:tcPr>
            <w:tcW w:type="dxa" w:w="3120"/>
          </w:tcPr>
          <w:p>
            <w:r/>
            <w:r>
              <w:rPr>
                <w:sz w:val="17"/>
              </w:rPr>
              <w:t>523</w:t>
            </w:r>
          </w:p>
        </w:tc>
        <w:tc>
          <w:tcPr>
            <w:tcW w:type="dxa" w:w="3120"/>
          </w:tcPr>
          <w:p>
            <w:r/>
            <w:r>
              <w:rPr>
                <w:sz w:val="17"/>
              </w:rPr>
              <w:t>0.023797</w:t>
            </w:r>
          </w:p>
        </w:tc>
      </w:tr>
      <w:tr>
        <w:tc>
          <w:tcPr>
            <w:tcW w:type="dxa" w:w="3120"/>
          </w:tcPr>
          <w:p>
            <w:r/>
            <w:r>
              <w:rPr>
                <w:sz w:val="17"/>
              </w:rPr>
              <w:t>EC venous systemic</w:t>
            </w:r>
          </w:p>
        </w:tc>
        <w:tc>
          <w:tcPr>
            <w:tcW w:type="dxa" w:w="3120"/>
          </w:tcPr>
          <w:p>
            <w:r/>
            <w:r>
              <w:rPr>
                <w:sz w:val="17"/>
              </w:rPr>
              <w:t>474</w:t>
            </w:r>
          </w:p>
        </w:tc>
        <w:tc>
          <w:tcPr>
            <w:tcW w:type="dxa" w:w="3120"/>
          </w:tcPr>
          <w:p>
            <w:r/>
            <w:r>
              <w:rPr>
                <w:sz w:val="17"/>
              </w:rPr>
              <w:t>0.021567</w:t>
            </w:r>
          </w:p>
        </w:tc>
      </w:tr>
      <w:tr>
        <w:tc>
          <w:tcPr>
            <w:tcW w:type="dxa" w:w="3120"/>
          </w:tcPr>
          <w:p>
            <w:r/>
            <w:r>
              <w:rPr>
                <w:sz w:val="17"/>
              </w:rPr>
              <w:t>CD4 T cells</w:t>
            </w:r>
          </w:p>
        </w:tc>
        <w:tc>
          <w:tcPr>
            <w:tcW w:type="dxa" w:w="3120"/>
          </w:tcPr>
          <w:p>
            <w:r/>
            <w:r>
              <w:rPr>
                <w:sz w:val="17"/>
              </w:rPr>
              <w:t>441</w:t>
            </w:r>
          </w:p>
        </w:tc>
        <w:tc>
          <w:tcPr>
            <w:tcW w:type="dxa" w:w="3120"/>
          </w:tcPr>
          <w:p>
            <w:r/>
            <w:r>
              <w:rPr>
                <w:sz w:val="17"/>
              </w:rPr>
              <w:t>0.020066</w:t>
            </w:r>
          </w:p>
        </w:tc>
      </w:tr>
      <w:tr>
        <w:tc>
          <w:tcPr>
            <w:tcW w:type="dxa" w:w="3120"/>
          </w:tcPr>
          <w:p>
            <w:r/>
            <w:r>
              <w:rPr>
                <w:sz w:val="17"/>
              </w:rPr>
              <w:t>Non-classical monocytes</w:t>
            </w:r>
          </w:p>
        </w:tc>
        <w:tc>
          <w:tcPr>
            <w:tcW w:type="dxa" w:w="3120"/>
          </w:tcPr>
          <w:p>
            <w:r/>
            <w:r>
              <w:rPr>
                <w:sz w:val="17"/>
              </w:rPr>
              <w:t>343</w:t>
            </w:r>
          </w:p>
        </w:tc>
        <w:tc>
          <w:tcPr>
            <w:tcW w:type="dxa" w:w="3120"/>
          </w:tcPr>
          <w:p>
            <w:r/>
            <w:r>
              <w:rPr>
                <w:sz w:val="17"/>
              </w:rPr>
              <w:t>0.015607</w:t>
            </w:r>
          </w:p>
        </w:tc>
      </w:tr>
      <w:tr>
        <w:tc>
          <w:tcPr>
            <w:tcW w:type="dxa" w:w="3120"/>
          </w:tcPr>
          <w:p>
            <w:r/>
            <w:r>
              <w:rPr>
                <w:sz w:val="17"/>
              </w:rPr>
              <w:t>EC aerocyte capillary</w:t>
            </w:r>
          </w:p>
        </w:tc>
        <w:tc>
          <w:tcPr>
            <w:tcW w:type="dxa" w:w="3120"/>
          </w:tcPr>
          <w:p>
            <w:r/>
            <w:r>
              <w:rPr>
                <w:sz w:val="17"/>
              </w:rPr>
              <w:t>222</w:t>
            </w:r>
          </w:p>
        </w:tc>
        <w:tc>
          <w:tcPr>
            <w:tcW w:type="dxa" w:w="3120"/>
          </w:tcPr>
          <w:p>
            <w:r/>
            <w:r>
              <w:rPr>
                <w:sz w:val="17"/>
              </w:rPr>
              <w:t>0.010101</w:t>
            </w:r>
          </w:p>
        </w:tc>
      </w:tr>
    </w:tbl>
    <w:p>
      <w:r>
        <w:rPr>
          <w:i/>
          <w:color w:val="444444"/>
          <w:sz w:val="17"/>
        </w:rPr>
        <w:t>Showing 14 of 34 rows. Source: module3_azimuth_composition.tsv</w:t>
      </w:r>
    </w:p>
    <w:p>
      <w:pPr>
        <w:spacing w:after="140"/>
      </w:pPr>
      <w:r>
        <w:rPr>
          <w:sz w:val="21"/>
        </w:rPr>
        <w:t xml:space="preserve">RNA and ATAC barcode overlap equals the shared MOFA sample list. That is construction, not an independent MuData crosstab: </w:t>
      </w:r>
      <w:r>
        <w:rPr>
          <w:rFonts w:ascii="Menlo" w:hAnsi="Menlo"/>
          <w:color w:val="1A3E6E"/>
          <w:sz w:val="19"/>
        </w:rPr>
        <w:t>load_h5mu</w:t>
      </w:r>
      <w:r>
        <w:rPr>
          <w:sz w:val="21"/>
        </w:rPr>
        <w:t xml:space="preserve"> is false. The cache row count and Azimuth label count are stamped in </w:t>
      </w:r>
      <w:r>
        <w:rPr>
          <w:rFonts w:ascii="Menlo" w:hAnsi="Menlo"/>
          <w:color w:val="1A3E6E"/>
          <w:sz w:val="19"/>
        </w:rPr>
        <w:t>outputs/reports/module3_label_cache_provenance.json</w:t>
      </w:r>
      <w:r>
        <w:rPr>
          <w:sz w:val="21"/>
        </w:rPr>
        <w:t xml:space="preserve">. The matched 10x snRNA block is </w:t>
      </w:r>
      <w:r>
        <w:rPr>
          <w:rFonts w:ascii="Menlo" w:hAnsi="Menlo"/>
          <w:color w:val="1A3E6E"/>
          <w:sz w:val="19"/>
        </w:rPr>
        <w:t>HBM473.NKMR.872</w:t>
      </w:r>
      <w:r>
        <w:rPr>
          <w:sz w:val="21"/>
        </w:rPr>
        <w:t xml:space="preserve"> (same block and section; different nuclei).</w:t>
      </w:r>
    </w:p>
    <w:p>
      <w:pPr>
        <w:pStyle w:val="Heading4"/>
      </w:pPr>
      <w:r>
        <w:rPr>
          <w:color w:val="1F4E79"/>
        </w:rPr>
        <w:t>Variance explained across modalities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
              <w:rPr>
                <w:b/>
                <w:sz w:val="17"/>
              </w:rPr>
              <w:t>view</w:t>
            </w:r>
          </w:p>
        </w:tc>
        <w:tc>
          <w:tcPr>
            <w:tcW w:type="dxa" w:w="3120"/>
            <w:shd w:val="clear" w:fill="DCE6F1"/>
          </w:tcPr>
          <w:p>
            <w:r/>
            <w:r>
              <w:rPr>
                <w:b/>
                <w:sz w:val="17"/>
              </w:rPr>
              <w:t>r2_total</w:t>
            </w:r>
          </w:p>
        </w:tc>
        <w:tc>
          <w:tcPr>
            <w:tcW w:type="dxa" w:w="3120"/>
            <w:shd w:val="clear" w:fill="DCE6F1"/>
          </w:tcPr>
          <w:p>
            <w:r/>
            <w:r>
              <w:rPr>
                <w:b/>
                <w:sz w:val="17"/>
              </w:rPr>
              <w:t>units</w:t>
            </w:r>
          </w:p>
        </w:tc>
      </w:tr>
      <w:tr>
        <w:tc>
          <w:tcPr>
            <w:tcW w:type="dxa" w:w="3120"/>
          </w:tcPr>
          <w:p>
            <w:r/>
            <w:r>
              <w:rPr>
                <w:sz w:val="17"/>
              </w:rPr>
              <w:t>rna</w:t>
            </w:r>
          </w:p>
        </w:tc>
        <w:tc>
          <w:tcPr>
            <w:tcW w:type="dxa" w:w="3120"/>
          </w:tcPr>
          <w:p>
            <w:r/>
            <w:r>
              <w:rPr>
                <w:sz w:val="17"/>
              </w:rPr>
              <w:t>1.312837</w:t>
            </w:r>
          </w:p>
        </w:tc>
        <w:tc>
          <w:tcPr>
            <w:tcW w:type="dxa" w:w="3120"/>
          </w:tcPr>
          <w:p>
            <w:r/>
            <w:r>
              <w:rPr>
                <w:sz w:val="17"/>
              </w:rPr>
              <w:t>percent</w:t>
            </w:r>
          </w:p>
        </w:tc>
      </w:tr>
      <w:tr>
        <w:tc>
          <w:tcPr>
            <w:tcW w:type="dxa" w:w="3120"/>
          </w:tcPr>
          <w:p>
            <w:r/>
            <w:r>
              <w:rPr>
                <w:sz w:val="17"/>
              </w:rPr>
              <w:t>atac_cbg</w:t>
            </w:r>
          </w:p>
        </w:tc>
        <w:tc>
          <w:tcPr>
            <w:tcW w:type="dxa" w:w="3120"/>
          </w:tcPr>
          <w:p>
            <w:r/>
            <w:r>
              <w:rPr>
                <w:sz w:val="17"/>
              </w:rPr>
              <w:t>0.914476</w:t>
            </w:r>
          </w:p>
        </w:tc>
        <w:tc>
          <w:tcPr>
            <w:tcW w:type="dxa" w:w="3120"/>
          </w:tcPr>
          <w:p>
            <w:r/>
            <w:r>
              <w:rPr>
                <w:sz w:val="17"/>
              </w:rPr>
              <w:t>percent</w:t>
            </w:r>
          </w:p>
        </w:tc>
      </w:tr>
    </w:tbl>
    <w:p>
      <w:r>
        <w:rPr>
          <w:i/>
          <w:color w:val="444444"/>
          <w:sz w:val="17"/>
        </w:rPr>
        <w:t>Source: module3_mofa_variance_total.tsv</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DCE6F1"/>
          </w:tcPr>
          <w:p>
            <w:r/>
            <w:r>
              <w:rPr>
                <w:b/>
                <w:sz w:val="17"/>
              </w:rPr>
              <w:t>factor</w:t>
            </w:r>
          </w:p>
        </w:tc>
        <w:tc>
          <w:tcPr>
            <w:tcW w:type="dxa" w:w="1560"/>
            <w:shd w:val="clear" w:fill="DCE6F1"/>
          </w:tcPr>
          <w:p>
            <w:r/>
            <w:r>
              <w:rPr>
                <w:b/>
                <w:sz w:val="17"/>
              </w:rPr>
              <w:t>rna</w:t>
            </w:r>
          </w:p>
        </w:tc>
        <w:tc>
          <w:tcPr>
            <w:tcW w:type="dxa" w:w="1560"/>
            <w:shd w:val="clear" w:fill="DCE6F1"/>
          </w:tcPr>
          <w:p>
            <w:r/>
            <w:r>
              <w:rPr>
                <w:b/>
                <w:sz w:val="17"/>
              </w:rPr>
              <w:t>atac_cbg</w:t>
            </w:r>
          </w:p>
        </w:tc>
        <w:tc>
          <w:tcPr>
            <w:tcW w:type="dxa" w:w="1560"/>
            <w:shd w:val="clear" w:fill="DCE6F1"/>
          </w:tcPr>
          <w:p>
            <w:r/>
            <w:r>
              <w:rPr>
                <w:b/>
                <w:sz w:val="17"/>
              </w:rPr>
              <w:t>dominant_view</w:t>
            </w:r>
          </w:p>
        </w:tc>
        <w:tc>
          <w:tcPr>
            <w:tcW w:type="dxa" w:w="1560"/>
            <w:shd w:val="clear" w:fill="DCE6F1"/>
          </w:tcPr>
          <w:p>
            <w:r/>
            <w:r>
              <w:rPr>
                <w:b/>
                <w:sz w:val="17"/>
              </w:rPr>
              <w:t>nondominant_r2</w:t>
            </w:r>
          </w:p>
        </w:tc>
        <w:tc>
          <w:tcPr>
            <w:tcW w:type="dxa" w:w="1560"/>
            <w:shd w:val="clear" w:fill="DCE6F1"/>
          </w:tcPr>
          <w:p>
            <w:r/>
            <w:r>
              <w:rPr>
                <w:b/>
                <w:sz w:val="17"/>
              </w:rPr>
              <w:t>rna_minus_atac</w:t>
            </w:r>
          </w:p>
        </w:tc>
      </w:tr>
      <w:tr>
        <w:tc>
          <w:tcPr>
            <w:tcW w:type="dxa" w:w="1560"/>
          </w:tcPr>
          <w:p>
            <w:r/>
            <w:r>
              <w:rPr>
                <w:sz w:val="17"/>
              </w:rPr>
              <w:t>Factor1</w:t>
            </w:r>
          </w:p>
        </w:tc>
        <w:tc>
          <w:tcPr>
            <w:tcW w:type="dxa" w:w="1560"/>
          </w:tcPr>
          <w:p>
            <w:r/>
            <w:r>
              <w:rPr>
                <w:sz w:val="17"/>
              </w:rPr>
              <w:t>0.000244</w:t>
            </w:r>
          </w:p>
        </w:tc>
        <w:tc>
          <w:tcPr>
            <w:tcW w:type="dxa" w:w="1560"/>
          </w:tcPr>
          <w:p>
            <w:r/>
            <w:r>
              <w:rPr>
                <w:sz w:val="17"/>
              </w:rPr>
              <w:t>0.795037</w:t>
            </w:r>
          </w:p>
        </w:tc>
        <w:tc>
          <w:tcPr>
            <w:tcW w:type="dxa" w:w="1560"/>
          </w:tcPr>
          <w:p>
            <w:r/>
            <w:r>
              <w:rPr>
                <w:sz w:val="17"/>
              </w:rPr>
              <w:t>atac_cbg</w:t>
            </w:r>
          </w:p>
        </w:tc>
        <w:tc>
          <w:tcPr>
            <w:tcW w:type="dxa" w:w="1560"/>
          </w:tcPr>
          <w:p>
            <w:r/>
            <w:r>
              <w:rPr>
                <w:sz w:val="17"/>
              </w:rPr>
              <w:t>0.000244</w:t>
            </w:r>
          </w:p>
        </w:tc>
        <w:tc>
          <w:tcPr>
            <w:tcW w:type="dxa" w:w="1560"/>
          </w:tcPr>
          <w:p>
            <w:r/>
            <w:r>
              <w:rPr>
                <w:sz w:val="17"/>
              </w:rPr>
              <w:t>-0.794793</w:t>
            </w:r>
          </w:p>
        </w:tc>
      </w:tr>
      <w:tr>
        <w:tc>
          <w:tcPr>
            <w:tcW w:type="dxa" w:w="1560"/>
          </w:tcPr>
          <w:p>
            <w:r/>
            <w:r>
              <w:rPr>
                <w:sz w:val="17"/>
              </w:rPr>
              <w:t>Factor2</w:t>
            </w:r>
          </w:p>
        </w:tc>
        <w:tc>
          <w:tcPr>
            <w:tcW w:type="dxa" w:w="1560"/>
          </w:tcPr>
          <w:p>
            <w:r/>
            <w:r>
              <w:rPr>
                <w:sz w:val="17"/>
              </w:rPr>
              <w:t>0.516283</w:t>
            </w:r>
          </w:p>
        </w:tc>
        <w:tc>
          <w:tcPr>
            <w:tcW w:type="dxa" w:w="1560"/>
          </w:tcPr>
          <w:p>
            <w:r/>
            <w:r>
              <w:rPr>
                <w:sz w:val="17"/>
              </w:rPr>
              <w:t>0.000179</w:t>
            </w:r>
          </w:p>
        </w:tc>
        <w:tc>
          <w:tcPr>
            <w:tcW w:type="dxa" w:w="1560"/>
          </w:tcPr>
          <w:p>
            <w:r/>
            <w:r>
              <w:rPr>
                <w:sz w:val="17"/>
              </w:rPr>
              <w:t>rna</w:t>
            </w:r>
          </w:p>
        </w:tc>
        <w:tc>
          <w:tcPr>
            <w:tcW w:type="dxa" w:w="1560"/>
          </w:tcPr>
          <w:p>
            <w:r/>
            <w:r>
              <w:rPr>
                <w:sz w:val="17"/>
              </w:rPr>
              <w:t>0.000179</w:t>
            </w:r>
          </w:p>
        </w:tc>
        <w:tc>
          <w:tcPr>
            <w:tcW w:type="dxa" w:w="1560"/>
          </w:tcPr>
          <w:p>
            <w:r/>
            <w:r>
              <w:rPr>
                <w:sz w:val="17"/>
              </w:rPr>
              <w:t>0.516104</w:t>
            </w:r>
          </w:p>
        </w:tc>
      </w:tr>
      <w:tr>
        <w:tc>
          <w:tcPr>
            <w:tcW w:type="dxa" w:w="1560"/>
          </w:tcPr>
          <w:p>
            <w:r/>
            <w:r>
              <w:rPr>
                <w:sz w:val="17"/>
              </w:rPr>
              <w:t>Factor3</w:t>
            </w:r>
          </w:p>
        </w:tc>
        <w:tc>
          <w:tcPr>
            <w:tcW w:type="dxa" w:w="1560"/>
          </w:tcPr>
          <w:p>
            <w:r/>
            <w:r>
              <w:rPr>
                <w:sz w:val="17"/>
              </w:rPr>
              <w:t>0.171526</w:t>
            </w:r>
          </w:p>
        </w:tc>
        <w:tc>
          <w:tcPr>
            <w:tcW w:type="dxa" w:w="1560"/>
          </w:tcPr>
          <w:p>
            <w:r/>
            <w:r>
              <w:rPr>
                <w:sz w:val="17"/>
              </w:rPr>
              <w:t>0.000263</w:t>
            </w:r>
          </w:p>
        </w:tc>
        <w:tc>
          <w:tcPr>
            <w:tcW w:type="dxa" w:w="1560"/>
          </w:tcPr>
          <w:p>
            <w:r/>
            <w:r>
              <w:rPr>
                <w:sz w:val="17"/>
              </w:rPr>
              <w:t>rna</w:t>
            </w:r>
          </w:p>
        </w:tc>
        <w:tc>
          <w:tcPr>
            <w:tcW w:type="dxa" w:w="1560"/>
          </w:tcPr>
          <w:p>
            <w:r/>
            <w:r>
              <w:rPr>
                <w:sz w:val="17"/>
              </w:rPr>
              <w:t>0.000263</w:t>
            </w:r>
          </w:p>
        </w:tc>
        <w:tc>
          <w:tcPr>
            <w:tcW w:type="dxa" w:w="1560"/>
          </w:tcPr>
          <w:p>
            <w:r/>
            <w:r>
              <w:rPr>
                <w:sz w:val="17"/>
              </w:rPr>
              <w:t>0.171263</w:t>
            </w:r>
          </w:p>
        </w:tc>
      </w:tr>
      <w:tr>
        <w:tc>
          <w:tcPr>
            <w:tcW w:type="dxa" w:w="1560"/>
          </w:tcPr>
          <w:p>
            <w:r/>
            <w:r>
              <w:rPr>
                <w:sz w:val="17"/>
              </w:rPr>
              <w:t>Factor4</w:t>
            </w:r>
          </w:p>
        </w:tc>
        <w:tc>
          <w:tcPr>
            <w:tcW w:type="dxa" w:w="1560"/>
          </w:tcPr>
          <w:p>
            <w:r/>
            <w:r>
              <w:rPr>
                <w:sz w:val="17"/>
              </w:rPr>
              <w:t>0.145588</w:t>
            </w:r>
          </w:p>
        </w:tc>
        <w:tc>
          <w:tcPr>
            <w:tcW w:type="dxa" w:w="1560"/>
          </w:tcPr>
          <w:p>
            <w:r/>
            <w:r>
              <w:rPr>
                <w:sz w:val="17"/>
              </w:rPr>
              <w:t>0.000222</w:t>
            </w:r>
          </w:p>
        </w:tc>
        <w:tc>
          <w:tcPr>
            <w:tcW w:type="dxa" w:w="1560"/>
          </w:tcPr>
          <w:p>
            <w:r/>
            <w:r>
              <w:rPr>
                <w:sz w:val="17"/>
              </w:rPr>
              <w:t>rna</w:t>
            </w:r>
          </w:p>
        </w:tc>
        <w:tc>
          <w:tcPr>
            <w:tcW w:type="dxa" w:w="1560"/>
          </w:tcPr>
          <w:p>
            <w:r/>
            <w:r>
              <w:rPr>
                <w:sz w:val="17"/>
              </w:rPr>
              <w:t>0.000222</w:t>
            </w:r>
          </w:p>
        </w:tc>
        <w:tc>
          <w:tcPr>
            <w:tcW w:type="dxa" w:w="1560"/>
          </w:tcPr>
          <w:p>
            <w:r/>
            <w:r>
              <w:rPr>
                <w:sz w:val="17"/>
              </w:rPr>
              <w:t>0.145366</w:t>
            </w:r>
          </w:p>
        </w:tc>
      </w:tr>
      <w:tr>
        <w:tc>
          <w:tcPr>
            <w:tcW w:type="dxa" w:w="1560"/>
          </w:tcPr>
          <w:p>
            <w:r/>
            <w:r>
              <w:rPr>
                <w:sz w:val="17"/>
              </w:rPr>
              <w:t>Factor5</w:t>
            </w:r>
          </w:p>
        </w:tc>
        <w:tc>
          <w:tcPr>
            <w:tcW w:type="dxa" w:w="1560"/>
          </w:tcPr>
          <w:p>
            <w:r/>
            <w:r>
              <w:rPr>
                <w:sz w:val="17"/>
              </w:rPr>
              <w:t>0.128056</w:t>
            </w:r>
          </w:p>
        </w:tc>
        <w:tc>
          <w:tcPr>
            <w:tcW w:type="dxa" w:w="1560"/>
          </w:tcPr>
          <w:p>
            <w:r/>
            <w:r>
              <w:rPr>
                <w:sz w:val="17"/>
              </w:rPr>
              <w:t>0.000189</w:t>
            </w:r>
          </w:p>
        </w:tc>
        <w:tc>
          <w:tcPr>
            <w:tcW w:type="dxa" w:w="1560"/>
          </w:tcPr>
          <w:p>
            <w:r/>
            <w:r>
              <w:rPr>
                <w:sz w:val="17"/>
              </w:rPr>
              <w:t>rna</w:t>
            </w:r>
          </w:p>
        </w:tc>
        <w:tc>
          <w:tcPr>
            <w:tcW w:type="dxa" w:w="1560"/>
          </w:tcPr>
          <w:p>
            <w:r/>
            <w:r>
              <w:rPr>
                <w:sz w:val="17"/>
              </w:rPr>
              <w:t>0.000189</w:t>
            </w:r>
          </w:p>
        </w:tc>
        <w:tc>
          <w:tcPr>
            <w:tcW w:type="dxa" w:w="1560"/>
          </w:tcPr>
          <w:p>
            <w:r/>
            <w:r>
              <w:rPr>
                <w:sz w:val="17"/>
              </w:rPr>
              <w:t>0.127867</w:t>
            </w:r>
          </w:p>
        </w:tc>
      </w:tr>
      <w:tr>
        <w:tc>
          <w:tcPr>
            <w:tcW w:type="dxa" w:w="1560"/>
          </w:tcPr>
          <w:p>
            <w:r/>
            <w:r>
              <w:rPr>
                <w:sz w:val="17"/>
              </w:rPr>
              <w:t>Factor6</w:t>
            </w:r>
          </w:p>
        </w:tc>
        <w:tc>
          <w:tcPr>
            <w:tcW w:type="dxa" w:w="1560"/>
          </w:tcPr>
          <w:p>
            <w:r/>
            <w:r>
              <w:rPr>
                <w:sz w:val="17"/>
              </w:rPr>
              <w:t>0.11177</w:t>
            </w:r>
          </w:p>
        </w:tc>
        <w:tc>
          <w:tcPr>
            <w:tcW w:type="dxa" w:w="1560"/>
          </w:tcPr>
          <w:p>
            <w:r/>
            <w:r>
              <w:rPr>
                <w:sz w:val="17"/>
              </w:rPr>
              <w:t>0.000194</w:t>
            </w:r>
          </w:p>
        </w:tc>
        <w:tc>
          <w:tcPr>
            <w:tcW w:type="dxa" w:w="1560"/>
          </w:tcPr>
          <w:p>
            <w:r/>
            <w:r>
              <w:rPr>
                <w:sz w:val="17"/>
              </w:rPr>
              <w:t>rna</w:t>
            </w:r>
          </w:p>
        </w:tc>
        <w:tc>
          <w:tcPr>
            <w:tcW w:type="dxa" w:w="1560"/>
          </w:tcPr>
          <w:p>
            <w:r/>
            <w:r>
              <w:rPr>
                <w:sz w:val="17"/>
              </w:rPr>
              <w:t>0.000194</w:t>
            </w:r>
          </w:p>
        </w:tc>
        <w:tc>
          <w:tcPr>
            <w:tcW w:type="dxa" w:w="1560"/>
          </w:tcPr>
          <w:p>
            <w:r/>
            <w:r>
              <w:rPr>
                <w:sz w:val="17"/>
              </w:rPr>
              <w:t>0.111576</w:t>
            </w:r>
          </w:p>
        </w:tc>
      </w:tr>
      <w:tr>
        <w:tc>
          <w:tcPr>
            <w:tcW w:type="dxa" w:w="1560"/>
          </w:tcPr>
          <w:p>
            <w:r/>
            <w:r>
              <w:rPr>
                <w:sz w:val="17"/>
              </w:rPr>
              <w:t>Factor7</w:t>
            </w:r>
          </w:p>
        </w:tc>
        <w:tc>
          <w:tcPr>
            <w:tcW w:type="dxa" w:w="1560"/>
          </w:tcPr>
          <w:p>
            <w:r/>
            <w:r>
              <w:rPr>
                <w:sz w:val="17"/>
              </w:rPr>
              <w:t>0.079673</w:t>
            </w:r>
          </w:p>
        </w:tc>
        <w:tc>
          <w:tcPr>
            <w:tcW w:type="dxa" w:w="1560"/>
          </w:tcPr>
          <w:p>
            <w:r/>
            <w:r>
              <w:rPr>
                <w:sz w:val="17"/>
              </w:rPr>
              <w:t>0.000191</w:t>
            </w:r>
          </w:p>
        </w:tc>
        <w:tc>
          <w:tcPr>
            <w:tcW w:type="dxa" w:w="1560"/>
          </w:tcPr>
          <w:p>
            <w:r/>
            <w:r>
              <w:rPr>
                <w:sz w:val="17"/>
              </w:rPr>
              <w:t>rna</w:t>
            </w:r>
          </w:p>
        </w:tc>
        <w:tc>
          <w:tcPr>
            <w:tcW w:type="dxa" w:w="1560"/>
          </w:tcPr>
          <w:p>
            <w:r/>
            <w:r>
              <w:rPr>
                <w:sz w:val="17"/>
              </w:rPr>
              <w:t>0.000191</w:t>
            </w:r>
          </w:p>
        </w:tc>
        <w:tc>
          <w:tcPr>
            <w:tcW w:type="dxa" w:w="1560"/>
          </w:tcPr>
          <w:p>
            <w:r/>
            <w:r>
              <w:rPr>
                <w:sz w:val="17"/>
              </w:rPr>
              <w:t>0.079482</w:t>
            </w:r>
          </w:p>
        </w:tc>
      </w:tr>
      <w:tr>
        <w:tc>
          <w:tcPr>
            <w:tcW w:type="dxa" w:w="1560"/>
          </w:tcPr>
          <w:p>
            <w:r/>
            <w:r>
              <w:rPr>
                <w:sz w:val="17"/>
              </w:rPr>
              <w:t>Factor8</w:t>
            </w:r>
          </w:p>
        </w:tc>
        <w:tc>
          <w:tcPr>
            <w:tcW w:type="dxa" w:w="1560"/>
          </w:tcPr>
          <w:p>
            <w:r/>
            <w:r>
              <w:rPr>
                <w:sz w:val="17"/>
              </w:rPr>
              <w:t>0.00035</w:t>
            </w:r>
          </w:p>
        </w:tc>
        <w:tc>
          <w:tcPr>
            <w:tcW w:type="dxa" w:w="1560"/>
          </w:tcPr>
          <w:p>
            <w:r/>
            <w:r>
              <w:rPr>
                <w:sz w:val="17"/>
              </w:rPr>
              <w:t>0.058451</w:t>
            </w:r>
          </w:p>
        </w:tc>
        <w:tc>
          <w:tcPr>
            <w:tcW w:type="dxa" w:w="1560"/>
          </w:tcPr>
          <w:p>
            <w:r/>
            <w:r>
              <w:rPr>
                <w:sz w:val="17"/>
              </w:rPr>
              <w:t>atac_cbg</w:t>
            </w:r>
          </w:p>
        </w:tc>
        <w:tc>
          <w:tcPr>
            <w:tcW w:type="dxa" w:w="1560"/>
          </w:tcPr>
          <w:p>
            <w:r/>
            <w:r>
              <w:rPr>
                <w:sz w:val="17"/>
              </w:rPr>
              <w:t>0.00035</w:t>
            </w:r>
          </w:p>
        </w:tc>
        <w:tc>
          <w:tcPr>
            <w:tcW w:type="dxa" w:w="1560"/>
          </w:tcPr>
          <w:p>
            <w:r/>
            <w:r>
              <w:rPr>
                <w:sz w:val="17"/>
              </w:rPr>
              <w:t>-0.058101</w:t>
            </w:r>
          </w:p>
        </w:tc>
      </w:tr>
      <w:tr>
        <w:tc>
          <w:tcPr>
            <w:tcW w:type="dxa" w:w="1560"/>
          </w:tcPr>
          <w:p>
            <w:r/>
            <w:r>
              <w:rPr>
                <w:sz w:val="17"/>
              </w:rPr>
              <w:t>Factor9</w:t>
            </w:r>
          </w:p>
        </w:tc>
        <w:tc>
          <w:tcPr>
            <w:tcW w:type="dxa" w:w="1560"/>
          </w:tcPr>
          <w:p>
            <w:r/>
            <w:r>
              <w:rPr>
                <w:sz w:val="17"/>
              </w:rPr>
              <w:t>0.000415</w:t>
            </w:r>
          </w:p>
        </w:tc>
        <w:tc>
          <w:tcPr>
            <w:tcW w:type="dxa" w:w="1560"/>
          </w:tcPr>
          <w:p>
            <w:r/>
            <w:r>
              <w:rPr>
                <w:sz w:val="17"/>
              </w:rPr>
              <w:t>0.055252</w:t>
            </w:r>
          </w:p>
        </w:tc>
        <w:tc>
          <w:tcPr>
            <w:tcW w:type="dxa" w:w="1560"/>
          </w:tcPr>
          <w:p>
            <w:r/>
            <w:r>
              <w:rPr>
                <w:sz w:val="17"/>
              </w:rPr>
              <w:t>atac_cbg</w:t>
            </w:r>
          </w:p>
        </w:tc>
        <w:tc>
          <w:tcPr>
            <w:tcW w:type="dxa" w:w="1560"/>
          </w:tcPr>
          <w:p>
            <w:r/>
            <w:r>
              <w:rPr>
                <w:sz w:val="17"/>
              </w:rPr>
              <w:t>0.000415</w:t>
            </w:r>
          </w:p>
        </w:tc>
        <w:tc>
          <w:tcPr>
            <w:tcW w:type="dxa" w:w="1560"/>
          </w:tcPr>
          <w:p>
            <w:r/>
            <w:r>
              <w:rPr>
                <w:sz w:val="17"/>
              </w:rPr>
              <w:t>-0.054837</w:t>
            </w:r>
          </w:p>
        </w:tc>
      </w:tr>
      <w:tr>
        <w:tc>
          <w:tcPr>
            <w:tcW w:type="dxa" w:w="1560"/>
          </w:tcPr>
          <w:p>
            <w:r/>
            <w:r>
              <w:rPr>
                <w:sz w:val="17"/>
              </w:rPr>
              <w:t>Factor10</w:t>
            </w:r>
          </w:p>
        </w:tc>
        <w:tc>
          <w:tcPr>
            <w:tcW w:type="dxa" w:w="1560"/>
          </w:tcPr>
          <w:p>
            <w:r/>
            <w:r>
              <w:rPr>
                <w:sz w:val="17"/>
              </w:rPr>
              <w:t>0.04313</w:t>
            </w:r>
          </w:p>
        </w:tc>
        <w:tc>
          <w:tcPr>
            <w:tcW w:type="dxa" w:w="1560"/>
          </w:tcPr>
          <w:p>
            <w:r/>
            <w:r>
              <w:rPr>
                <w:sz w:val="17"/>
              </w:rPr>
              <w:t>0.000134</w:t>
            </w:r>
          </w:p>
        </w:tc>
        <w:tc>
          <w:tcPr>
            <w:tcW w:type="dxa" w:w="1560"/>
          </w:tcPr>
          <w:p>
            <w:r/>
            <w:r>
              <w:rPr>
                <w:sz w:val="17"/>
              </w:rPr>
              <w:t>rna</w:t>
            </w:r>
          </w:p>
        </w:tc>
        <w:tc>
          <w:tcPr>
            <w:tcW w:type="dxa" w:w="1560"/>
          </w:tcPr>
          <w:p>
            <w:r/>
            <w:r>
              <w:rPr>
                <w:sz w:val="17"/>
              </w:rPr>
              <w:t>0.000134</w:t>
            </w:r>
          </w:p>
        </w:tc>
        <w:tc>
          <w:tcPr>
            <w:tcW w:type="dxa" w:w="1560"/>
          </w:tcPr>
          <w:p>
            <w:r/>
            <w:r>
              <w:rPr>
                <w:sz w:val="17"/>
              </w:rPr>
              <w:t>0.042996</w:t>
            </w:r>
          </w:p>
        </w:tc>
      </w:tr>
      <w:tr>
        <w:tc>
          <w:tcPr>
            <w:tcW w:type="dxa" w:w="1560"/>
          </w:tcPr>
          <w:p>
            <w:r/>
            <w:r>
              <w:rPr>
                <w:sz w:val="17"/>
              </w:rPr>
              <w:t>Factor11</w:t>
            </w:r>
          </w:p>
        </w:tc>
        <w:tc>
          <w:tcPr>
            <w:tcW w:type="dxa" w:w="1560"/>
          </w:tcPr>
          <w:p>
            <w:r/>
            <w:r>
              <w:rPr>
                <w:sz w:val="17"/>
              </w:rPr>
              <w:t>0.03681</w:t>
            </w:r>
          </w:p>
        </w:tc>
        <w:tc>
          <w:tcPr>
            <w:tcW w:type="dxa" w:w="1560"/>
          </w:tcPr>
          <w:p>
            <w:r/>
            <w:r>
              <w:rPr>
                <w:sz w:val="17"/>
              </w:rPr>
              <w:t>0.000115</w:t>
            </w:r>
          </w:p>
        </w:tc>
        <w:tc>
          <w:tcPr>
            <w:tcW w:type="dxa" w:w="1560"/>
          </w:tcPr>
          <w:p>
            <w:r/>
            <w:r>
              <w:rPr>
                <w:sz w:val="17"/>
              </w:rPr>
              <w:t>rna</w:t>
            </w:r>
          </w:p>
        </w:tc>
        <w:tc>
          <w:tcPr>
            <w:tcW w:type="dxa" w:w="1560"/>
          </w:tcPr>
          <w:p>
            <w:r/>
            <w:r>
              <w:rPr>
                <w:sz w:val="17"/>
              </w:rPr>
              <w:t>0.000115</w:t>
            </w:r>
          </w:p>
        </w:tc>
        <w:tc>
          <w:tcPr>
            <w:tcW w:type="dxa" w:w="1560"/>
          </w:tcPr>
          <w:p>
            <w:r/>
            <w:r>
              <w:rPr>
                <w:sz w:val="17"/>
              </w:rPr>
              <w:t>0.036695</w:t>
            </w:r>
          </w:p>
        </w:tc>
      </w:tr>
      <w:tr>
        <w:tc>
          <w:tcPr>
            <w:tcW w:type="dxa" w:w="1560"/>
          </w:tcPr>
          <w:p>
            <w:r/>
            <w:r>
              <w:rPr>
                <w:sz w:val="17"/>
              </w:rPr>
              <w:t>Factor12</w:t>
            </w:r>
          </w:p>
        </w:tc>
        <w:tc>
          <w:tcPr>
            <w:tcW w:type="dxa" w:w="1560"/>
          </w:tcPr>
          <w:p>
            <w:r/>
            <w:r>
              <w:rPr>
                <w:sz w:val="17"/>
              </w:rPr>
              <w:t>0.025438</w:t>
            </w:r>
          </w:p>
        </w:tc>
        <w:tc>
          <w:tcPr>
            <w:tcW w:type="dxa" w:w="1560"/>
          </w:tcPr>
          <w:p>
            <w:r/>
            <w:r>
              <w:rPr>
                <w:sz w:val="17"/>
              </w:rPr>
              <w:t>6.39e-05</w:t>
            </w:r>
          </w:p>
        </w:tc>
        <w:tc>
          <w:tcPr>
            <w:tcW w:type="dxa" w:w="1560"/>
          </w:tcPr>
          <w:p>
            <w:r/>
            <w:r>
              <w:rPr>
                <w:sz w:val="17"/>
              </w:rPr>
              <w:t>rna</w:t>
            </w:r>
          </w:p>
        </w:tc>
        <w:tc>
          <w:tcPr>
            <w:tcW w:type="dxa" w:w="1560"/>
          </w:tcPr>
          <w:p>
            <w:r/>
            <w:r>
              <w:rPr>
                <w:sz w:val="17"/>
              </w:rPr>
              <w:t>6.39e-05</w:t>
            </w:r>
          </w:p>
        </w:tc>
        <w:tc>
          <w:tcPr>
            <w:tcW w:type="dxa" w:w="1560"/>
          </w:tcPr>
          <w:p>
            <w:r/>
            <w:r>
              <w:rPr>
                <w:sz w:val="17"/>
              </w:rPr>
              <w:t>0.025374</w:t>
            </w:r>
          </w:p>
        </w:tc>
      </w:tr>
      <w:tr>
        <w:tc>
          <w:tcPr>
            <w:tcW w:type="dxa" w:w="1560"/>
          </w:tcPr>
          <w:p>
            <w:r/>
            <w:r>
              <w:rPr>
                <w:sz w:val="17"/>
              </w:rPr>
              <w:t>Factor13</w:t>
            </w:r>
          </w:p>
        </w:tc>
        <w:tc>
          <w:tcPr>
            <w:tcW w:type="dxa" w:w="1560"/>
          </w:tcPr>
          <w:p>
            <w:r/>
            <w:r>
              <w:rPr>
                <w:sz w:val="17"/>
              </w:rPr>
              <w:t>0.025268</w:t>
            </w:r>
          </w:p>
        </w:tc>
        <w:tc>
          <w:tcPr>
            <w:tcW w:type="dxa" w:w="1560"/>
          </w:tcPr>
          <w:p>
            <w:r/>
            <w:r>
              <w:rPr>
                <w:sz w:val="17"/>
              </w:rPr>
              <w:t>6.85e-05</w:t>
            </w:r>
          </w:p>
        </w:tc>
        <w:tc>
          <w:tcPr>
            <w:tcW w:type="dxa" w:w="1560"/>
          </w:tcPr>
          <w:p>
            <w:r/>
            <w:r>
              <w:rPr>
                <w:sz w:val="17"/>
              </w:rPr>
              <w:t>rna</w:t>
            </w:r>
          </w:p>
        </w:tc>
        <w:tc>
          <w:tcPr>
            <w:tcW w:type="dxa" w:w="1560"/>
          </w:tcPr>
          <w:p>
            <w:r/>
            <w:r>
              <w:rPr>
                <w:sz w:val="17"/>
              </w:rPr>
              <w:t>6.85e-05</w:t>
            </w:r>
          </w:p>
        </w:tc>
        <w:tc>
          <w:tcPr>
            <w:tcW w:type="dxa" w:w="1560"/>
          </w:tcPr>
          <w:p>
            <w:r/>
            <w:r>
              <w:rPr>
                <w:sz w:val="17"/>
              </w:rPr>
              <w:t>0.0252</w:t>
            </w:r>
          </w:p>
        </w:tc>
      </w:tr>
      <w:tr>
        <w:tc>
          <w:tcPr>
            <w:tcW w:type="dxa" w:w="1560"/>
          </w:tcPr>
          <w:p>
            <w:r/>
            <w:r>
              <w:rPr>
                <w:sz w:val="17"/>
              </w:rPr>
              <w:t>Factor14</w:t>
            </w:r>
          </w:p>
        </w:tc>
        <w:tc>
          <w:tcPr>
            <w:tcW w:type="dxa" w:w="1560"/>
          </w:tcPr>
          <w:p>
            <w:r/>
            <w:r>
              <w:rPr>
                <w:sz w:val="17"/>
              </w:rPr>
              <w:t>0.000127</w:t>
            </w:r>
          </w:p>
        </w:tc>
        <w:tc>
          <w:tcPr>
            <w:tcW w:type="dxa" w:w="1560"/>
          </w:tcPr>
          <w:p>
            <w:r/>
            <w:r>
              <w:rPr>
                <w:sz w:val="17"/>
              </w:rPr>
              <w:t>0.023684</w:t>
            </w:r>
          </w:p>
        </w:tc>
        <w:tc>
          <w:tcPr>
            <w:tcW w:type="dxa" w:w="1560"/>
          </w:tcPr>
          <w:p>
            <w:r/>
            <w:r>
              <w:rPr>
                <w:sz w:val="17"/>
              </w:rPr>
              <w:t>atac_cbg</w:t>
            </w:r>
          </w:p>
        </w:tc>
        <w:tc>
          <w:tcPr>
            <w:tcW w:type="dxa" w:w="1560"/>
          </w:tcPr>
          <w:p>
            <w:r/>
            <w:r>
              <w:rPr>
                <w:sz w:val="17"/>
              </w:rPr>
              <w:t>0.000127</w:t>
            </w:r>
          </w:p>
        </w:tc>
        <w:tc>
          <w:tcPr>
            <w:tcW w:type="dxa" w:w="1560"/>
          </w:tcPr>
          <w:p>
            <w:r/>
            <w:r>
              <w:rPr>
                <w:sz w:val="17"/>
              </w:rPr>
              <w:t>-0.023557</w:t>
            </w:r>
          </w:p>
        </w:tc>
      </w:tr>
    </w:tbl>
    <w:p>
      <w:r>
        <w:rPr>
          <w:i/>
          <w:color w:val="444444"/>
          <w:sz w:val="17"/>
        </w:rPr>
        <w:t>Showing 14 of 18 rows. Source: module3_mofa_factor_dominance.tsv</w:t>
      </w:r>
    </w:p>
    <w:p>
      <w:pPr>
        <w:jc w:val="center"/>
      </w:pPr>
      <w:r>
        <w:drawing>
          <wp:inline xmlns:a="http://schemas.openxmlformats.org/drawingml/2006/main" xmlns:pic="http://schemas.openxmlformats.org/drawingml/2006/picture">
            <wp:extent cx="5943600" cy="2128428"/>
            <wp:docPr id="1" name="Picture 1"/>
            <wp:cNvGraphicFramePr>
              <a:graphicFrameLocks noChangeAspect="1"/>
            </wp:cNvGraphicFramePr>
            <a:graphic>
              <a:graphicData uri="http://schemas.openxmlformats.org/drawingml/2006/picture">
                <pic:pic>
                  <pic:nvPicPr>
                    <pic:cNvPr id="0" name="module3_mofa_variance.png"/>
                    <pic:cNvPicPr/>
                  </pic:nvPicPr>
                  <pic:blipFill>
                    <a:blip r:embed="rId11"/>
                    <a:stretch>
                      <a:fillRect/>
                    </a:stretch>
                  </pic:blipFill>
                  <pic:spPr>
                    <a:xfrm>
                      <a:off x="0" y="0"/>
                      <a:ext cx="5943600" cy="2128428"/>
                    </a:xfrm>
                    <a:prstGeom prst="rect"/>
                  </pic:spPr>
                </pic:pic>
              </a:graphicData>
            </a:graphic>
          </wp:inline>
        </w:drawing>
      </w:r>
    </w:p>
    <w:p>
      <w:pPr>
        <w:jc w:val="center"/>
      </w:pPr>
      <w:r>
        <w:rPr>
          <w:i/>
          <w:color w:val="444444"/>
          <w:sz w:val="18"/>
        </w:rPr>
        <w:t>MOFA variance explained per factor for RNA and ATAC views</w:t>
      </w:r>
    </w:p>
    <w:p>
      <w:pPr>
        <w:jc w:val="center"/>
      </w:pPr>
      <w:r>
        <w:drawing>
          <wp:inline xmlns:a="http://schemas.openxmlformats.org/drawingml/2006/main" xmlns:pic="http://schemas.openxmlformats.org/drawingml/2006/picture">
            <wp:extent cx="5943600" cy="1984406"/>
            <wp:docPr id="2" name="Picture 2"/>
            <wp:cNvGraphicFramePr>
              <a:graphicFrameLocks noChangeAspect="1"/>
            </wp:cNvGraphicFramePr>
            <a:graphic>
              <a:graphicData uri="http://schemas.openxmlformats.org/drawingml/2006/picture">
                <pic:pic>
                  <pic:nvPicPr>
                    <pic:cNvPr id="0" name="module3_mofa_latent.png"/>
                    <pic:cNvPicPr/>
                  </pic:nvPicPr>
                  <pic:blipFill>
                    <a:blip r:embed="rId12"/>
                    <a:stretch>
                      <a:fillRect/>
                    </a:stretch>
                  </pic:blipFill>
                  <pic:spPr>
                    <a:xfrm>
                      <a:off x="0" y="0"/>
                      <a:ext cx="5943600" cy="1984406"/>
                    </a:xfrm>
                    <a:prstGeom prst="rect"/>
                  </pic:spPr>
                </pic:pic>
              </a:graphicData>
            </a:graphic>
          </wp:inline>
        </w:drawing>
      </w:r>
    </w:p>
    <w:p>
      <w:pPr>
        <w:jc w:val="center"/>
      </w:pPr>
      <w:r>
        <w:rPr>
          <w:i/>
          <w:color w:val="444444"/>
          <w:sz w:val="18"/>
        </w:rPr>
        <w:t>MOFA latent embedding for teaching inspection</w:t>
      </w:r>
    </w:p>
    <w:p>
      <w:pPr>
        <w:spacing w:after="140"/>
      </w:pPr>
      <w:r>
        <w:rPr>
          <w:b/>
          <w:sz w:val="21"/>
        </w:rPr>
        <w:t>Units first.</w:t>
      </w:r>
      <w:r>
        <w:rPr>
          <w:sz w:val="21"/>
        </w:rPr>
        <w:t xml:space="preserve"> The </w:t>
      </w:r>
      <w:r>
        <w:rPr>
          <w:rFonts w:ascii="Menlo" w:hAnsi="Menlo"/>
          <w:color w:val="1A3E6E"/>
          <w:sz w:val="19"/>
        </w:rPr>
        <w:t>units</w:t>
      </w:r>
      <w:r>
        <w:rPr>
          <w:sz w:val="21"/>
        </w:rPr>
        <w:t xml:space="preserve"> column reads </w:t>
      </w:r>
      <w:r>
        <w:rPr>
          <w:rFonts w:ascii="Menlo" w:hAnsi="Menlo"/>
          <w:color w:val="1A3E6E"/>
          <w:sz w:val="19"/>
        </w:rPr>
        <w:t>percent</w:t>
      </w:r>
      <w:r>
        <w:rPr>
          <w:sz w:val="21"/>
        </w:rPr>
        <w:t xml:space="preserve">. Stored totals near 1.3 and 0.91 mean about 1.3 percent of RNA variance and about 0.91 percent of ATAC gene-activity variance, not fractions above 1. The recomputation in </w:t>
      </w:r>
      <w:r>
        <w:rPr>
          <w:rFonts w:ascii="Menlo" w:hAnsi="Menlo"/>
          <w:color w:val="1A3E6E"/>
          <w:sz w:val="19"/>
        </w:rPr>
        <w:t>outputs/reports/module3_run_params.json</w:t>
      </w:r>
      <w:r>
        <w:rPr>
          <w:sz w:val="21"/>
        </w:rPr>
        <w:t xml:space="preserve"> confirms the percent convention.</w:t>
      </w:r>
    </w:p>
    <w:p>
      <w:pPr>
        <w:spacing w:after="140"/>
      </w:pPr>
      <w:r>
        <w:rPr>
          <w:b/>
          <w:sz w:val="21"/>
        </w:rPr>
        <w:t>Finding.</w:t>
      </w:r>
      <w:r>
        <w:rPr>
          <w:sz w:val="21"/>
        </w:rPr>
        <w:t xml:space="preserve"> Every active factor is modality-private. Trailing factors beyond </w:t>
      </w:r>
      <w:r>
        <w:rPr>
          <w:rFonts w:ascii="Menlo" w:hAnsi="Menlo"/>
          <w:color w:val="1A3E6E"/>
          <w:sz w:val="19"/>
        </w:rPr>
        <w:t>mofa_variance_max_factor</w:t>
      </w:r>
      <w:r>
        <w:rPr>
          <w:sz w:val="21"/>
        </w:rPr>
        <w:t xml:space="preserve"> are numerically dead. This is two stacked single-modality spaces, not a joint latent space.</w:t>
      </w:r>
    </w:p>
    <w:p>
      <w:pPr>
        <w:pStyle w:val="Heading4"/>
      </w:pPr>
      <w:r>
        <w:rPr>
          <w:color w:val="1F4E79"/>
        </w:rPr>
        <w:t>Factor association with cell identity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factor</w:t>
            </w:r>
          </w:p>
        </w:tc>
        <w:tc>
          <w:tcPr>
            <w:tcW w:type="dxa" w:w="1872"/>
            <w:shd w:val="clear" w:fill="DCE6F1"/>
          </w:tcPr>
          <w:p>
            <w:r/>
            <w:r>
              <w:rPr>
                <w:b/>
                <w:sz w:val="17"/>
              </w:rPr>
              <w:t>labelling</w:t>
            </w:r>
          </w:p>
        </w:tc>
        <w:tc>
          <w:tcPr>
            <w:tcW w:type="dxa" w:w="1872"/>
            <w:shd w:val="clear" w:fill="DCE6F1"/>
          </w:tcPr>
          <w:p>
            <w:r/>
            <w:r>
              <w:rPr>
                <w:b/>
                <w:sz w:val="17"/>
              </w:rPr>
              <w:t>eta_squared</w:t>
            </w:r>
          </w:p>
        </w:tc>
        <w:tc>
          <w:tcPr>
            <w:tcW w:type="dxa" w:w="1872"/>
            <w:shd w:val="clear" w:fill="DCE6F1"/>
          </w:tcPr>
          <w:p>
            <w:r/>
            <w:r>
              <w:rPr>
                <w:b/>
                <w:sz w:val="17"/>
              </w:rPr>
              <w:t>n_groups</w:t>
            </w:r>
          </w:p>
        </w:tc>
        <w:tc>
          <w:tcPr>
            <w:tcW w:type="dxa" w:w="1872"/>
            <w:shd w:val="clear" w:fill="DCE6F1"/>
          </w:tcPr>
          <w:p>
            <w:r/>
            <w:r>
              <w:rPr>
                <w:b/>
                <w:sz w:val="17"/>
              </w:rPr>
              <w:t>n_nuclei</w:t>
            </w:r>
          </w:p>
        </w:tc>
      </w:tr>
      <w:tr>
        <w:tc>
          <w:tcPr>
            <w:tcW w:type="dxa" w:w="1872"/>
          </w:tcPr>
          <w:p>
            <w:r/>
            <w:r>
              <w:rPr>
                <w:sz w:val="17"/>
              </w:rPr>
              <w:t>Factor1</w:t>
            </w:r>
          </w:p>
        </w:tc>
        <w:tc>
          <w:tcPr>
            <w:tcW w:type="dxa" w:w="1872"/>
          </w:tcPr>
          <w:p>
            <w:r/>
            <w:r>
              <w:rPr>
                <w:sz w:val="17"/>
              </w:rPr>
              <w:t>azimuth_label</w:t>
            </w:r>
          </w:p>
        </w:tc>
        <w:tc>
          <w:tcPr>
            <w:tcW w:type="dxa" w:w="1872"/>
          </w:tcPr>
          <w:p>
            <w:r/>
            <w:r>
              <w:rPr>
                <w:sz w:val="17"/>
              </w:rPr>
              <w:t>0.001423</w:t>
            </w:r>
          </w:p>
        </w:tc>
        <w:tc>
          <w:tcPr>
            <w:tcW w:type="dxa" w:w="1872"/>
          </w:tcPr>
          <w:p>
            <w:r/>
            <w:r>
              <w:rPr>
                <w:sz w:val="17"/>
              </w:rPr>
              <w:t>34</w:t>
            </w:r>
          </w:p>
        </w:tc>
        <w:tc>
          <w:tcPr>
            <w:tcW w:type="dxa" w:w="1872"/>
          </w:tcPr>
          <w:p>
            <w:r/>
            <w:r>
              <w:rPr>
                <w:sz w:val="17"/>
              </w:rPr>
              <w:t>21978</w:t>
            </w:r>
          </w:p>
        </w:tc>
      </w:tr>
      <w:tr>
        <w:tc>
          <w:tcPr>
            <w:tcW w:type="dxa" w:w="1872"/>
          </w:tcPr>
          <w:p>
            <w:r/>
            <w:r>
              <w:rPr>
                <w:sz w:val="17"/>
              </w:rPr>
              <w:t>Factor1</w:t>
            </w:r>
          </w:p>
        </w:tc>
        <w:tc>
          <w:tcPr>
            <w:tcW w:type="dxa" w:w="1872"/>
          </w:tcPr>
          <w:p>
            <w:r/>
            <w:r>
              <w:rPr>
                <w:sz w:val="17"/>
              </w:rPr>
              <w:t>leiden_wnn</w:t>
            </w:r>
          </w:p>
        </w:tc>
        <w:tc>
          <w:tcPr>
            <w:tcW w:type="dxa" w:w="1872"/>
          </w:tcPr>
          <w:p>
            <w:r/>
            <w:r>
              <w:rPr>
                <w:sz w:val="17"/>
              </w:rPr>
              <w:t>0.487874</w:t>
            </w:r>
          </w:p>
        </w:tc>
        <w:tc>
          <w:tcPr>
            <w:tcW w:type="dxa" w:w="1872"/>
          </w:tcPr>
          <w:p>
            <w:r/>
            <w:r>
              <w:rPr>
                <w:sz w:val="17"/>
              </w:rPr>
              <w:t>23</w:t>
            </w:r>
          </w:p>
        </w:tc>
        <w:tc>
          <w:tcPr>
            <w:tcW w:type="dxa" w:w="1872"/>
          </w:tcPr>
          <w:p>
            <w:r/>
            <w:r>
              <w:rPr>
                <w:sz w:val="17"/>
              </w:rPr>
              <w:t>21978</w:t>
            </w:r>
          </w:p>
        </w:tc>
      </w:tr>
      <w:tr>
        <w:tc>
          <w:tcPr>
            <w:tcW w:type="dxa" w:w="1872"/>
          </w:tcPr>
          <w:p>
            <w:r/>
            <w:r>
              <w:rPr>
                <w:sz w:val="17"/>
              </w:rPr>
              <w:t>Factor1</w:t>
            </w:r>
          </w:p>
        </w:tc>
        <w:tc>
          <w:tcPr>
            <w:tcW w:type="dxa" w:w="1872"/>
          </w:tcPr>
          <w:p>
            <w:r/>
            <w:r>
              <w:rPr>
                <w:sz w:val="17"/>
              </w:rPr>
              <w:t>rna_leiden</w:t>
            </w:r>
          </w:p>
        </w:tc>
        <w:tc>
          <w:tcPr>
            <w:tcW w:type="dxa" w:w="1872"/>
          </w:tcPr>
          <w:p>
            <w:r/>
            <w:r>
              <w:rPr>
                <w:sz w:val="17"/>
              </w:rPr>
              <w:t>0.000317</w:t>
            </w:r>
          </w:p>
        </w:tc>
        <w:tc>
          <w:tcPr>
            <w:tcW w:type="dxa" w:w="1872"/>
          </w:tcPr>
          <w:p>
            <w:r/>
            <w:r>
              <w:rPr>
                <w:sz w:val="17"/>
              </w:rPr>
              <w:t>20</w:t>
            </w:r>
          </w:p>
        </w:tc>
        <w:tc>
          <w:tcPr>
            <w:tcW w:type="dxa" w:w="1872"/>
          </w:tcPr>
          <w:p>
            <w:r/>
            <w:r>
              <w:rPr>
                <w:sz w:val="17"/>
              </w:rPr>
              <w:t>21978</w:t>
            </w:r>
          </w:p>
        </w:tc>
      </w:tr>
      <w:tr>
        <w:tc>
          <w:tcPr>
            <w:tcW w:type="dxa" w:w="1872"/>
          </w:tcPr>
          <w:p>
            <w:r/>
            <w:r>
              <w:rPr>
                <w:sz w:val="17"/>
              </w:rPr>
              <w:t>Factor1</w:t>
            </w:r>
          </w:p>
        </w:tc>
        <w:tc>
          <w:tcPr>
            <w:tcW w:type="dxa" w:w="1872"/>
          </w:tcPr>
          <w:p>
            <w:r/>
            <w:r>
              <w:rPr>
                <w:sz w:val="17"/>
              </w:rPr>
              <w:t>atac_leiden</w:t>
            </w:r>
          </w:p>
        </w:tc>
        <w:tc>
          <w:tcPr>
            <w:tcW w:type="dxa" w:w="1872"/>
          </w:tcPr>
          <w:p>
            <w:r/>
            <w:r>
              <w:rPr>
                <w:sz w:val="17"/>
              </w:rPr>
              <w:t>0.001658</w:t>
            </w:r>
          </w:p>
        </w:tc>
        <w:tc>
          <w:tcPr>
            <w:tcW w:type="dxa" w:w="1872"/>
          </w:tcPr>
          <w:p>
            <w:r/>
            <w:r>
              <w:rPr>
                <w:sz w:val="17"/>
              </w:rPr>
              <w:t>30</w:t>
            </w:r>
          </w:p>
        </w:tc>
        <w:tc>
          <w:tcPr>
            <w:tcW w:type="dxa" w:w="1872"/>
          </w:tcPr>
          <w:p>
            <w:r/>
            <w:r>
              <w:rPr>
                <w:sz w:val="17"/>
              </w:rPr>
              <w:t>21978</w:t>
            </w:r>
          </w:p>
        </w:tc>
      </w:tr>
      <w:tr>
        <w:tc>
          <w:tcPr>
            <w:tcW w:type="dxa" w:w="1872"/>
          </w:tcPr>
          <w:p>
            <w:r/>
            <w:r>
              <w:rPr>
                <w:sz w:val="17"/>
              </w:rPr>
              <w:t>Factor2</w:t>
            </w:r>
          </w:p>
        </w:tc>
        <w:tc>
          <w:tcPr>
            <w:tcW w:type="dxa" w:w="1872"/>
          </w:tcPr>
          <w:p>
            <w:r/>
            <w:r>
              <w:rPr>
                <w:sz w:val="17"/>
              </w:rPr>
              <w:t>azimuth_label</w:t>
            </w:r>
          </w:p>
        </w:tc>
        <w:tc>
          <w:tcPr>
            <w:tcW w:type="dxa" w:w="1872"/>
          </w:tcPr>
          <w:p>
            <w:r/>
            <w:r>
              <w:rPr>
                <w:sz w:val="17"/>
              </w:rPr>
              <w:t>0.073788</w:t>
            </w:r>
          </w:p>
        </w:tc>
        <w:tc>
          <w:tcPr>
            <w:tcW w:type="dxa" w:w="1872"/>
          </w:tcPr>
          <w:p>
            <w:r/>
            <w:r>
              <w:rPr>
                <w:sz w:val="17"/>
              </w:rPr>
              <w:t>34</w:t>
            </w:r>
          </w:p>
        </w:tc>
        <w:tc>
          <w:tcPr>
            <w:tcW w:type="dxa" w:w="1872"/>
          </w:tcPr>
          <w:p>
            <w:r/>
            <w:r>
              <w:rPr>
                <w:sz w:val="17"/>
              </w:rPr>
              <w:t>21978</w:t>
            </w:r>
          </w:p>
        </w:tc>
      </w:tr>
      <w:tr>
        <w:tc>
          <w:tcPr>
            <w:tcW w:type="dxa" w:w="1872"/>
          </w:tcPr>
          <w:p>
            <w:r/>
            <w:r>
              <w:rPr>
                <w:sz w:val="17"/>
              </w:rPr>
              <w:t>Factor2</w:t>
            </w:r>
          </w:p>
        </w:tc>
        <w:tc>
          <w:tcPr>
            <w:tcW w:type="dxa" w:w="1872"/>
          </w:tcPr>
          <w:p>
            <w:r/>
            <w:r>
              <w:rPr>
                <w:sz w:val="17"/>
              </w:rPr>
              <w:t>leiden_wnn</w:t>
            </w:r>
          </w:p>
        </w:tc>
        <w:tc>
          <w:tcPr>
            <w:tcW w:type="dxa" w:w="1872"/>
          </w:tcPr>
          <w:p>
            <w:r/>
            <w:r>
              <w:rPr>
                <w:sz w:val="17"/>
              </w:rPr>
              <w:t>0.421429</w:t>
            </w:r>
          </w:p>
        </w:tc>
        <w:tc>
          <w:tcPr>
            <w:tcW w:type="dxa" w:w="1872"/>
          </w:tcPr>
          <w:p>
            <w:r/>
            <w:r>
              <w:rPr>
                <w:sz w:val="17"/>
              </w:rPr>
              <w:t>23</w:t>
            </w:r>
          </w:p>
        </w:tc>
        <w:tc>
          <w:tcPr>
            <w:tcW w:type="dxa" w:w="1872"/>
          </w:tcPr>
          <w:p>
            <w:r/>
            <w:r>
              <w:rPr>
                <w:sz w:val="17"/>
              </w:rPr>
              <w:t>21978</w:t>
            </w:r>
          </w:p>
        </w:tc>
      </w:tr>
      <w:tr>
        <w:tc>
          <w:tcPr>
            <w:tcW w:type="dxa" w:w="1872"/>
          </w:tcPr>
          <w:p>
            <w:r/>
            <w:r>
              <w:rPr>
                <w:sz w:val="17"/>
              </w:rPr>
              <w:t>Factor2</w:t>
            </w:r>
          </w:p>
        </w:tc>
        <w:tc>
          <w:tcPr>
            <w:tcW w:type="dxa" w:w="1872"/>
          </w:tcPr>
          <w:p>
            <w:r/>
            <w:r>
              <w:rPr>
                <w:sz w:val="17"/>
              </w:rPr>
              <w:t>rna_leiden</w:t>
            </w:r>
          </w:p>
        </w:tc>
        <w:tc>
          <w:tcPr>
            <w:tcW w:type="dxa" w:w="1872"/>
          </w:tcPr>
          <w:p>
            <w:r/>
            <w:r>
              <w:rPr>
                <w:sz w:val="17"/>
              </w:rPr>
              <w:t>0.266424</w:t>
            </w:r>
          </w:p>
        </w:tc>
        <w:tc>
          <w:tcPr>
            <w:tcW w:type="dxa" w:w="1872"/>
          </w:tcPr>
          <w:p>
            <w:r/>
            <w:r>
              <w:rPr>
                <w:sz w:val="17"/>
              </w:rPr>
              <w:t>20</w:t>
            </w:r>
          </w:p>
        </w:tc>
        <w:tc>
          <w:tcPr>
            <w:tcW w:type="dxa" w:w="1872"/>
          </w:tcPr>
          <w:p>
            <w:r/>
            <w:r>
              <w:rPr>
                <w:sz w:val="17"/>
              </w:rPr>
              <w:t>21978</w:t>
            </w:r>
          </w:p>
        </w:tc>
      </w:tr>
      <w:tr>
        <w:tc>
          <w:tcPr>
            <w:tcW w:type="dxa" w:w="1872"/>
          </w:tcPr>
          <w:p>
            <w:r/>
            <w:r>
              <w:rPr>
                <w:sz w:val="17"/>
              </w:rPr>
              <w:t>Factor2</w:t>
            </w:r>
          </w:p>
        </w:tc>
        <w:tc>
          <w:tcPr>
            <w:tcW w:type="dxa" w:w="1872"/>
          </w:tcPr>
          <w:p>
            <w:r/>
            <w:r>
              <w:rPr>
                <w:sz w:val="17"/>
              </w:rPr>
              <w:t>atac_leiden</w:t>
            </w:r>
          </w:p>
        </w:tc>
        <w:tc>
          <w:tcPr>
            <w:tcW w:type="dxa" w:w="1872"/>
          </w:tcPr>
          <w:p>
            <w:r/>
            <w:r>
              <w:rPr>
                <w:sz w:val="17"/>
              </w:rPr>
              <w:t>0.178713</w:t>
            </w:r>
          </w:p>
        </w:tc>
        <w:tc>
          <w:tcPr>
            <w:tcW w:type="dxa" w:w="1872"/>
          </w:tcPr>
          <w:p>
            <w:r/>
            <w:r>
              <w:rPr>
                <w:sz w:val="17"/>
              </w:rPr>
              <w:t>30</w:t>
            </w:r>
          </w:p>
        </w:tc>
        <w:tc>
          <w:tcPr>
            <w:tcW w:type="dxa" w:w="1872"/>
          </w:tcPr>
          <w:p>
            <w:r/>
            <w:r>
              <w:rPr>
                <w:sz w:val="17"/>
              </w:rPr>
              <w:t>21978</w:t>
            </w:r>
          </w:p>
        </w:tc>
      </w:tr>
      <w:tr>
        <w:tc>
          <w:tcPr>
            <w:tcW w:type="dxa" w:w="1872"/>
          </w:tcPr>
          <w:p>
            <w:r/>
            <w:r>
              <w:rPr>
                <w:sz w:val="17"/>
              </w:rPr>
              <w:t>Factor3</w:t>
            </w:r>
          </w:p>
        </w:tc>
        <w:tc>
          <w:tcPr>
            <w:tcW w:type="dxa" w:w="1872"/>
          </w:tcPr>
          <w:p>
            <w:r/>
            <w:r>
              <w:rPr>
                <w:sz w:val="17"/>
              </w:rPr>
              <w:t>azimuth_label</w:t>
            </w:r>
          </w:p>
        </w:tc>
        <w:tc>
          <w:tcPr>
            <w:tcW w:type="dxa" w:w="1872"/>
          </w:tcPr>
          <w:p>
            <w:r/>
            <w:r>
              <w:rPr>
                <w:sz w:val="17"/>
              </w:rPr>
              <w:t>0.437111</w:t>
            </w:r>
          </w:p>
        </w:tc>
        <w:tc>
          <w:tcPr>
            <w:tcW w:type="dxa" w:w="1872"/>
          </w:tcPr>
          <w:p>
            <w:r/>
            <w:r>
              <w:rPr>
                <w:sz w:val="17"/>
              </w:rPr>
              <w:t>34</w:t>
            </w:r>
          </w:p>
        </w:tc>
        <w:tc>
          <w:tcPr>
            <w:tcW w:type="dxa" w:w="1872"/>
          </w:tcPr>
          <w:p>
            <w:r/>
            <w:r>
              <w:rPr>
                <w:sz w:val="17"/>
              </w:rPr>
              <w:t>21978</w:t>
            </w:r>
          </w:p>
        </w:tc>
      </w:tr>
      <w:tr>
        <w:tc>
          <w:tcPr>
            <w:tcW w:type="dxa" w:w="1872"/>
          </w:tcPr>
          <w:p>
            <w:r/>
            <w:r>
              <w:rPr>
                <w:sz w:val="17"/>
              </w:rPr>
              <w:t>Factor3</w:t>
            </w:r>
          </w:p>
        </w:tc>
        <w:tc>
          <w:tcPr>
            <w:tcW w:type="dxa" w:w="1872"/>
          </w:tcPr>
          <w:p>
            <w:r/>
            <w:r>
              <w:rPr>
                <w:sz w:val="17"/>
              </w:rPr>
              <w:t>leiden_wnn</w:t>
            </w:r>
          </w:p>
        </w:tc>
        <w:tc>
          <w:tcPr>
            <w:tcW w:type="dxa" w:w="1872"/>
          </w:tcPr>
          <w:p>
            <w:r/>
            <w:r>
              <w:rPr>
                <w:sz w:val="17"/>
              </w:rPr>
              <w:t>0.632004</w:t>
            </w:r>
          </w:p>
        </w:tc>
        <w:tc>
          <w:tcPr>
            <w:tcW w:type="dxa" w:w="1872"/>
          </w:tcPr>
          <w:p>
            <w:r/>
            <w:r>
              <w:rPr>
                <w:sz w:val="17"/>
              </w:rPr>
              <w:t>23</w:t>
            </w:r>
          </w:p>
        </w:tc>
        <w:tc>
          <w:tcPr>
            <w:tcW w:type="dxa" w:w="1872"/>
          </w:tcPr>
          <w:p>
            <w:r/>
            <w:r>
              <w:rPr>
                <w:sz w:val="17"/>
              </w:rPr>
              <w:t>21978</w:t>
            </w:r>
          </w:p>
        </w:tc>
      </w:tr>
      <w:tr>
        <w:tc>
          <w:tcPr>
            <w:tcW w:type="dxa" w:w="1872"/>
          </w:tcPr>
          <w:p>
            <w:r/>
            <w:r>
              <w:rPr>
                <w:sz w:val="17"/>
              </w:rPr>
              <w:t>Factor3</w:t>
            </w:r>
          </w:p>
        </w:tc>
        <w:tc>
          <w:tcPr>
            <w:tcW w:type="dxa" w:w="1872"/>
          </w:tcPr>
          <w:p>
            <w:r/>
            <w:r>
              <w:rPr>
                <w:sz w:val="17"/>
              </w:rPr>
              <w:t>rna_leiden</w:t>
            </w:r>
          </w:p>
        </w:tc>
        <w:tc>
          <w:tcPr>
            <w:tcW w:type="dxa" w:w="1872"/>
          </w:tcPr>
          <w:p>
            <w:r/>
            <w:r>
              <w:rPr>
                <w:sz w:val="17"/>
              </w:rPr>
              <w:t>0.623223</w:t>
            </w:r>
          </w:p>
        </w:tc>
        <w:tc>
          <w:tcPr>
            <w:tcW w:type="dxa" w:w="1872"/>
          </w:tcPr>
          <w:p>
            <w:r/>
            <w:r>
              <w:rPr>
                <w:sz w:val="17"/>
              </w:rPr>
              <w:t>20</w:t>
            </w:r>
          </w:p>
        </w:tc>
        <w:tc>
          <w:tcPr>
            <w:tcW w:type="dxa" w:w="1872"/>
          </w:tcPr>
          <w:p>
            <w:r/>
            <w:r>
              <w:rPr>
                <w:sz w:val="17"/>
              </w:rPr>
              <w:t>21978</w:t>
            </w:r>
          </w:p>
        </w:tc>
      </w:tr>
      <w:tr>
        <w:tc>
          <w:tcPr>
            <w:tcW w:type="dxa" w:w="1872"/>
          </w:tcPr>
          <w:p>
            <w:r/>
            <w:r>
              <w:rPr>
                <w:sz w:val="17"/>
              </w:rPr>
              <w:t>Factor3</w:t>
            </w:r>
          </w:p>
        </w:tc>
        <w:tc>
          <w:tcPr>
            <w:tcW w:type="dxa" w:w="1872"/>
          </w:tcPr>
          <w:p>
            <w:r/>
            <w:r>
              <w:rPr>
                <w:sz w:val="17"/>
              </w:rPr>
              <w:t>atac_leiden</w:t>
            </w:r>
          </w:p>
        </w:tc>
        <w:tc>
          <w:tcPr>
            <w:tcW w:type="dxa" w:w="1872"/>
          </w:tcPr>
          <w:p>
            <w:r/>
            <w:r>
              <w:rPr>
                <w:sz w:val="17"/>
              </w:rPr>
              <w:t>0.019384</w:t>
            </w:r>
          </w:p>
        </w:tc>
        <w:tc>
          <w:tcPr>
            <w:tcW w:type="dxa" w:w="1872"/>
          </w:tcPr>
          <w:p>
            <w:r/>
            <w:r>
              <w:rPr>
                <w:sz w:val="17"/>
              </w:rPr>
              <w:t>30</w:t>
            </w:r>
          </w:p>
        </w:tc>
        <w:tc>
          <w:tcPr>
            <w:tcW w:type="dxa" w:w="1872"/>
          </w:tcPr>
          <w:p>
            <w:r/>
            <w:r>
              <w:rPr>
                <w:sz w:val="17"/>
              </w:rPr>
              <w:t>21978</w:t>
            </w:r>
          </w:p>
        </w:tc>
      </w:tr>
      <w:tr>
        <w:tc>
          <w:tcPr>
            <w:tcW w:type="dxa" w:w="1872"/>
          </w:tcPr>
          <w:p>
            <w:r/>
            <w:r>
              <w:rPr>
                <w:sz w:val="17"/>
              </w:rPr>
              <w:t>Factor4</w:t>
            </w:r>
          </w:p>
        </w:tc>
        <w:tc>
          <w:tcPr>
            <w:tcW w:type="dxa" w:w="1872"/>
          </w:tcPr>
          <w:p>
            <w:r/>
            <w:r>
              <w:rPr>
                <w:sz w:val="17"/>
              </w:rPr>
              <w:t>azimuth_label</w:t>
            </w:r>
          </w:p>
        </w:tc>
        <w:tc>
          <w:tcPr>
            <w:tcW w:type="dxa" w:w="1872"/>
          </w:tcPr>
          <w:p>
            <w:r/>
            <w:r>
              <w:rPr>
                <w:sz w:val="17"/>
              </w:rPr>
              <w:t>0.416625</w:t>
            </w:r>
          </w:p>
        </w:tc>
        <w:tc>
          <w:tcPr>
            <w:tcW w:type="dxa" w:w="1872"/>
          </w:tcPr>
          <w:p>
            <w:r/>
            <w:r>
              <w:rPr>
                <w:sz w:val="17"/>
              </w:rPr>
              <w:t>34</w:t>
            </w:r>
          </w:p>
        </w:tc>
        <w:tc>
          <w:tcPr>
            <w:tcW w:type="dxa" w:w="1872"/>
          </w:tcPr>
          <w:p>
            <w:r/>
            <w:r>
              <w:rPr>
                <w:sz w:val="17"/>
              </w:rPr>
              <w:t>21978</w:t>
            </w:r>
          </w:p>
        </w:tc>
      </w:tr>
      <w:tr>
        <w:tc>
          <w:tcPr>
            <w:tcW w:type="dxa" w:w="1872"/>
          </w:tcPr>
          <w:p>
            <w:r/>
            <w:r>
              <w:rPr>
                <w:sz w:val="17"/>
              </w:rPr>
              <w:t>Factor4</w:t>
            </w:r>
          </w:p>
        </w:tc>
        <w:tc>
          <w:tcPr>
            <w:tcW w:type="dxa" w:w="1872"/>
          </w:tcPr>
          <w:p>
            <w:r/>
            <w:r>
              <w:rPr>
                <w:sz w:val="17"/>
              </w:rPr>
              <w:t>leiden_wnn</w:t>
            </w:r>
          </w:p>
        </w:tc>
        <w:tc>
          <w:tcPr>
            <w:tcW w:type="dxa" w:w="1872"/>
          </w:tcPr>
          <w:p>
            <w:r/>
            <w:r>
              <w:rPr>
                <w:sz w:val="17"/>
              </w:rPr>
              <w:t>0.577355</w:t>
            </w:r>
          </w:p>
        </w:tc>
        <w:tc>
          <w:tcPr>
            <w:tcW w:type="dxa" w:w="1872"/>
          </w:tcPr>
          <w:p>
            <w:r/>
            <w:r>
              <w:rPr>
                <w:sz w:val="17"/>
              </w:rPr>
              <w:t>23</w:t>
            </w:r>
          </w:p>
        </w:tc>
        <w:tc>
          <w:tcPr>
            <w:tcW w:type="dxa" w:w="1872"/>
          </w:tcPr>
          <w:p>
            <w:r/>
            <w:r>
              <w:rPr>
                <w:sz w:val="17"/>
              </w:rPr>
              <w:t>21978</w:t>
            </w:r>
          </w:p>
        </w:tc>
      </w:tr>
    </w:tbl>
    <w:p>
      <w:r>
        <w:rPr>
          <w:i/>
          <w:color w:val="444444"/>
          <w:sz w:val="17"/>
        </w:rPr>
        <w:t>Showing 14 of 120 rows. Source: module3_factor_label_association.tsv</w:t>
      </w:r>
    </w:p>
    <w:p>
      <w:pPr>
        <w:jc w:val="center"/>
      </w:pPr>
      <w:r>
        <w:drawing>
          <wp:inline xmlns:a="http://schemas.openxmlformats.org/drawingml/2006/main" xmlns:pic="http://schemas.openxmlformats.org/drawingml/2006/picture">
            <wp:extent cx="5943600" cy="5384465"/>
            <wp:docPr id="3" name="Picture 3"/>
            <wp:cNvGraphicFramePr>
              <a:graphicFrameLocks noChangeAspect="1"/>
            </wp:cNvGraphicFramePr>
            <a:graphic>
              <a:graphicData uri="http://schemas.openxmlformats.org/drawingml/2006/picture">
                <pic:pic>
                  <pic:nvPicPr>
                    <pic:cNvPr id="0" name="module3_factor_label_heatmap.png"/>
                    <pic:cNvPicPr/>
                  </pic:nvPicPr>
                  <pic:blipFill>
                    <a:blip r:embed="rId13"/>
                    <a:stretch>
                      <a:fillRect/>
                    </a:stretch>
                  </pic:blipFill>
                  <pic:spPr>
                    <a:xfrm>
                      <a:off x="0" y="0"/>
                      <a:ext cx="5943600" cy="5384465"/>
                    </a:xfrm>
                    <a:prstGeom prst="rect"/>
                  </pic:spPr>
                </pic:pic>
              </a:graphicData>
            </a:graphic>
          </wp:inline>
        </w:drawing>
      </w:r>
    </w:p>
    <w:p>
      <w:pPr>
        <w:jc w:val="center"/>
      </w:pPr>
      <w:r>
        <w:rPr>
          <w:i/>
          <w:color w:val="444444"/>
          <w:sz w:val="18"/>
        </w:rPr>
        <w:t>Eta squared of MOFA factor scores against Azimuth, WNN, RNA Leiden, and ATAC Leiden</w:t>
      </w:r>
    </w:p>
    <w:p>
      <w:pPr>
        <w:spacing w:after="140"/>
      </w:pPr>
      <w:r>
        <w:rPr>
          <w:b/>
          <w:sz w:val="21"/>
        </w:rPr>
        <w:t>Finding.</w:t>
      </w:r>
      <w:r>
        <w:rPr>
          <w:sz w:val="21"/>
        </w:rPr>
        <w:t xml:space="preserve"> RNA-dominant factor scores track Azimuth, WNN, and RNA Leiden. The same factors are near floor against ATAC Leiden. MOFA found cell identity, in RNA only.</w:t>
      </w:r>
    </w:p>
    <w:p>
      <w:pPr>
        <w:pStyle w:val="Heading4"/>
      </w:pPr>
      <w:r>
        <w:rPr>
          <w:color w:val="1F4E79"/>
        </w:rPr>
        <w:t>Content of the ATAC gene-activity view</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fill="DCE6F1"/>
          </w:tcPr>
          <w:p>
            <w:r/>
            <w:r>
              <w:rPr>
                <w:b/>
                <w:sz w:val="15"/>
              </w:rPr>
              <w:t>pair</w:t>
            </w:r>
          </w:p>
        </w:tc>
        <w:tc>
          <w:tcPr>
            <w:tcW w:type="dxa" w:w="1170"/>
            <w:shd w:val="clear" w:fill="DCE6F1"/>
          </w:tcPr>
          <w:p>
            <w:r/>
            <w:r>
              <w:rPr>
                <w:b/>
                <w:sz w:val="15"/>
              </w:rPr>
              <w:t>col_a</w:t>
            </w:r>
          </w:p>
        </w:tc>
        <w:tc>
          <w:tcPr>
            <w:tcW w:type="dxa" w:w="1170"/>
            <w:shd w:val="clear" w:fill="DCE6F1"/>
          </w:tcPr>
          <w:p>
            <w:r/>
            <w:r>
              <w:rPr>
                <w:b/>
                <w:sz w:val="15"/>
              </w:rPr>
              <w:t>col_b</w:t>
            </w:r>
          </w:p>
        </w:tc>
        <w:tc>
          <w:tcPr>
            <w:tcW w:type="dxa" w:w="1170"/>
            <w:shd w:val="clear" w:fill="DCE6F1"/>
          </w:tcPr>
          <w:p>
            <w:r/>
            <w:r>
              <w:rPr>
                <w:b/>
                <w:sz w:val="15"/>
              </w:rPr>
              <w:t>n_nuclei</w:t>
            </w:r>
          </w:p>
        </w:tc>
        <w:tc>
          <w:tcPr>
            <w:tcW w:type="dxa" w:w="1170"/>
            <w:shd w:val="clear" w:fill="DCE6F1"/>
          </w:tcPr>
          <w:p>
            <w:r/>
            <w:r>
              <w:rPr>
                <w:b/>
                <w:sz w:val="15"/>
              </w:rPr>
              <w:t>k_a</w:t>
            </w:r>
          </w:p>
        </w:tc>
        <w:tc>
          <w:tcPr>
            <w:tcW w:type="dxa" w:w="1170"/>
            <w:shd w:val="clear" w:fill="DCE6F1"/>
          </w:tcPr>
          <w:p>
            <w:r/>
            <w:r>
              <w:rPr>
                <w:b/>
                <w:sz w:val="15"/>
              </w:rPr>
              <w:t>k_b</w:t>
            </w:r>
          </w:p>
        </w:tc>
        <w:tc>
          <w:tcPr>
            <w:tcW w:type="dxa" w:w="1170"/>
            <w:shd w:val="clear" w:fill="DCE6F1"/>
          </w:tcPr>
          <w:p>
            <w:r/>
            <w:r>
              <w:rPr>
                <w:b/>
                <w:sz w:val="15"/>
              </w:rPr>
              <w:t>ari</w:t>
            </w:r>
          </w:p>
        </w:tc>
        <w:tc>
          <w:tcPr>
            <w:tcW w:type="dxa" w:w="1170"/>
            <w:shd w:val="clear" w:fill="DCE6F1"/>
          </w:tcPr>
          <w:p>
            <w:r/>
            <w:r>
              <w:rPr>
                <w:b/>
                <w:sz w:val="15"/>
              </w:rPr>
              <w:t>nmi</w:t>
            </w:r>
          </w:p>
        </w:tc>
      </w:tr>
      <w:tr>
        <w:tc>
          <w:tcPr>
            <w:tcW w:type="dxa" w:w="1170"/>
          </w:tcPr>
          <w:p>
            <w:r/>
            <w:r>
              <w:rPr>
                <w:sz w:val="15"/>
              </w:rPr>
              <w:t>atac_leiden vs azimuth_label</w:t>
            </w:r>
          </w:p>
        </w:tc>
        <w:tc>
          <w:tcPr>
            <w:tcW w:type="dxa" w:w="1170"/>
          </w:tcPr>
          <w:p>
            <w:r/>
            <w:r>
              <w:rPr>
                <w:sz w:val="15"/>
              </w:rPr>
              <w:t>atac_leiden</w:t>
            </w:r>
          </w:p>
        </w:tc>
        <w:tc>
          <w:tcPr>
            <w:tcW w:type="dxa" w:w="1170"/>
          </w:tcPr>
          <w:p>
            <w:r/>
            <w:r>
              <w:rPr>
                <w:sz w:val="15"/>
              </w:rPr>
              <w:t>azimuth_label</w:t>
            </w:r>
          </w:p>
        </w:tc>
        <w:tc>
          <w:tcPr>
            <w:tcW w:type="dxa" w:w="1170"/>
          </w:tcPr>
          <w:p>
            <w:r/>
            <w:r>
              <w:rPr>
                <w:sz w:val="15"/>
              </w:rPr>
              <w:t>21978</w:t>
            </w:r>
          </w:p>
        </w:tc>
        <w:tc>
          <w:tcPr>
            <w:tcW w:type="dxa" w:w="1170"/>
          </w:tcPr>
          <w:p>
            <w:r/>
            <w:r>
              <w:rPr>
                <w:sz w:val="15"/>
              </w:rPr>
              <w:t>30</w:t>
            </w:r>
          </w:p>
        </w:tc>
        <w:tc>
          <w:tcPr>
            <w:tcW w:type="dxa" w:w="1170"/>
          </w:tcPr>
          <w:p>
            <w:r/>
            <w:r>
              <w:rPr>
                <w:sz w:val="15"/>
              </w:rPr>
              <w:t>34</w:t>
            </w:r>
          </w:p>
        </w:tc>
        <w:tc>
          <w:tcPr>
            <w:tcW w:type="dxa" w:w="1170"/>
          </w:tcPr>
          <w:p>
            <w:r/>
            <w:r>
              <w:rPr>
                <w:sz w:val="15"/>
              </w:rPr>
              <w:t>0.011747</w:t>
            </w:r>
          </w:p>
        </w:tc>
        <w:tc>
          <w:tcPr>
            <w:tcW w:type="dxa" w:w="1170"/>
          </w:tcPr>
          <w:p>
            <w:r/>
            <w:r>
              <w:rPr>
                <w:sz w:val="15"/>
              </w:rPr>
              <w:t>0.028309</w:t>
            </w:r>
          </w:p>
        </w:tc>
      </w:tr>
      <w:tr>
        <w:tc>
          <w:tcPr>
            <w:tcW w:type="dxa" w:w="1170"/>
          </w:tcPr>
          <w:p>
            <w:r/>
            <w:r>
              <w:rPr>
                <w:sz w:val="15"/>
              </w:rPr>
              <w:t>atac_clusters vs azimuth_label</w:t>
            </w:r>
          </w:p>
        </w:tc>
        <w:tc>
          <w:tcPr>
            <w:tcW w:type="dxa" w:w="1170"/>
          </w:tcPr>
          <w:p>
            <w:r/>
            <w:r>
              <w:rPr>
                <w:sz w:val="15"/>
              </w:rPr>
              <w:t>atac_clusters</w:t>
            </w:r>
          </w:p>
        </w:tc>
        <w:tc>
          <w:tcPr>
            <w:tcW w:type="dxa" w:w="1170"/>
          </w:tcPr>
          <w:p>
            <w:r/>
            <w:r>
              <w:rPr>
                <w:sz w:val="15"/>
              </w:rPr>
              <w:t>azimuth_label</w:t>
            </w:r>
          </w:p>
        </w:tc>
        <w:tc>
          <w:tcPr>
            <w:tcW w:type="dxa" w:w="1170"/>
          </w:tcPr>
          <w:p>
            <w:r/>
            <w:r>
              <w:rPr>
                <w:sz w:val="15"/>
              </w:rPr>
              <w:t>21978</w:t>
            </w:r>
          </w:p>
        </w:tc>
        <w:tc>
          <w:tcPr>
            <w:tcW w:type="dxa" w:w="1170"/>
          </w:tcPr>
          <w:p>
            <w:r/>
            <w:r>
              <w:rPr>
                <w:sz w:val="15"/>
              </w:rPr>
              <w:t>25</w:t>
            </w:r>
          </w:p>
        </w:tc>
        <w:tc>
          <w:tcPr>
            <w:tcW w:type="dxa" w:w="1170"/>
          </w:tcPr>
          <w:p>
            <w:r/>
            <w:r>
              <w:rPr>
                <w:sz w:val="15"/>
              </w:rPr>
              <w:t>34</w:t>
            </w:r>
          </w:p>
        </w:tc>
        <w:tc>
          <w:tcPr>
            <w:tcW w:type="dxa" w:w="1170"/>
          </w:tcPr>
          <w:p>
            <w:r/>
            <w:r>
              <w:rPr>
                <w:sz w:val="15"/>
              </w:rPr>
              <w:t>0.006943</w:t>
            </w:r>
          </w:p>
        </w:tc>
        <w:tc>
          <w:tcPr>
            <w:tcW w:type="dxa" w:w="1170"/>
          </w:tcPr>
          <w:p>
            <w:r/>
            <w:r>
              <w:rPr>
                <w:sz w:val="15"/>
              </w:rPr>
              <w:t>0.01062</w:t>
            </w:r>
          </w:p>
        </w:tc>
      </w:tr>
      <w:tr>
        <w:tc>
          <w:tcPr>
            <w:tcW w:type="dxa" w:w="1170"/>
          </w:tcPr>
          <w:p>
            <w:r/>
            <w:r>
              <w:rPr>
                <w:sz w:val="15"/>
              </w:rPr>
              <w:t>leiden_wnn vs rna_leiden</w:t>
            </w:r>
          </w:p>
        </w:tc>
        <w:tc>
          <w:tcPr>
            <w:tcW w:type="dxa" w:w="1170"/>
          </w:tcPr>
          <w:p>
            <w:r/>
            <w:r>
              <w:rPr>
                <w:sz w:val="15"/>
              </w:rPr>
              <w:t>leiden_wnn</w:t>
            </w:r>
          </w:p>
        </w:tc>
        <w:tc>
          <w:tcPr>
            <w:tcW w:type="dxa" w:w="1170"/>
          </w:tcPr>
          <w:p>
            <w:r/>
            <w:r>
              <w:rPr>
                <w:sz w:val="15"/>
              </w:rPr>
              <w:t>rna_leiden</w:t>
            </w:r>
          </w:p>
        </w:tc>
        <w:tc>
          <w:tcPr>
            <w:tcW w:type="dxa" w:w="1170"/>
          </w:tcPr>
          <w:p>
            <w:r/>
            <w:r>
              <w:rPr>
                <w:sz w:val="15"/>
              </w:rPr>
              <w:t>21978</w:t>
            </w:r>
          </w:p>
        </w:tc>
        <w:tc>
          <w:tcPr>
            <w:tcW w:type="dxa" w:w="1170"/>
          </w:tcPr>
          <w:p>
            <w:r/>
            <w:r>
              <w:rPr>
                <w:sz w:val="15"/>
              </w:rPr>
              <w:t>23</w:t>
            </w:r>
          </w:p>
        </w:tc>
        <w:tc>
          <w:tcPr>
            <w:tcW w:type="dxa" w:w="1170"/>
          </w:tcPr>
          <w:p>
            <w:r/>
            <w:r>
              <w:rPr>
                <w:sz w:val="15"/>
              </w:rPr>
              <w:t>20</w:t>
            </w:r>
          </w:p>
        </w:tc>
        <w:tc>
          <w:tcPr>
            <w:tcW w:type="dxa" w:w="1170"/>
          </w:tcPr>
          <w:p>
            <w:r/>
            <w:r>
              <w:rPr>
                <w:sz w:val="15"/>
              </w:rPr>
              <w:t>0.246892</w:t>
            </w:r>
          </w:p>
        </w:tc>
        <w:tc>
          <w:tcPr>
            <w:tcW w:type="dxa" w:w="1170"/>
          </w:tcPr>
          <w:p>
            <w:r/>
            <w:r>
              <w:rPr>
                <w:sz w:val="15"/>
              </w:rPr>
              <w:t>0.443028</w:t>
            </w:r>
          </w:p>
        </w:tc>
      </w:tr>
      <w:tr>
        <w:tc>
          <w:tcPr>
            <w:tcW w:type="dxa" w:w="1170"/>
          </w:tcPr>
          <w:p>
            <w:r/>
            <w:r>
              <w:rPr>
                <w:sz w:val="15"/>
              </w:rPr>
              <w:t>leiden_wnn vs atac_leiden</w:t>
            </w:r>
          </w:p>
        </w:tc>
        <w:tc>
          <w:tcPr>
            <w:tcW w:type="dxa" w:w="1170"/>
          </w:tcPr>
          <w:p>
            <w:r/>
            <w:r>
              <w:rPr>
                <w:sz w:val="15"/>
              </w:rPr>
              <w:t>leiden_wnn</w:t>
            </w:r>
          </w:p>
        </w:tc>
        <w:tc>
          <w:tcPr>
            <w:tcW w:type="dxa" w:w="1170"/>
          </w:tcPr>
          <w:p>
            <w:r/>
            <w:r>
              <w:rPr>
                <w:sz w:val="15"/>
              </w:rPr>
              <w:t>atac_leiden</w:t>
            </w:r>
          </w:p>
        </w:tc>
        <w:tc>
          <w:tcPr>
            <w:tcW w:type="dxa" w:w="1170"/>
          </w:tcPr>
          <w:p>
            <w:r/>
            <w:r>
              <w:rPr>
                <w:sz w:val="15"/>
              </w:rPr>
              <w:t>21978</w:t>
            </w:r>
          </w:p>
        </w:tc>
        <w:tc>
          <w:tcPr>
            <w:tcW w:type="dxa" w:w="1170"/>
          </w:tcPr>
          <w:p>
            <w:r/>
            <w:r>
              <w:rPr>
                <w:sz w:val="15"/>
              </w:rPr>
              <w:t>23</w:t>
            </w:r>
          </w:p>
        </w:tc>
        <w:tc>
          <w:tcPr>
            <w:tcW w:type="dxa" w:w="1170"/>
          </w:tcPr>
          <w:p>
            <w:r/>
            <w:r>
              <w:rPr>
                <w:sz w:val="15"/>
              </w:rPr>
              <w:t>30</w:t>
            </w:r>
          </w:p>
        </w:tc>
        <w:tc>
          <w:tcPr>
            <w:tcW w:type="dxa" w:w="1170"/>
          </w:tcPr>
          <w:p>
            <w:r/>
            <w:r>
              <w:rPr>
                <w:sz w:val="15"/>
              </w:rPr>
              <w:t>0.020134</w:t>
            </w:r>
          </w:p>
        </w:tc>
        <w:tc>
          <w:tcPr>
            <w:tcW w:type="dxa" w:w="1170"/>
          </w:tcPr>
          <w:p>
            <w:r/>
            <w:r>
              <w:rPr>
                <w:sz w:val="15"/>
              </w:rPr>
              <w:t>0.039789</w:t>
            </w:r>
          </w:p>
        </w:tc>
      </w:tr>
      <w:tr>
        <w:tc>
          <w:tcPr>
            <w:tcW w:type="dxa" w:w="1170"/>
          </w:tcPr>
          <w:p>
            <w:r/>
            <w:r>
              <w:rPr>
                <w:sz w:val="15"/>
              </w:rPr>
              <w:t>rna_leiden vs azimuth_label</w:t>
            </w:r>
          </w:p>
        </w:tc>
        <w:tc>
          <w:tcPr>
            <w:tcW w:type="dxa" w:w="1170"/>
          </w:tcPr>
          <w:p>
            <w:r/>
            <w:r>
              <w:rPr>
                <w:sz w:val="15"/>
              </w:rPr>
              <w:t>rna_leiden</w:t>
            </w:r>
          </w:p>
        </w:tc>
        <w:tc>
          <w:tcPr>
            <w:tcW w:type="dxa" w:w="1170"/>
          </w:tcPr>
          <w:p>
            <w:r/>
            <w:r>
              <w:rPr>
                <w:sz w:val="15"/>
              </w:rPr>
              <w:t>azimuth_label</w:t>
            </w:r>
          </w:p>
        </w:tc>
        <w:tc>
          <w:tcPr>
            <w:tcW w:type="dxa" w:w="1170"/>
          </w:tcPr>
          <w:p>
            <w:r/>
            <w:r>
              <w:rPr>
                <w:sz w:val="15"/>
              </w:rPr>
              <w:t>21978</w:t>
            </w:r>
          </w:p>
        </w:tc>
        <w:tc>
          <w:tcPr>
            <w:tcW w:type="dxa" w:w="1170"/>
          </w:tcPr>
          <w:p>
            <w:r/>
            <w:r>
              <w:rPr>
                <w:sz w:val="15"/>
              </w:rPr>
              <w:t>20</w:t>
            </w:r>
          </w:p>
        </w:tc>
        <w:tc>
          <w:tcPr>
            <w:tcW w:type="dxa" w:w="1170"/>
          </w:tcPr>
          <w:p>
            <w:r/>
            <w:r>
              <w:rPr>
                <w:sz w:val="15"/>
              </w:rPr>
              <w:t>34</w:t>
            </w:r>
          </w:p>
        </w:tc>
        <w:tc>
          <w:tcPr>
            <w:tcW w:type="dxa" w:w="1170"/>
          </w:tcPr>
          <w:p>
            <w:r/>
            <w:r>
              <w:rPr>
                <w:sz w:val="15"/>
              </w:rPr>
              <w:t>0.180146</w:t>
            </w:r>
          </w:p>
        </w:tc>
        <w:tc>
          <w:tcPr>
            <w:tcW w:type="dxa" w:w="1170"/>
          </w:tcPr>
          <w:p>
            <w:r/>
            <w:r>
              <w:rPr>
                <w:sz w:val="15"/>
              </w:rPr>
              <w:t>0.26221</w:t>
            </w:r>
          </w:p>
        </w:tc>
      </w:tr>
      <w:tr>
        <w:tc>
          <w:tcPr>
            <w:tcW w:type="dxa" w:w="1170"/>
          </w:tcPr>
          <w:p>
            <w:r/>
            <w:r>
              <w:rPr>
                <w:sz w:val="15"/>
              </w:rPr>
              <w:t>leiden_wnn vs azimuth_label</w:t>
            </w:r>
          </w:p>
        </w:tc>
        <w:tc>
          <w:tcPr>
            <w:tcW w:type="dxa" w:w="1170"/>
          </w:tcPr>
          <w:p>
            <w:r/>
            <w:r>
              <w:rPr>
                <w:sz w:val="15"/>
              </w:rPr>
              <w:t>leiden_wnn</w:t>
            </w:r>
          </w:p>
        </w:tc>
        <w:tc>
          <w:tcPr>
            <w:tcW w:type="dxa" w:w="1170"/>
          </w:tcPr>
          <w:p>
            <w:r/>
            <w:r>
              <w:rPr>
                <w:sz w:val="15"/>
              </w:rPr>
              <w:t>azimuth_label</w:t>
            </w:r>
          </w:p>
        </w:tc>
        <w:tc>
          <w:tcPr>
            <w:tcW w:type="dxa" w:w="1170"/>
          </w:tcPr>
          <w:p>
            <w:r/>
            <w:r>
              <w:rPr>
                <w:sz w:val="15"/>
              </w:rPr>
              <w:t>21978</w:t>
            </w:r>
          </w:p>
        </w:tc>
        <w:tc>
          <w:tcPr>
            <w:tcW w:type="dxa" w:w="1170"/>
          </w:tcPr>
          <w:p>
            <w:r/>
            <w:r>
              <w:rPr>
                <w:sz w:val="15"/>
              </w:rPr>
              <w:t>23</w:t>
            </w:r>
          </w:p>
        </w:tc>
        <w:tc>
          <w:tcPr>
            <w:tcW w:type="dxa" w:w="1170"/>
          </w:tcPr>
          <w:p>
            <w:r/>
            <w:r>
              <w:rPr>
                <w:sz w:val="15"/>
              </w:rPr>
              <w:t>34</w:t>
            </w:r>
          </w:p>
        </w:tc>
        <w:tc>
          <w:tcPr>
            <w:tcW w:type="dxa" w:w="1170"/>
          </w:tcPr>
          <w:p>
            <w:r/>
            <w:r>
              <w:rPr>
                <w:sz w:val="15"/>
              </w:rPr>
              <w:t>0.065516</w:t>
            </w:r>
          </w:p>
        </w:tc>
        <w:tc>
          <w:tcPr>
            <w:tcW w:type="dxa" w:w="1170"/>
          </w:tcPr>
          <w:p>
            <w:r/>
            <w:r>
              <w:rPr>
                <w:sz w:val="15"/>
              </w:rPr>
              <w:t>0.200672</w:t>
            </w:r>
          </w:p>
        </w:tc>
      </w:tr>
      <w:tr>
        <w:tc>
          <w:tcPr>
            <w:tcW w:type="dxa" w:w="1170"/>
          </w:tcPr>
          <w:p>
            <w:r/>
            <w:r>
              <w:rPr>
                <w:sz w:val="15"/>
              </w:rPr>
              <w:t>atac_leiden vs rna_leiden</w:t>
            </w:r>
          </w:p>
        </w:tc>
        <w:tc>
          <w:tcPr>
            <w:tcW w:type="dxa" w:w="1170"/>
          </w:tcPr>
          <w:p>
            <w:r/>
            <w:r>
              <w:rPr>
                <w:sz w:val="15"/>
              </w:rPr>
              <w:t>atac_leiden</w:t>
            </w:r>
          </w:p>
        </w:tc>
        <w:tc>
          <w:tcPr>
            <w:tcW w:type="dxa" w:w="1170"/>
          </w:tcPr>
          <w:p>
            <w:r/>
            <w:r>
              <w:rPr>
                <w:sz w:val="15"/>
              </w:rPr>
              <w:t>rna_leiden</w:t>
            </w:r>
          </w:p>
        </w:tc>
        <w:tc>
          <w:tcPr>
            <w:tcW w:type="dxa" w:w="1170"/>
          </w:tcPr>
          <w:p>
            <w:r/>
            <w:r>
              <w:rPr>
                <w:sz w:val="15"/>
              </w:rPr>
              <w:t>21978</w:t>
            </w:r>
          </w:p>
        </w:tc>
        <w:tc>
          <w:tcPr>
            <w:tcW w:type="dxa" w:w="1170"/>
          </w:tcPr>
          <w:p>
            <w:r/>
            <w:r>
              <w:rPr>
                <w:sz w:val="15"/>
              </w:rPr>
              <w:t>30</w:t>
            </w:r>
          </w:p>
        </w:tc>
        <w:tc>
          <w:tcPr>
            <w:tcW w:type="dxa" w:w="1170"/>
          </w:tcPr>
          <w:p>
            <w:r/>
            <w:r>
              <w:rPr>
                <w:sz w:val="15"/>
              </w:rPr>
              <w:t>20</w:t>
            </w:r>
          </w:p>
        </w:tc>
        <w:tc>
          <w:tcPr>
            <w:tcW w:type="dxa" w:w="1170"/>
          </w:tcPr>
          <w:p>
            <w:r/>
            <w:r>
              <w:rPr>
                <w:sz w:val="15"/>
              </w:rPr>
              <w:t>0.029988</w:t>
            </w:r>
          </w:p>
        </w:tc>
        <w:tc>
          <w:tcPr>
            <w:tcW w:type="dxa" w:w="1170"/>
          </w:tcPr>
          <w:p>
            <w:r/>
            <w:r>
              <w:rPr>
                <w:sz w:val="15"/>
              </w:rPr>
              <w:t>0.040883</w:t>
            </w:r>
          </w:p>
        </w:tc>
      </w:tr>
    </w:tbl>
    <w:p>
      <w:r>
        <w:rPr>
          <w:i/>
          <w:color w:val="444444"/>
          <w:sz w:val="17"/>
        </w:rPr>
        <w:t>1 further column in the source file. Source: module3_cluster_concordance.tsv</w:t>
      </w:r>
    </w:p>
    <w:p>
      <w:pPr>
        <w:jc w:val="center"/>
      </w:pPr>
      <w:r>
        <w:drawing>
          <wp:inline xmlns:a="http://schemas.openxmlformats.org/drawingml/2006/main" xmlns:pic="http://schemas.openxmlformats.org/drawingml/2006/picture">
            <wp:extent cx="5943600" cy="4533174"/>
            <wp:docPr id="4" name="Picture 4"/>
            <wp:cNvGraphicFramePr>
              <a:graphicFrameLocks noChangeAspect="1"/>
            </wp:cNvGraphicFramePr>
            <a:graphic>
              <a:graphicData uri="http://schemas.openxmlformats.org/drawingml/2006/picture">
                <pic:pic>
                  <pic:nvPicPr>
                    <pic:cNvPr id="0" name="module3_cluster_concordance.png"/>
                    <pic:cNvPicPr/>
                  </pic:nvPicPr>
                  <pic:blipFill>
                    <a:blip r:embed="rId14"/>
                    <a:stretch>
                      <a:fillRect/>
                    </a:stretch>
                  </pic:blipFill>
                  <pic:spPr>
                    <a:xfrm>
                      <a:off x="0" y="0"/>
                      <a:ext cx="5943600" cy="4533174"/>
                    </a:xfrm>
                    <a:prstGeom prst="rect"/>
                  </pic:spPr>
                </pic:pic>
              </a:graphicData>
            </a:graphic>
          </wp:inline>
        </w:drawing>
      </w:r>
    </w:p>
    <w:p>
      <w:pPr>
        <w:jc w:val="center"/>
      </w:pPr>
      <w:r>
        <w:rPr>
          <w:i/>
          <w:color w:val="444444"/>
          <w:sz w:val="18"/>
        </w:rPr>
        <w:t>RNA Leiden versus ATAC Leiden, row-normalized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CE6F1"/>
          </w:tcPr>
          <w:p>
            <w:r/>
            <w:r>
              <w:rPr>
                <w:b/>
                <w:sz w:val="15"/>
              </w:rPr>
              <w:t>qc_metric</w:t>
            </w:r>
          </w:p>
        </w:tc>
        <w:tc>
          <w:tcPr>
            <w:tcW w:type="dxa" w:w="1337"/>
            <w:shd w:val="clear" w:fill="DCE6F1"/>
          </w:tcPr>
          <w:p>
            <w:r/>
            <w:r>
              <w:rPr>
                <w:b/>
                <w:sz w:val="15"/>
              </w:rPr>
              <w:t>qc_column</w:t>
            </w:r>
          </w:p>
        </w:tc>
        <w:tc>
          <w:tcPr>
            <w:tcW w:type="dxa" w:w="1337"/>
            <w:shd w:val="clear" w:fill="DCE6F1"/>
          </w:tcPr>
          <w:p>
            <w:r/>
            <w:r>
              <w:rPr>
                <w:b/>
                <w:sz w:val="15"/>
              </w:rPr>
              <w:t>labelling</w:t>
            </w:r>
          </w:p>
        </w:tc>
        <w:tc>
          <w:tcPr>
            <w:tcW w:type="dxa" w:w="1337"/>
            <w:shd w:val="clear" w:fill="DCE6F1"/>
          </w:tcPr>
          <w:p>
            <w:r/>
            <w:r>
              <w:rPr>
                <w:b/>
                <w:sz w:val="15"/>
              </w:rPr>
              <w:t>eta_squared</w:t>
            </w:r>
          </w:p>
        </w:tc>
        <w:tc>
          <w:tcPr>
            <w:tcW w:type="dxa" w:w="1337"/>
            <w:shd w:val="clear" w:fill="DCE6F1"/>
          </w:tcPr>
          <w:p>
            <w:r/>
            <w:r>
              <w:rPr>
                <w:b/>
                <w:sz w:val="15"/>
              </w:rPr>
              <w:t>transform</w:t>
            </w:r>
          </w:p>
        </w:tc>
        <w:tc>
          <w:tcPr>
            <w:tcW w:type="dxa" w:w="1337"/>
            <w:shd w:val="clear" w:fill="DCE6F1"/>
          </w:tcPr>
          <w:p>
            <w:r/>
            <w:r>
              <w:rPr>
                <w:b/>
                <w:sz w:val="15"/>
              </w:rPr>
              <w:t>n_nuclei</w:t>
            </w:r>
          </w:p>
        </w:tc>
        <w:tc>
          <w:tcPr>
            <w:tcW w:type="dxa" w:w="1337"/>
            <w:shd w:val="clear" w:fill="DCE6F1"/>
          </w:tcPr>
          <w:p>
            <w:r/>
            <w:r>
              <w:rPr>
                <w:b/>
                <w:sz w:val="15"/>
              </w:rPr>
              <w:t>n_groups</w:t>
            </w:r>
          </w:p>
        </w:tc>
      </w:tr>
      <w:tr>
        <w:tc>
          <w:tcPr>
            <w:tcW w:type="dxa" w:w="1337"/>
          </w:tcPr>
          <w:p>
            <w:r/>
            <w:r>
              <w:rPr>
                <w:sz w:val="15"/>
              </w:rPr>
              <w:t>log10 nFrags</w:t>
            </w:r>
          </w:p>
        </w:tc>
        <w:tc>
          <w:tcPr>
            <w:tcW w:type="dxa" w:w="1337"/>
          </w:tcPr>
          <w:p>
            <w:r/>
            <w:r>
              <w:rPr>
                <w:sz w:val="15"/>
              </w:rPr>
              <w:t>nFrags</w:t>
            </w:r>
          </w:p>
        </w:tc>
        <w:tc>
          <w:tcPr>
            <w:tcW w:type="dxa" w:w="1337"/>
          </w:tcPr>
          <w:p>
            <w:r/>
            <w:r>
              <w:rPr>
                <w:sz w:val="15"/>
              </w:rPr>
              <w:t>atac_leiden</w:t>
            </w:r>
          </w:p>
        </w:tc>
        <w:tc>
          <w:tcPr>
            <w:tcW w:type="dxa" w:w="1337"/>
          </w:tcPr>
          <w:p>
            <w:r/>
            <w:r>
              <w:rPr>
                <w:sz w:val="15"/>
              </w:rPr>
              <w:t>0.554629</w:t>
            </w:r>
          </w:p>
        </w:tc>
        <w:tc>
          <w:tcPr>
            <w:tcW w:type="dxa" w:w="1337"/>
          </w:tcPr>
          <w:p>
            <w:r/>
            <w:r>
              <w:rPr>
                <w:sz w:val="15"/>
              </w:rPr>
              <w:t>log10</w:t>
            </w:r>
          </w:p>
        </w:tc>
        <w:tc>
          <w:tcPr>
            <w:tcW w:type="dxa" w:w="1337"/>
          </w:tcPr>
          <w:p>
            <w:r/>
            <w:r>
              <w:rPr>
                <w:sz w:val="15"/>
              </w:rPr>
              <w:t>21978</w:t>
            </w:r>
          </w:p>
        </w:tc>
        <w:tc>
          <w:tcPr>
            <w:tcW w:type="dxa" w:w="1337"/>
          </w:tcPr>
          <w:p>
            <w:r/>
            <w:r>
              <w:rPr>
                <w:sz w:val="15"/>
              </w:rPr>
              <w:t>30</w:t>
            </w:r>
          </w:p>
        </w:tc>
      </w:tr>
      <w:tr>
        <w:tc>
          <w:tcPr>
            <w:tcW w:type="dxa" w:w="1337"/>
          </w:tcPr>
          <w:p>
            <w:r/>
            <w:r>
              <w:rPr>
                <w:sz w:val="15"/>
              </w:rPr>
              <w:t>log10 nFrags</w:t>
            </w:r>
          </w:p>
        </w:tc>
        <w:tc>
          <w:tcPr>
            <w:tcW w:type="dxa" w:w="1337"/>
          </w:tcPr>
          <w:p>
            <w:r/>
            <w:r>
              <w:rPr>
                <w:sz w:val="15"/>
              </w:rPr>
              <w:t>nFrags</w:t>
            </w:r>
          </w:p>
        </w:tc>
        <w:tc>
          <w:tcPr>
            <w:tcW w:type="dxa" w:w="1337"/>
          </w:tcPr>
          <w:p>
            <w:r/>
            <w:r>
              <w:rPr>
                <w:sz w:val="15"/>
              </w:rPr>
              <w:t>rna_leiden</w:t>
            </w:r>
          </w:p>
        </w:tc>
        <w:tc>
          <w:tcPr>
            <w:tcW w:type="dxa" w:w="1337"/>
          </w:tcPr>
          <w:p>
            <w:r/>
            <w:r>
              <w:rPr>
                <w:sz w:val="15"/>
              </w:rPr>
              <w:t>0.10157</w:t>
            </w:r>
          </w:p>
        </w:tc>
        <w:tc>
          <w:tcPr>
            <w:tcW w:type="dxa" w:w="1337"/>
          </w:tcPr>
          <w:p>
            <w:r/>
            <w:r>
              <w:rPr>
                <w:sz w:val="15"/>
              </w:rPr>
              <w:t>log10</w:t>
            </w:r>
          </w:p>
        </w:tc>
        <w:tc>
          <w:tcPr>
            <w:tcW w:type="dxa" w:w="1337"/>
          </w:tcPr>
          <w:p>
            <w:r/>
            <w:r>
              <w:rPr>
                <w:sz w:val="15"/>
              </w:rPr>
              <w:t>21978</w:t>
            </w:r>
          </w:p>
        </w:tc>
        <w:tc>
          <w:tcPr>
            <w:tcW w:type="dxa" w:w="1337"/>
          </w:tcPr>
          <w:p>
            <w:r/>
            <w:r>
              <w:rPr>
                <w:sz w:val="15"/>
              </w:rPr>
              <w:t>20</w:t>
            </w:r>
          </w:p>
        </w:tc>
      </w:tr>
      <w:tr>
        <w:tc>
          <w:tcPr>
            <w:tcW w:type="dxa" w:w="1337"/>
          </w:tcPr>
          <w:p>
            <w:r/>
            <w:r>
              <w:rPr>
                <w:sz w:val="15"/>
              </w:rPr>
              <w:t>log10 ReadsInTSS</w:t>
            </w:r>
          </w:p>
        </w:tc>
        <w:tc>
          <w:tcPr>
            <w:tcW w:type="dxa" w:w="1337"/>
          </w:tcPr>
          <w:p>
            <w:r/>
            <w:r>
              <w:rPr>
                <w:sz w:val="15"/>
              </w:rPr>
              <w:t>ReadsInTSS</w:t>
            </w:r>
          </w:p>
        </w:tc>
        <w:tc>
          <w:tcPr>
            <w:tcW w:type="dxa" w:w="1337"/>
          </w:tcPr>
          <w:p>
            <w:r/>
            <w:r>
              <w:rPr>
                <w:sz w:val="15"/>
              </w:rPr>
              <w:t>atac_leiden</w:t>
            </w:r>
          </w:p>
        </w:tc>
        <w:tc>
          <w:tcPr>
            <w:tcW w:type="dxa" w:w="1337"/>
          </w:tcPr>
          <w:p>
            <w:r/>
            <w:r>
              <w:rPr>
                <w:sz w:val="15"/>
              </w:rPr>
              <w:t>0.498693</w:t>
            </w:r>
          </w:p>
        </w:tc>
        <w:tc>
          <w:tcPr>
            <w:tcW w:type="dxa" w:w="1337"/>
          </w:tcPr>
          <w:p>
            <w:r/>
            <w:r>
              <w:rPr>
                <w:sz w:val="15"/>
              </w:rPr>
              <w:t>log10</w:t>
            </w:r>
          </w:p>
        </w:tc>
        <w:tc>
          <w:tcPr>
            <w:tcW w:type="dxa" w:w="1337"/>
          </w:tcPr>
          <w:p>
            <w:r/>
            <w:r>
              <w:rPr>
                <w:sz w:val="15"/>
              </w:rPr>
              <w:t>21978</w:t>
            </w:r>
          </w:p>
        </w:tc>
        <w:tc>
          <w:tcPr>
            <w:tcW w:type="dxa" w:w="1337"/>
          </w:tcPr>
          <w:p>
            <w:r/>
            <w:r>
              <w:rPr>
                <w:sz w:val="15"/>
              </w:rPr>
              <w:t>30</w:t>
            </w:r>
          </w:p>
        </w:tc>
      </w:tr>
      <w:tr>
        <w:tc>
          <w:tcPr>
            <w:tcW w:type="dxa" w:w="1337"/>
          </w:tcPr>
          <w:p>
            <w:r/>
            <w:r>
              <w:rPr>
                <w:sz w:val="15"/>
              </w:rPr>
              <w:t>log10 ReadsInTSS</w:t>
            </w:r>
          </w:p>
        </w:tc>
        <w:tc>
          <w:tcPr>
            <w:tcW w:type="dxa" w:w="1337"/>
          </w:tcPr>
          <w:p>
            <w:r/>
            <w:r>
              <w:rPr>
                <w:sz w:val="15"/>
              </w:rPr>
              <w:t>ReadsInTSS</w:t>
            </w:r>
          </w:p>
        </w:tc>
        <w:tc>
          <w:tcPr>
            <w:tcW w:type="dxa" w:w="1337"/>
          </w:tcPr>
          <w:p>
            <w:r/>
            <w:r>
              <w:rPr>
                <w:sz w:val="15"/>
              </w:rPr>
              <w:t>rna_leiden</w:t>
            </w:r>
          </w:p>
        </w:tc>
        <w:tc>
          <w:tcPr>
            <w:tcW w:type="dxa" w:w="1337"/>
          </w:tcPr>
          <w:p>
            <w:r/>
            <w:r>
              <w:rPr>
                <w:sz w:val="15"/>
              </w:rPr>
              <w:t>0.174031</w:t>
            </w:r>
          </w:p>
        </w:tc>
        <w:tc>
          <w:tcPr>
            <w:tcW w:type="dxa" w:w="1337"/>
          </w:tcPr>
          <w:p>
            <w:r/>
            <w:r>
              <w:rPr>
                <w:sz w:val="15"/>
              </w:rPr>
              <w:t>log10</w:t>
            </w:r>
          </w:p>
        </w:tc>
        <w:tc>
          <w:tcPr>
            <w:tcW w:type="dxa" w:w="1337"/>
          </w:tcPr>
          <w:p>
            <w:r/>
            <w:r>
              <w:rPr>
                <w:sz w:val="15"/>
              </w:rPr>
              <w:t>21978</w:t>
            </w:r>
          </w:p>
        </w:tc>
        <w:tc>
          <w:tcPr>
            <w:tcW w:type="dxa" w:w="1337"/>
          </w:tcPr>
          <w:p>
            <w:r/>
            <w:r>
              <w:rPr>
                <w:sz w:val="15"/>
              </w:rPr>
              <w:t>20</w:t>
            </w:r>
          </w:p>
        </w:tc>
      </w:tr>
      <w:tr>
        <w:tc>
          <w:tcPr>
            <w:tcW w:type="dxa" w:w="1337"/>
          </w:tcPr>
          <w:p>
            <w:r/>
            <w:r>
              <w:rPr>
                <w:sz w:val="15"/>
              </w:rPr>
              <w:t>DoubletEnrichment</w:t>
            </w:r>
          </w:p>
        </w:tc>
        <w:tc>
          <w:tcPr>
            <w:tcW w:type="dxa" w:w="1337"/>
          </w:tcPr>
          <w:p>
            <w:r/>
            <w:r>
              <w:rPr>
                <w:sz w:val="15"/>
              </w:rPr>
              <w:t>DoubletEnrichment</w:t>
            </w:r>
          </w:p>
        </w:tc>
        <w:tc>
          <w:tcPr>
            <w:tcW w:type="dxa" w:w="1337"/>
          </w:tcPr>
          <w:p>
            <w:r/>
            <w:r>
              <w:rPr>
                <w:sz w:val="15"/>
              </w:rPr>
              <w:t>atac_leiden</w:t>
            </w:r>
          </w:p>
        </w:tc>
        <w:tc>
          <w:tcPr>
            <w:tcW w:type="dxa" w:w="1337"/>
          </w:tcPr>
          <w:p>
            <w:r/>
            <w:r>
              <w:rPr>
                <w:sz w:val="15"/>
              </w:rPr>
              <w:t>0.161544</w:t>
            </w:r>
          </w:p>
        </w:tc>
        <w:tc>
          <w:tcPr>
            <w:tcW w:type="dxa" w:w="1337"/>
          </w:tcPr>
          <w:p>
            <w:r/>
            <w:r>
              <w:rPr>
                <w:sz w:val="15"/>
              </w:rPr>
              <w:t>none</w:t>
            </w:r>
          </w:p>
        </w:tc>
        <w:tc>
          <w:tcPr>
            <w:tcW w:type="dxa" w:w="1337"/>
          </w:tcPr>
          <w:p>
            <w:r/>
            <w:r>
              <w:rPr>
                <w:sz w:val="15"/>
              </w:rPr>
              <w:t>21978</w:t>
            </w:r>
          </w:p>
        </w:tc>
        <w:tc>
          <w:tcPr>
            <w:tcW w:type="dxa" w:w="1337"/>
          </w:tcPr>
          <w:p>
            <w:r/>
            <w:r>
              <w:rPr>
                <w:sz w:val="15"/>
              </w:rPr>
              <w:t>30</w:t>
            </w:r>
          </w:p>
        </w:tc>
      </w:tr>
      <w:tr>
        <w:tc>
          <w:tcPr>
            <w:tcW w:type="dxa" w:w="1337"/>
          </w:tcPr>
          <w:p>
            <w:r/>
            <w:r>
              <w:rPr>
                <w:sz w:val="15"/>
              </w:rPr>
              <w:t>DoubletEnrichment</w:t>
            </w:r>
          </w:p>
        </w:tc>
        <w:tc>
          <w:tcPr>
            <w:tcW w:type="dxa" w:w="1337"/>
          </w:tcPr>
          <w:p>
            <w:r/>
            <w:r>
              <w:rPr>
                <w:sz w:val="15"/>
              </w:rPr>
              <w:t>DoubletEnrichment</w:t>
            </w:r>
          </w:p>
        </w:tc>
        <w:tc>
          <w:tcPr>
            <w:tcW w:type="dxa" w:w="1337"/>
          </w:tcPr>
          <w:p>
            <w:r/>
            <w:r>
              <w:rPr>
                <w:sz w:val="15"/>
              </w:rPr>
              <w:t>rna_leiden</w:t>
            </w:r>
          </w:p>
        </w:tc>
        <w:tc>
          <w:tcPr>
            <w:tcW w:type="dxa" w:w="1337"/>
          </w:tcPr>
          <w:p>
            <w:r/>
            <w:r>
              <w:rPr>
                <w:sz w:val="15"/>
              </w:rPr>
              <w:t>0.051957</w:t>
            </w:r>
          </w:p>
        </w:tc>
        <w:tc>
          <w:tcPr>
            <w:tcW w:type="dxa" w:w="1337"/>
          </w:tcPr>
          <w:p>
            <w:r/>
            <w:r>
              <w:rPr>
                <w:sz w:val="15"/>
              </w:rPr>
              <w:t>none</w:t>
            </w:r>
          </w:p>
        </w:tc>
        <w:tc>
          <w:tcPr>
            <w:tcW w:type="dxa" w:w="1337"/>
          </w:tcPr>
          <w:p>
            <w:r/>
            <w:r>
              <w:rPr>
                <w:sz w:val="15"/>
              </w:rPr>
              <w:t>21978</w:t>
            </w:r>
          </w:p>
        </w:tc>
        <w:tc>
          <w:tcPr>
            <w:tcW w:type="dxa" w:w="1337"/>
          </w:tcPr>
          <w:p>
            <w:r/>
            <w:r>
              <w:rPr>
                <w:sz w:val="15"/>
              </w:rPr>
              <w:t>20</w:t>
            </w:r>
          </w:p>
        </w:tc>
      </w:tr>
      <w:tr>
        <w:tc>
          <w:tcPr>
            <w:tcW w:type="dxa" w:w="1337"/>
          </w:tcPr>
          <w:p>
            <w:r/>
            <w:r>
              <w:rPr>
                <w:sz w:val="15"/>
              </w:rPr>
              <w:t>PromoterRatio</w:t>
            </w:r>
          </w:p>
        </w:tc>
        <w:tc>
          <w:tcPr>
            <w:tcW w:type="dxa" w:w="1337"/>
          </w:tcPr>
          <w:p>
            <w:r/>
            <w:r>
              <w:rPr>
                <w:sz w:val="15"/>
              </w:rPr>
              <w:t>PromoterRatio</w:t>
            </w:r>
          </w:p>
        </w:tc>
        <w:tc>
          <w:tcPr>
            <w:tcW w:type="dxa" w:w="1337"/>
          </w:tcPr>
          <w:p>
            <w:r/>
            <w:r>
              <w:rPr>
                <w:sz w:val="15"/>
              </w:rPr>
              <w:t>atac_leiden</w:t>
            </w:r>
          </w:p>
        </w:tc>
        <w:tc>
          <w:tcPr>
            <w:tcW w:type="dxa" w:w="1337"/>
          </w:tcPr>
          <w:p>
            <w:r/>
            <w:r>
              <w:rPr>
                <w:sz w:val="15"/>
              </w:rPr>
              <w:t>0.141002</w:t>
            </w:r>
          </w:p>
        </w:tc>
        <w:tc>
          <w:tcPr>
            <w:tcW w:type="dxa" w:w="1337"/>
          </w:tcPr>
          <w:p>
            <w:r/>
            <w:r>
              <w:rPr>
                <w:sz w:val="15"/>
              </w:rPr>
              <w:t>none</w:t>
            </w:r>
          </w:p>
        </w:tc>
        <w:tc>
          <w:tcPr>
            <w:tcW w:type="dxa" w:w="1337"/>
          </w:tcPr>
          <w:p>
            <w:r/>
            <w:r>
              <w:rPr>
                <w:sz w:val="15"/>
              </w:rPr>
              <w:t>21978</w:t>
            </w:r>
          </w:p>
        </w:tc>
        <w:tc>
          <w:tcPr>
            <w:tcW w:type="dxa" w:w="1337"/>
          </w:tcPr>
          <w:p>
            <w:r/>
            <w:r>
              <w:rPr>
                <w:sz w:val="15"/>
              </w:rPr>
              <w:t>30</w:t>
            </w:r>
          </w:p>
        </w:tc>
      </w:tr>
      <w:tr>
        <w:tc>
          <w:tcPr>
            <w:tcW w:type="dxa" w:w="1337"/>
          </w:tcPr>
          <w:p>
            <w:r/>
            <w:r>
              <w:rPr>
                <w:sz w:val="15"/>
              </w:rPr>
              <w:t>PromoterRatio</w:t>
            </w:r>
          </w:p>
        </w:tc>
        <w:tc>
          <w:tcPr>
            <w:tcW w:type="dxa" w:w="1337"/>
          </w:tcPr>
          <w:p>
            <w:r/>
            <w:r>
              <w:rPr>
                <w:sz w:val="15"/>
              </w:rPr>
              <w:t>PromoterRatio</w:t>
            </w:r>
          </w:p>
        </w:tc>
        <w:tc>
          <w:tcPr>
            <w:tcW w:type="dxa" w:w="1337"/>
          </w:tcPr>
          <w:p>
            <w:r/>
            <w:r>
              <w:rPr>
                <w:sz w:val="15"/>
              </w:rPr>
              <w:t>rna_leiden</w:t>
            </w:r>
          </w:p>
        </w:tc>
        <w:tc>
          <w:tcPr>
            <w:tcW w:type="dxa" w:w="1337"/>
          </w:tcPr>
          <w:p>
            <w:r/>
            <w:r>
              <w:rPr>
                <w:sz w:val="15"/>
              </w:rPr>
              <w:t>0.094058</w:t>
            </w:r>
          </w:p>
        </w:tc>
        <w:tc>
          <w:tcPr>
            <w:tcW w:type="dxa" w:w="1337"/>
          </w:tcPr>
          <w:p>
            <w:r/>
            <w:r>
              <w:rPr>
                <w:sz w:val="15"/>
              </w:rPr>
              <w:t>none</w:t>
            </w:r>
          </w:p>
        </w:tc>
        <w:tc>
          <w:tcPr>
            <w:tcW w:type="dxa" w:w="1337"/>
          </w:tcPr>
          <w:p>
            <w:r/>
            <w:r>
              <w:rPr>
                <w:sz w:val="15"/>
              </w:rPr>
              <w:t>21978</w:t>
            </w:r>
          </w:p>
        </w:tc>
        <w:tc>
          <w:tcPr>
            <w:tcW w:type="dxa" w:w="1337"/>
          </w:tcPr>
          <w:p>
            <w:r/>
            <w:r>
              <w:rPr>
                <w:sz w:val="15"/>
              </w:rPr>
              <w:t>20</w:t>
            </w:r>
          </w:p>
        </w:tc>
      </w:tr>
    </w:tbl>
    <w:p>
      <w:r>
        <w:rPr>
          <w:i/>
          <w:color w:val="444444"/>
          <w:sz w:val="17"/>
        </w:rPr>
        <w:t>Source: module3_qc_association.tsv</w:t>
      </w:r>
    </w:p>
    <w:p>
      <w:pPr>
        <w:jc w:val="center"/>
      </w:pPr>
      <w:r>
        <w:drawing>
          <wp:inline xmlns:a="http://schemas.openxmlformats.org/drawingml/2006/main" xmlns:pic="http://schemas.openxmlformats.org/drawingml/2006/picture">
            <wp:extent cx="5943600" cy="2889185"/>
            <wp:docPr id="5" name="Picture 5"/>
            <wp:cNvGraphicFramePr>
              <a:graphicFrameLocks noChangeAspect="1"/>
            </wp:cNvGraphicFramePr>
            <a:graphic>
              <a:graphicData uri="http://schemas.openxmlformats.org/drawingml/2006/picture">
                <pic:pic>
                  <pic:nvPicPr>
                    <pic:cNvPr id="0" name="module3_qc_association.png"/>
                    <pic:cNvPicPr/>
                  </pic:nvPicPr>
                  <pic:blipFill>
                    <a:blip r:embed="rId15"/>
                    <a:stretch>
                      <a:fillRect/>
                    </a:stretch>
                  </pic:blipFill>
                  <pic:spPr>
                    <a:xfrm>
                      <a:off x="0" y="0"/>
                      <a:ext cx="5943600" cy="2889185"/>
                    </a:xfrm>
                    <a:prstGeom prst="rect"/>
                  </pic:spPr>
                </pic:pic>
              </a:graphicData>
            </a:graphic>
          </wp:inline>
        </w:drawing>
      </w:r>
    </w:p>
    <w:p>
      <w:pPr>
        <w:jc w:val="center"/>
      </w:pPr>
      <w:r>
        <w:rPr>
          <w:i/>
          <w:color w:val="444444"/>
          <w:sz w:val="18"/>
        </w:rPr>
        <w:t>Eta squared of ATAC QC metrics under ATAC Leiden versus RNA Leiden</w:t>
      </w:r>
    </w:p>
    <w:p>
      <w:pPr>
        <w:spacing w:after="140"/>
      </w:pPr>
      <w:r>
        <w:rPr>
          <w:b/>
          <w:sz w:val="21"/>
        </w:rPr>
        <w:t>Finding.</w:t>
      </w:r>
      <w:r>
        <w:rPr>
          <w:sz w:val="21"/>
        </w:rPr>
        <w:t xml:space="preserve"> ATAC Leiden is near chance against Azimuth cell type. The same clustering tracks sequencing depth (log10 fragment counts and log10 reads in TSS). RNA Leiden does not. On this product the ATAC gene-activity view encodes depth, not cell identity.</w:t>
      </w:r>
    </w:p>
    <w:p>
      <w:pPr>
        <w:pStyle w:val="Heading4"/>
      </w:pPr>
      <w:r>
        <w:rPr>
          <w:color w:val="1F4E79"/>
        </w:rPr>
        <w:t>Weighted nearest neighbor concordance</w:t>
      </w:r>
    </w:p>
    <w:p>
      <w:pPr>
        <w:jc w:val="center"/>
      </w:pPr>
      <w:r>
        <w:drawing>
          <wp:inline xmlns:a="http://schemas.openxmlformats.org/drawingml/2006/main" xmlns:pic="http://schemas.openxmlformats.org/drawingml/2006/picture">
            <wp:extent cx="5943600" cy="2471286"/>
            <wp:docPr id="6" name="Picture 6"/>
            <wp:cNvGraphicFramePr>
              <a:graphicFrameLocks noChangeAspect="1"/>
            </wp:cNvGraphicFramePr>
            <a:graphic>
              <a:graphicData uri="http://schemas.openxmlformats.org/drawingml/2006/picture">
                <pic:pic>
                  <pic:nvPicPr>
                    <pic:cNvPr id="0" name="module3_wnn_umap.png"/>
                    <pic:cNvPicPr/>
                  </pic:nvPicPr>
                  <pic:blipFill>
                    <a:blip r:embed="rId16"/>
                    <a:stretch>
                      <a:fillRect/>
                    </a:stretch>
                  </pic:blipFill>
                  <pic:spPr>
                    <a:xfrm>
                      <a:off x="0" y="0"/>
                      <a:ext cx="5943600" cy="2471286"/>
                    </a:xfrm>
                    <a:prstGeom prst="rect"/>
                  </pic:spPr>
                </pic:pic>
              </a:graphicData>
            </a:graphic>
          </wp:inline>
        </w:drawing>
      </w:r>
    </w:p>
    <w:p>
      <w:pPr>
        <w:jc w:val="center"/>
      </w:pPr>
      <w:r>
        <w:rPr>
          <w:i/>
          <w:color w:val="444444"/>
          <w:sz w:val="18"/>
        </w:rPr>
        <w:t>WNN UMAP colored by Azimuth label and by ATAC Leiden</w:t>
      </w:r>
    </w:p>
    <w:p>
      <w:pPr>
        <w:spacing w:after="140"/>
      </w:pPr>
      <w:r>
        <w:rPr>
          <w:sz w:val="21"/>
        </w:rPr>
        <w:t xml:space="preserve">Read the WNN rows of </w:t>
      </w:r>
      <w:r>
        <w:rPr>
          <w:rFonts w:ascii="Menlo" w:hAnsi="Menlo"/>
          <w:color w:val="1A3E6E"/>
          <w:sz w:val="19"/>
        </w:rPr>
        <w:t>module3_cluster_concordance.tsv</w:t>
      </w:r>
      <w:r>
        <w:rPr>
          <w:sz w:val="21"/>
        </w:rPr>
        <w:t>. WNN agrees with RNA Leiden more than with ATAC Leiden, and it agrees with Azimuth less than RNA Leiden does. The joint embedding that looks successful is leaning on RNA.</w:t>
      </w:r>
    </w:p>
    <w:p>
      <w:pPr>
        <w:pStyle w:val="Heading4"/>
      </w:pPr>
      <w:r>
        <w:rPr>
          <w:color w:val="1F4E79"/>
        </w:rPr>
        <w:t>Gene bridge and focus genes</w:t>
      </w:r>
    </w:p>
    <w:p>
      <w:pPr>
        <w:jc w:val="center"/>
      </w:pPr>
      <w:r>
        <w:drawing>
          <wp:inline xmlns:a="http://schemas.openxmlformats.org/drawingml/2006/main" xmlns:pic="http://schemas.openxmlformats.org/drawingml/2006/picture">
            <wp:extent cx="5943600" cy="5310266"/>
            <wp:docPr id="7" name="Picture 7"/>
            <wp:cNvGraphicFramePr>
              <a:graphicFrameLocks noChangeAspect="1"/>
            </wp:cNvGraphicFramePr>
            <a:graphic>
              <a:graphicData uri="http://schemas.openxmlformats.org/drawingml/2006/picture">
                <pic:pic>
                  <pic:nvPicPr>
                    <pic:cNvPr id="0" name="module3_rna_atac_scatter.png"/>
                    <pic:cNvPicPr/>
                  </pic:nvPicPr>
                  <pic:blipFill>
                    <a:blip r:embed="rId17"/>
                    <a:stretch>
                      <a:fillRect/>
                    </a:stretch>
                  </pic:blipFill>
                  <pic:spPr>
                    <a:xfrm>
                      <a:off x="0" y="0"/>
                      <a:ext cx="5943600" cy="5310266"/>
                    </a:xfrm>
                    <a:prstGeom prst="rect"/>
                  </pic:spPr>
                </pic:pic>
              </a:graphicData>
            </a:graphic>
          </wp:inline>
        </w:drawing>
      </w:r>
    </w:p>
    <w:p>
      <w:pPr>
        <w:jc w:val="center"/>
      </w:pPr>
      <w:r>
        <w:rPr>
          <w:i/>
          <w:color w:val="444444"/>
          <w:sz w:val="18"/>
        </w:rPr>
        <w:t>Scatter of RNA vs ATAC feature dispersion for shared genes in the MOFA input space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gene_symbol</w:t>
            </w:r>
          </w:p>
        </w:tc>
        <w:tc>
          <w:tcPr>
            <w:tcW w:type="dxa" w:w="1872"/>
            <w:shd w:val="clear" w:fill="DCE6F1"/>
          </w:tcPr>
          <w:p>
            <w:r/>
            <w:r>
              <w:rPr>
                <w:b/>
                <w:sz w:val="17"/>
              </w:rPr>
              <w:t>scope</w:t>
            </w:r>
          </w:p>
        </w:tc>
        <w:tc>
          <w:tcPr>
            <w:tcW w:type="dxa" w:w="1872"/>
            <w:shd w:val="clear" w:fill="DCE6F1"/>
          </w:tcPr>
          <w:p>
            <w:r/>
            <w:r>
              <w:rPr>
                <w:b/>
                <w:sz w:val="17"/>
              </w:rPr>
              <w:t>n_nuclei</w:t>
            </w:r>
          </w:p>
        </w:tc>
        <w:tc>
          <w:tcPr>
            <w:tcW w:type="dxa" w:w="1872"/>
            <w:shd w:val="clear" w:fill="DCE6F1"/>
          </w:tcPr>
          <w:p>
            <w:r/>
            <w:r>
              <w:rPr>
                <w:b/>
                <w:sz w:val="17"/>
              </w:rPr>
              <w:t>pearson_r</w:t>
            </w:r>
          </w:p>
        </w:tc>
        <w:tc>
          <w:tcPr>
            <w:tcW w:type="dxa" w:w="1872"/>
            <w:shd w:val="clear" w:fill="DCE6F1"/>
          </w:tcPr>
          <w:p>
            <w:r/>
            <w:r>
              <w:rPr>
                <w:b/>
                <w:sz w:val="17"/>
              </w:rPr>
              <w:t>note</w:t>
            </w:r>
          </w:p>
        </w:tc>
      </w:tr>
      <w:tr>
        <w:tc>
          <w:tcPr>
            <w:tcW w:type="dxa" w:w="1872"/>
          </w:tcPr>
          <w:p>
            <w:r/>
            <w:r>
              <w:rPr>
                <w:sz w:val="17"/>
              </w:rPr>
              <w:t>AGER</w:t>
            </w:r>
          </w:p>
        </w:tc>
        <w:tc>
          <w:tcPr>
            <w:tcW w:type="dxa" w:w="1872"/>
          </w:tcPr>
          <w:p>
            <w:r/>
            <w:r>
              <w:rPr>
                <w:sz w:val="17"/>
              </w:rPr>
              <w:t>global</w:t>
            </w:r>
          </w:p>
        </w:tc>
        <w:tc>
          <w:tcPr>
            <w:tcW w:type="dxa" w:w="1872"/>
          </w:tcPr>
          <w:p>
            <w:r/>
            <w:r>
              <w:rPr>
                <w:sz w:val="17"/>
              </w:rPr>
              <w:t>21978</w:t>
            </w:r>
          </w:p>
        </w:tc>
        <w:tc>
          <w:tcPr>
            <w:tcW w:type="dxa" w:w="1872"/>
          </w:tcPr>
          <w:p>
            <w:r/>
            <w:r>
              <w:rPr>
                <w:sz w:val="17"/>
              </w:rPr>
              <w:t>-0.006238</w:t>
            </w:r>
          </w:p>
        </w:tc>
        <w:tc>
          <w:tcPr>
            <w:tcW w:type="dxa" w:w="1872"/>
          </w:tcPr>
          <w:p>
            <w:r/>
          </w:p>
        </w:tc>
      </w:tr>
      <w:tr>
        <w:tc>
          <w:tcPr>
            <w:tcW w:type="dxa" w:w="1872"/>
          </w:tcPr>
          <w:p>
            <w:r/>
            <w:r>
              <w:rPr>
                <w:sz w:val="17"/>
              </w:rPr>
              <w:t>SCGB1A1</w:t>
            </w:r>
          </w:p>
        </w:tc>
        <w:tc>
          <w:tcPr>
            <w:tcW w:type="dxa" w:w="1872"/>
          </w:tcPr>
          <w:p>
            <w:r/>
            <w:r>
              <w:rPr>
                <w:sz w:val="17"/>
              </w:rPr>
              <w:t>global</w:t>
            </w:r>
          </w:p>
        </w:tc>
        <w:tc>
          <w:tcPr>
            <w:tcW w:type="dxa" w:w="1872"/>
          </w:tcPr>
          <w:p>
            <w:r/>
            <w:r>
              <w:rPr>
                <w:sz w:val="17"/>
              </w:rPr>
              <w:t>21978</w:t>
            </w:r>
          </w:p>
        </w:tc>
        <w:tc>
          <w:tcPr>
            <w:tcW w:type="dxa" w:w="1872"/>
          </w:tcPr>
          <w:p>
            <w:r/>
            <w:r>
              <w:rPr>
                <w:sz w:val="17"/>
              </w:rPr>
              <w:t>0.001598</w:t>
            </w:r>
          </w:p>
        </w:tc>
        <w:tc>
          <w:tcPr>
            <w:tcW w:type="dxa" w:w="1872"/>
          </w:tcPr>
          <w:p>
            <w:r/>
          </w:p>
        </w:tc>
      </w:tr>
      <w:tr>
        <w:tc>
          <w:tcPr>
            <w:tcW w:type="dxa" w:w="1872"/>
          </w:tcPr>
          <w:p>
            <w:r/>
            <w:r>
              <w:rPr>
                <w:sz w:val="17"/>
              </w:rPr>
              <w:t>LUM</w:t>
            </w:r>
          </w:p>
        </w:tc>
        <w:tc>
          <w:tcPr>
            <w:tcW w:type="dxa" w:w="1872"/>
          </w:tcPr>
          <w:p>
            <w:r/>
            <w:r>
              <w:rPr>
                <w:sz w:val="17"/>
              </w:rPr>
              <w:t>global</w:t>
            </w:r>
          </w:p>
        </w:tc>
        <w:tc>
          <w:tcPr>
            <w:tcW w:type="dxa" w:w="1872"/>
          </w:tcPr>
          <w:p>
            <w:r/>
            <w:r>
              <w:rPr>
                <w:sz w:val="17"/>
              </w:rPr>
              <w:t>21978</w:t>
            </w:r>
          </w:p>
        </w:tc>
        <w:tc>
          <w:tcPr>
            <w:tcW w:type="dxa" w:w="1872"/>
          </w:tcPr>
          <w:p>
            <w:r/>
            <w:r>
              <w:rPr>
                <w:sz w:val="17"/>
              </w:rPr>
              <w:t>-0.007713</w:t>
            </w:r>
          </w:p>
        </w:tc>
        <w:tc>
          <w:tcPr>
            <w:tcW w:type="dxa" w:w="1872"/>
          </w:tcPr>
          <w:p>
            <w:r/>
          </w:p>
        </w:tc>
      </w:tr>
      <w:tr>
        <w:tc>
          <w:tcPr>
            <w:tcW w:type="dxa" w:w="1872"/>
          </w:tcPr>
          <w:p>
            <w:r/>
            <w:r>
              <w:rPr>
                <w:sz w:val="17"/>
              </w:rPr>
              <w:t>ACTA2</w:t>
            </w:r>
          </w:p>
        </w:tc>
        <w:tc>
          <w:tcPr>
            <w:tcW w:type="dxa" w:w="1872"/>
          </w:tcPr>
          <w:p>
            <w:r/>
            <w:r>
              <w:rPr>
                <w:sz w:val="17"/>
              </w:rPr>
              <w:t>global</w:t>
            </w:r>
          </w:p>
        </w:tc>
        <w:tc>
          <w:tcPr>
            <w:tcW w:type="dxa" w:w="1872"/>
          </w:tcPr>
          <w:p>
            <w:r/>
            <w:r>
              <w:rPr>
                <w:sz w:val="17"/>
              </w:rPr>
              <w:t>21978</w:t>
            </w:r>
          </w:p>
        </w:tc>
        <w:tc>
          <w:tcPr>
            <w:tcW w:type="dxa" w:w="1872"/>
          </w:tcPr>
          <w:p>
            <w:r/>
            <w:r>
              <w:rPr>
                <w:sz w:val="17"/>
              </w:rPr>
              <w:t>0.002102</w:t>
            </w:r>
          </w:p>
        </w:tc>
        <w:tc>
          <w:tcPr>
            <w:tcW w:type="dxa" w:w="1872"/>
          </w:tcPr>
          <w:p>
            <w:r/>
          </w:p>
        </w:tc>
      </w:tr>
      <w:tr>
        <w:tc>
          <w:tcPr>
            <w:tcW w:type="dxa" w:w="1872"/>
          </w:tcPr>
          <w:p>
            <w:r/>
            <w:r>
              <w:rPr>
                <w:sz w:val="17"/>
              </w:rPr>
              <w:t>AGER</w:t>
            </w:r>
          </w:p>
        </w:tc>
        <w:tc>
          <w:tcPr>
            <w:tcW w:type="dxa" w:w="1872"/>
          </w:tcPr>
          <w:p>
            <w:r/>
            <w:r>
              <w:rPr>
                <w:sz w:val="17"/>
              </w:rPr>
              <w:t>within_cell_type</w:t>
            </w:r>
          </w:p>
        </w:tc>
        <w:tc>
          <w:tcPr>
            <w:tcW w:type="dxa" w:w="1872"/>
          </w:tcPr>
          <w:p>
            <w:r/>
            <w:r>
              <w:rPr>
                <w:sz w:val="17"/>
              </w:rPr>
              <w:t>2210</w:t>
            </w:r>
          </w:p>
        </w:tc>
        <w:tc>
          <w:tcPr>
            <w:tcW w:type="dxa" w:w="1872"/>
          </w:tcPr>
          <w:p>
            <w:r/>
            <w:r>
              <w:rPr>
                <w:sz w:val="17"/>
              </w:rPr>
              <w:t>-0.030638</w:t>
            </w:r>
          </w:p>
        </w:tc>
        <w:tc>
          <w:tcPr>
            <w:tcW w:type="dxa" w:w="1872"/>
          </w:tcPr>
          <w:p>
            <w:r/>
          </w:p>
        </w:tc>
      </w:tr>
      <w:tr>
        <w:tc>
          <w:tcPr>
            <w:tcW w:type="dxa" w:w="1872"/>
          </w:tcPr>
          <w:p>
            <w:r/>
            <w:r>
              <w:rPr>
                <w:sz w:val="17"/>
              </w:rPr>
              <w:t>SCGB1A1</w:t>
            </w:r>
          </w:p>
        </w:tc>
        <w:tc>
          <w:tcPr>
            <w:tcW w:type="dxa" w:w="1872"/>
          </w:tcPr>
          <w:p>
            <w:r/>
            <w:r>
              <w:rPr>
                <w:sz w:val="17"/>
              </w:rPr>
              <w:t>within_cell_type</w:t>
            </w:r>
          </w:p>
        </w:tc>
        <w:tc>
          <w:tcPr>
            <w:tcW w:type="dxa" w:w="1872"/>
          </w:tcPr>
          <w:p>
            <w:r/>
            <w:r>
              <w:rPr>
                <w:sz w:val="17"/>
              </w:rPr>
              <w:t>37</w:t>
            </w:r>
          </w:p>
        </w:tc>
        <w:tc>
          <w:tcPr>
            <w:tcW w:type="dxa" w:w="1872"/>
          </w:tcPr>
          <w:p>
            <w:r/>
            <w:r>
              <w:rPr>
                <w:sz w:val="17"/>
              </w:rPr>
              <w:t>0.108276</w:t>
            </w:r>
          </w:p>
        </w:tc>
        <w:tc>
          <w:tcPr>
            <w:tcW w:type="dxa" w:w="1872"/>
          </w:tcPr>
          <w:p>
            <w:r/>
            <w:r>
              <w:rPr>
                <w:sz w:val="17"/>
              </w:rPr>
              <w:t>n_nuclei=37 below threshold 50; correlation not interpretable</w:t>
            </w:r>
          </w:p>
        </w:tc>
      </w:tr>
      <w:tr>
        <w:tc>
          <w:tcPr>
            <w:tcW w:type="dxa" w:w="1872"/>
          </w:tcPr>
          <w:p>
            <w:r/>
            <w:r>
              <w:rPr>
                <w:sz w:val="17"/>
              </w:rPr>
              <w:t>LUM</w:t>
            </w:r>
          </w:p>
        </w:tc>
        <w:tc>
          <w:tcPr>
            <w:tcW w:type="dxa" w:w="1872"/>
          </w:tcPr>
          <w:p>
            <w:r/>
            <w:r>
              <w:rPr>
                <w:sz w:val="17"/>
              </w:rPr>
              <w:t>within_cell_type</w:t>
            </w:r>
          </w:p>
        </w:tc>
        <w:tc>
          <w:tcPr>
            <w:tcW w:type="dxa" w:w="1872"/>
          </w:tcPr>
          <w:p>
            <w:r/>
            <w:r>
              <w:rPr>
                <w:sz w:val="17"/>
              </w:rPr>
              <w:t>1750</w:t>
            </w:r>
          </w:p>
        </w:tc>
        <w:tc>
          <w:tcPr>
            <w:tcW w:type="dxa" w:w="1872"/>
          </w:tcPr>
          <w:p>
            <w:r/>
            <w:r>
              <w:rPr>
                <w:sz w:val="17"/>
              </w:rPr>
              <w:t>-0.035931</w:t>
            </w:r>
          </w:p>
        </w:tc>
        <w:tc>
          <w:tcPr>
            <w:tcW w:type="dxa" w:w="1872"/>
          </w:tcPr>
          <w:p>
            <w:r/>
          </w:p>
        </w:tc>
      </w:tr>
      <w:tr>
        <w:tc>
          <w:tcPr>
            <w:tcW w:type="dxa" w:w="1872"/>
          </w:tcPr>
          <w:p>
            <w:r/>
            <w:r>
              <w:rPr>
                <w:sz w:val="17"/>
              </w:rPr>
              <w:t>ACTA2</w:t>
            </w:r>
          </w:p>
        </w:tc>
        <w:tc>
          <w:tcPr>
            <w:tcW w:type="dxa" w:w="1872"/>
          </w:tcPr>
          <w:p>
            <w:r/>
            <w:r>
              <w:rPr>
                <w:sz w:val="17"/>
              </w:rPr>
              <w:t>within_cell_type</w:t>
            </w:r>
          </w:p>
        </w:tc>
        <w:tc>
          <w:tcPr>
            <w:tcW w:type="dxa" w:w="1872"/>
          </w:tcPr>
          <w:p>
            <w:r/>
            <w:r>
              <w:rPr>
                <w:sz w:val="17"/>
              </w:rPr>
              <w:t>343</w:t>
            </w:r>
          </w:p>
        </w:tc>
        <w:tc>
          <w:tcPr>
            <w:tcW w:type="dxa" w:w="1872"/>
          </w:tcPr>
          <w:p>
            <w:r/>
            <w:r>
              <w:rPr>
                <w:sz w:val="17"/>
              </w:rPr>
              <w:t>0.04819</w:t>
            </w:r>
          </w:p>
        </w:tc>
        <w:tc>
          <w:tcPr>
            <w:tcW w:type="dxa" w:w="1872"/>
          </w:tcPr>
          <w:p>
            <w:r/>
          </w:p>
        </w:tc>
      </w:tr>
    </w:tbl>
    <w:p>
      <w:r>
        <w:rPr>
          <w:i/>
          <w:color w:val="444444"/>
          <w:sz w:val="17"/>
        </w:rPr>
        <w:t>5 further columns in the source file. Source: module3_focus_gene_correlations.tsv</w:t>
      </w:r>
    </w:p>
    <w:p>
      <w:pPr>
        <w:jc w:val="center"/>
      </w:pPr>
      <w:r>
        <w:drawing>
          <wp:inline xmlns:a="http://schemas.openxmlformats.org/drawingml/2006/main" xmlns:pic="http://schemas.openxmlformats.org/drawingml/2006/picture">
            <wp:extent cx="5943600" cy="3072458"/>
            <wp:docPr id="8" name="Picture 8"/>
            <wp:cNvGraphicFramePr>
              <a:graphicFrameLocks noChangeAspect="1"/>
            </wp:cNvGraphicFramePr>
            <a:graphic>
              <a:graphicData uri="http://schemas.openxmlformats.org/drawingml/2006/picture">
                <pic:pic>
                  <pic:nvPicPr>
                    <pic:cNvPr id="0" name="module3_focus_gene_correlations.png"/>
                    <pic:cNvPicPr/>
                  </pic:nvPicPr>
                  <pic:blipFill>
                    <a:blip r:embed="rId18"/>
                    <a:stretch>
                      <a:fillRect/>
                    </a:stretch>
                  </pic:blipFill>
                  <pic:spPr>
                    <a:xfrm>
                      <a:off x="0" y="0"/>
                      <a:ext cx="5943600" cy="3072458"/>
                    </a:xfrm>
                    <a:prstGeom prst="rect"/>
                  </pic:spPr>
                </pic:pic>
              </a:graphicData>
            </a:graphic>
          </wp:inline>
        </w:drawing>
      </w:r>
    </w:p>
    <w:p>
      <w:pPr>
        <w:jc w:val="center"/>
      </w:pPr>
      <w:r>
        <w:rPr>
          <w:i/>
          <w:color w:val="444444"/>
          <w:sz w:val="18"/>
        </w:rPr>
        <w:t>Focus-gene RNA vs ATAC correlations, global and within cell type</w:t>
      </w:r>
    </w:p>
    <w:p>
      <w:pPr>
        <w:spacing w:after="140"/>
      </w:pPr>
      <w:r>
        <w:rPr>
          <w:sz w:val="21"/>
        </w:rPr>
        <w:t xml:space="preserve">Shared HUGO symbols and genome-wide correlations are in </w:t>
      </w:r>
      <w:r>
        <w:rPr>
          <w:rFonts w:ascii="Menlo" w:hAnsi="Menlo"/>
          <w:color w:val="1A3E6E"/>
          <w:sz w:val="19"/>
        </w:rPr>
        <w:t>module3_rna_atac_gene_bridge.tsv</w:t>
      </w:r>
      <w:r>
        <w:rPr>
          <w:sz w:val="21"/>
        </w:rPr>
        <w:t xml:space="preserve"> (row count) and its figure caption. Within-cell-type rows are now populated because the cache supplies Azimuth labels. Low-n groups are flagged rather than reported as bare missing values.</w:t>
      </w:r>
    </w:p>
    <w:p>
      <w:pPr>
        <w:pStyle w:val="Heading1"/>
      </w:pPr>
      <w:r>
        <w:rPr>
          <w:color w:val="1F4E79"/>
        </w:rPr>
        <w:t>5. Interpretation</w:t>
      </w:r>
    </w:p>
    <w:p>
      <w:pPr>
        <w:spacing w:after="140"/>
      </w:pPr>
      <w:r>
        <w:rPr>
          <w:sz w:val="21"/>
        </w:rPr>
        <w:t>Module 3 teaches how to interrogate a real multiome product without forcing a shared-factor story the object does not support.</w:t>
      </w:r>
    </w:p>
    <w:p>
      <w:pPr>
        <w:spacing w:after="140"/>
      </w:pPr>
      <w:r>
        <w:rPr>
          <w:sz w:val="21"/>
        </w:rPr>
        <w:t xml:space="preserve">This object is a legitimate multiome: paired RNA and ATAC in the same nuclei, with a matched 10x snRNA block from the same section. The ATAC </w:t>
      </w:r>
      <w:r>
        <w:rPr>
          <w:b/>
          <w:sz w:val="21"/>
        </w:rPr>
        <w:t>gene-activity</w:t>
      </w:r>
      <w:r>
        <w:rPr>
          <w:sz w:val="21"/>
        </w:rPr>
        <w:t xml:space="preserve"> representation is not a legitimate basis for integration on this product. Those two statements are not in conflict.</w:t>
      </w:r>
    </w:p>
    <w:p>
      <w:pPr>
        <w:spacing w:after="140"/>
      </w:pPr>
      <w:r>
        <w:rPr>
          <w:b/>
          <w:sz w:val="21"/>
        </w:rPr>
        <w:t>What the results support.</w:t>
      </w:r>
    </w:p>
    <w:p>
      <w:pPr>
        <w:pStyle w:val="ListBullet"/>
        <w:spacing w:after="40"/>
      </w:pPr>
      <w:r>
        <w:rPr>
          <w:sz w:val="21"/>
        </w:rPr>
        <w:t>MOFA did not fail as a method. RNA factors track cell identity.</w:t>
      </w:r>
    </w:p>
    <w:p>
      <w:pPr>
        <w:pStyle w:val="ListBullet"/>
        <w:spacing w:after="40"/>
      </w:pPr>
      <w:r>
        <w:rPr>
          <w:sz w:val="21"/>
        </w:rPr>
        <w:t>The ATAC gene-activity view carries no detectable cell-type information, and its clustering tracks sequencing depth.</w:t>
      </w:r>
    </w:p>
    <w:p>
      <w:pPr>
        <w:pStyle w:val="ListBullet"/>
        <w:spacing w:after="40"/>
      </w:pPr>
      <w:r>
        <w:rPr>
          <w:sz w:val="21"/>
        </w:rPr>
        <w:t>WNN produces a joint embedding by following RNA, and it matches Azimuth less well than RNA alone.</w:t>
      </w:r>
    </w:p>
    <w:p>
      <w:pPr>
        <w:pStyle w:val="ListBullet"/>
        <w:spacing w:after="40"/>
      </w:pPr>
      <w:r>
        <w:rPr>
          <w:sz w:val="21"/>
        </w:rPr>
        <w:t>Factor dominance and dead factors remain first-class results: they constrain claims about joint latent biology.</w:t>
      </w:r>
    </w:p>
    <w:p>
      <w:pPr>
        <w:spacing w:after="140"/>
      </w:pPr>
      <w:r>
        <w:rPr>
          <w:sz w:val="21"/>
        </w:rPr>
        <w:t xml:space="preserve">Success here means the files pair, the factor model loads, the variance tables are interpretable, and the diagnostics distinguish method failure from empty ATAC structure. It does </w:t>
      </w:r>
      <w:r>
        <w:rPr>
          <w:b/>
          <w:sz w:val="21"/>
        </w:rPr>
        <w:t>not</w:t>
      </w:r>
      <w:r>
        <w:rPr>
          <w:sz w:val="21"/>
        </w:rPr>
        <w:t xml:space="preserve"> mean RNA and ATAC share a latent axis. If a manuscript claimed shared MOFA factors for this object without showing dual-view R2 and a cell-type check, Module 3 is the counterexample.</w:t>
      </w:r>
    </w:p>
    <w:p>
      <w:pPr>
        <w:spacing w:after="140"/>
      </w:pPr>
      <w:r>
        <w:rPr>
          <w:sz w:val="21"/>
        </w:rPr>
        <w:t>Two limits to name explicitly. Azimuth labels are transferred predictions rather than ground truth. WNN and Azimuth diagnostics are measured on Donor_2 only.</w:t>
      </w:r>
    </w:p>
    <w:p>
      <w:pPr>
        <w:pStyle w:val="Heading1"/>
      </w:pPr>
      <w:r>
        <w:rPr>
          <w:color w:val="1F4E79"/>
        </w:rPr>
        <w:t>6. Extending this analysis</w:t>
      </w:r>
    </w:p>
    <w:p>
      <w:pPr>
        <w:spacing w:after="140"/>
      </w:pPr>
      <w:r>
        <w:rPr>
          <w:sz w:val="21"/>
        </w:rPr>
        <w:t>Each item below names a claim a learner may want to make and the work that would license it.</w:t>
      </w:r>
    </w:p>
    <w:p>
      <w:pPr>
        <w:pStyle w:val="ListBullet"/>
        <w:spacing w:after="40"/>
      </w:pPr>
      <w:r>
        <w:rPr>
          <w:b/>
          <w:sz w:val="21"/>
        </w:rPr>
        <w:t>Whether the depth confound is block-specific.</w:t>
      </w:r>
      <w:r>
        <w:rPr>
          <w:sz w:val="21"/>
        </w:rPr>
        <w:t xml:space="preserve"> </w:t>
      </w:r>
      <w:r>
        <w:rPr>
          <w:rFonts w:ascii="Menlo" w:hAnsi="Menlo"/>
          <w:color w:val="1A3E6E"/>
          <w:sz w:val="19"/>
        </w:rPr>
        <w:t>HBM285.MWNX.593</w:t>
      </w:r>
      <w:r>
        <w:rPr>
          <w:sz w:val="21"/>
        </w:rPr>
        <w:t xml:space="preserve"> is a Donor_3 multiome from a different block, ten libraries against ten. Repeating the QC association there would test whether ATAC gene-activity clustering is depth-driven outside Donor_2.</w:t>
      </w:r>
    </w:p>
    <w:p>
      <w:pPr>
        <w:pStyle w:val="ListBullet"/>
        <w:spacing w:after="40"/>
      </w:pPr>
      <w:r>
        <w:rPr>
          <w:b/>
          <w:sz w:val="21"/>
        </w:rPr>
        <w:t>Peak-level ATAC.</w:t>
      </w:r>
      <w:r>
        <w:rPr>
          <w:sz w:val="21"/>
        </w:rPr>
        <w:t xml:space="preserve"> Differentially accessible regions, motif enrichment, and chromVAR need peak-level data. The shipped ATAC view is gene activity, and that tooling is not in the pinned environment.</w:t>
      </w:r>
    </w:p>
    <w:p>
      <w:pPr>
        <w:pStyle w:val="ListBullet"/>
        <w:spacing w:after="40"/>
      </w:pPr>
      <w:r>
        <w:rPr>
          <w:b/>
          <w:sz w:val="21"/>
        </w:rPr>
        <w:t>The bin-level modality.</w:t>
      </w:r>
      <w:r>
        <w:rPr>
          <w:sz w:val="21"/>
        </w:rPr>
        <w:t xml:space="preserve"> </w:t>
      </w:r>
      <w:r>
        <w:rPr>
          <w:rFonts w:ascii="Menlo" w:hAnsi="Menlo"/>
          <w:color w:val="1A3E6E"/>
          <w:sz w:val="19"/>
        </w:rPr>
        <w:t>atac_cbb</w:t>
      </w:r>
      <w:r>
        <w:rPr>
          <w:sz w:val="21"/>
        </w:rPr>
        <w:t xml:space="preserve"> is present in the MuData object with chromosome and bin coordinates. It is not in the MOFA object and is not on the teaching path (</w:t>
      </w:r>
      <w:r>
        <w:rPr>
          <w:rFonts w:ascii="Menlo" w:hAnsi="Menlo"/>
          <w:color w:val="1A3E6E"/>
          <w:sz w:val="19"/>
        </w:rPr>
        <w:t>use_atac_bin: false</w:t>
      </w:r>
      <w:r>
        <w:rPr>
          <w:sz w:val="21"/>
        </w:rPr>
        <w:t>).</w:t>
      </w:r>
    </w:p>
    <w:p>
      <w:pPr>
        <w:pStyle w:val="ListBullet"/>
        <w:spacing w:after="40"/>
      </w:pPr>
      <w:r>
        <w:rPr>
          <w:b/>
          <w:sz w:val="21"/>
        </w:rPr>
        <w:t>Refitting MOFA.</w:t>
      </w:r>
      <w:r>
        <w:rPr>
          <w:sz w:val="21"/>
        </w:rPr>
        <w:t xml:space="preserve"> The lesson reads a DCC fit (</w:t>
      </w:r>
      <w:r>
        <w:rPr>
          <w:rFonts w:ascii="Menlo" w:hAnsi="Menlo"/>
          <w:color w:val="1A3E6E"/>
          <w:sz w:val="19"/>
        </w:rPr>
        <w:t>interpretation_only: true</w:t>
      </w:r>
      <w:r>
        <w:rPr>
          <w:sz w:val="21"/>
        </w:rPr>
        <w:t>). A refit changes the object under discussion and cannot be reproduced identically across environments.</w:t>
      </w:r>
    </w:p>
    <w:p>
      <w:pPr>
        <w:pStyle w:val="ListBullet"/>
        <w:spacing w:after="40"/>
      </w:pPr>
      <w:r>
        <w:rPr>
          <w:b/>
          <w:sz w:val="21"/>
        </w:rPr>
        <w:t>Independent pairing evidence.</w:t>
      </w:r>
      <w:r>
        <w:rPr>
          <w:sz w:val="21"/>
        </w:rPr>
        <w:t xml:space="preserve"> A barcode crosstab from MuData </w:t>
      </w:r>
      <w:r>
        <w:rPr>
          <w:rFonts w:ascii="Menlo" w:hAnsi="Menlo"/>
          <w:color w:val="1A3E6E"/>
          <w:sz w:val="19"/>
        </w:rPr>
        <w:t>obs</w:t>
      </w:r>
      <w:r>
        <w:rPr>
          <w:sz w:val="21"/>
        </w:rPr>
        <w:t xml:space="preserve"> would confirm shared nuclei independently. The default path asserts pairing from MOFA file construction.</w:t>
      </w:r>
    </w:p>
    <w:p>
      <w:pPr>
        <w:pStyle w:val="ListBullet"/>
        <w:spacing w:after="40"/>
      </w:pPr>
      <w:r>
        <w:rPr>
          <w:b/>
          <w:sz w:val="21"/>
        </w:rPr>
        <w:t>Donor_3 as a second arm.</w:t>
      </w:r>
      <w:r>
        <w:rPr>
          <w:sz w:val="21"/>
        </w:rPr>
        <w:t xml:space="preserve"> Stated as an extension, not run. Donor_3 cannot support a matched snRNA/multiome comparison at any download size, because none of its 10x blocks share a block with its SNARE products.</w:t>
      </w:r>
    </w:p>
    <w:p>
      <w:pPr>
        <w:spacing w:after="140"/>
      </w:pPr>
      <w:r>
        <w:rPr>
          <w:b/>
          <w:sz w:val="21"/>
        </w:rPr>
        <w:t>Forward link.</w:t>
      </w:r>
      <w:r>
        <w:rPr>
          <w:sz w:val="21"/>
        </w:rPr>
        <w:t xml:space="preserve"> Module 4 leaves single-DCC multiome and compares bulk and snRNA-derived contrasts across HuBMAP, GTEx, GEO, and OSDR.</w:t>
      </w:r>
    </w:p>
    <w:p>
      <w:pPr>
        <w:pStyle w:val="Heading1"/>
      </w:pPr>
      <w:r>
        <w:rPr>
          <w:color w:val="1F4E79"/>
        </w:rPr>
        <w:t>7. Open questions</w:t>
      </w:r>
    </w:p>
    <w:p>
      <w:pPr>
        <w:pStyle w:val="ListNumber"/>
        <w:spacing w:after="40"/>
      </w:pPr>
      <w:r>
        <w:rPr>
          <w:sz w:val="21"/>
        </w:rPr>
        <w:t>What evidence shows this is true multiome rather than unpaired same-donor assays, and what does the matched 10x block license that Donor_3 could not?</w:t>
      </w:r>
    </w:p>
    <w:p>
      <w:pPr>
        <w:pStyle w:val="ListNumber"/>
        <w:spacing w:after="40"/>
      </w:pPr>
      <w:r>
        <w:rPr>
          <w:sz w:val="21"/>
        </w:rPr>
        <w:t>Why is this MOFA space not a joint latent space? Quote the max non-dominant R2 from the table.</w:t>
      </w:r>
    </w:p>
    <w:p>
      <w:pPr>
        <w:pStyle w:val="ListNumber"/>
        <w:spacing w:after="40"/>
      </w:pPr>
      <w:r>
        <w:rPr>
          <w:sz w:val="21"/>
        </w:rPr>
        <w:t>What result shows that MOFA still found biology? Quote an eta squared for an RNA factor against Azimuth.</w:t>
      </w:r>
    </w:p>
    <w:p>
      <w:pPr>
        <w:pStyle w:val="ListNumber"/>
        <w:spacing w:after="40"/>
      </w:pPr>
      <w:r>
        <w:rPr>
          <w:sz w:val="21"/>
        </w:rPr>
        <w:t>Why is the ATAC gene-activity view not a legitimate basis for integration on this object?</w:t>
      </w:r>
    </w:p>
    <w:p>
      <w:pPr>
        <w:pStyle w:val="ListNumber"/>
        <w:spacing w:after="40"/>
      </w:pPr>
      <w:r>
        <w:rPr>
          <w:sz w:val="21"/>
        </w:rPr>
        <w:t>WNN looks like a joint embedding. What comparison shows that it is leaning on RNA?</w:t>
      </w:r>
    </w:p>
    <w:p>
      <w:pPr>
        <w:pStyle w:val="ListNumber"/>
        <w:spacing w:after="40"/>
      </w:pPr>
      <w:r>
        <w:rPr>
          <w:sz w:val="21"/>
        </w:rPr>
        <w:t>When a within-cell-type focus-gene row is flagged for low n, what claim is still licensed?</w:t>
      </w:r>
    </w:p>
    <w:p>
      <w:pPr>
        <w:pStyle w:val="ListNumber"/>
        <w:spacing w:after="40"/>
      </w:pPr>
      <w:r>
        <w:rPr>
          <w:sz w:val="21"/>
        </w:rPr>
        <w:t>Factor1 carries the largest single share of ATAC variance yet tracks no cell-type label, no cluster assignment and no recorded QC metric, while sitting at eta squared 0.488 against the WNN clustering. WNN takes the ATAC representation as an input. What does that shared input explain, and what does it leave open?</w:t>
      </w:r>
    </w:p>
    <w:p>
      <w:r>
        <w:br w:type="page"/>
      </w:r>
    </w:p>
    <w:p>
      <w:pPr>
        <w:pStyle w:val="Heading1"/>
      </w:pPr>
      <w:r>
        <w:rPr>
          <w:color w:val="1F4E79"/>
        </w:rPr>
        <w:t>Appendix A: Analysis parameters</w:t>
      </w:r>
    </w:p>
    <w:p>
      <w:pPr>
        <w:spacing w:after="140"/>
      </w:pPr>
      <w:r>
        <w:rPr>
          <w:sz w:val="21"/>
        </w:rPr>
        <w:t xml:space="preserve">Live config values under </w:t>
      </w:r>
      <w:r>
        <w:rPr>
          <w:rFonts w:ascii="Menlo" w:hAnsi="Menlo"/>
          <w:color w:val="1A3E6E"/>
          <w:sz w:val="19"/>
        </w:rPr>
        <w:t>module3</w:t>
      </w:r>
      <w:r>
        <w:rPr>
          <w:sz w:val="21"/>
        </w:rPr>
        <w:t xml:space="preserve"> in </w:t>
      </w:r>
      <w:r>
        <w:rPr>
          <w:rFonts w:ascii="Menlo" w:hAnsi="Menlo"/>
          <w:color w:val="1A3E6E"/>
          <w:sz w:val="19"/>
        </w:rPr>
        <w:t>config/paths.yaml</w:t>
      </w:r>
      <w:r>
        <w:rPr>
          <w:sz w:val="21"/>
        </w:rPr>
        <w:t>, in Methods order.</w:t>
      </w:r>
    </w:p>
    <w:p>
      <w:pPr>
        <w:pStyle w:val="Heading4"/>
      </w:pPr>
      <w:r>
        <w:rPr>
          <w:color w:val="1F4E79"/>
        </w:rPr>
        <w:t>1. Default path: interpret shipped MOFA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module3.params.load_h5mu</w:t>
            </w:r>
          </w:p>
        </w:tc>
        <w:tc>
          <w:tcPr>
            <w:tcW w:type="dxa" w:w="1872"/>
          </w:tcPr>
          <w:p>
            <w:r/>
            <w:r>
              <w:rPr>
                <w:rFonts w:ascii="Menlo" w:hAnsi="Menlo"/>
                <w:color w:val="1A3E6E"/>
                <w:sz w:val="15"/>
              </w:rPr>
              <w:t>false</w:t>
            </w:r>
          </w:p>
        </w:tc>
        <w:tc>
          <w:tcPr>
            <w:tcW w:type="dxa" w:w="1872"/>
          </w:tcPr>
          <w:p>
            <w:r/>
            <w:r>
              <w:rPr>
                <w:sz w:val="17"/>
              </w:rPr>
              <w:t xml:space="preserve">Load full </w:t>
            </w:r>
            <w:r>
              <w:rPr>
                <w:rFonts w:ascii="Menlo" w:hAnsi="Menlo"/>
                <w:color w:val="1A3E6E"/>
                <w:sz w:val="15"/>
              </w:rPr>
              <w:t>secondary_analysis.h5mu</w:t>
            </w:r>
          </w:p>
        </w:tc>
        <w:tc>
          <w:tcPr>
            <w:tcW w:type="dxa" w:w="1872"/>
          </w:tcPr>
          <w:p>
            <w:r/>
            <w:r>
              <w:rPr>
                <w:sz w:val="17"/>
              </w:rPr>
              <w:t xml:space="preserve">Set </w:t>
            </w:r>
            <w:r>
              <w:rPr>
                <w:rFonts w:ascii="Menlo" w:hAnsi="Menlo"/>
                <w:color w:val="1A3E6E"/>
                <w:sz w:val="15"/>
              </w:rPr>
              <w:t>true</w:t>
            </w:r>
          </w:p>
        </w:tc>
        <w:tc>
          <w:tcPr>
            <w:tcW w:type="dxa" w:w="1872"/>
          </w:tcPr>
          <w:p>
            <w:r/>
            <w:r>
              <w:rPr>
                <w:sz w:val="17"/>
              </w:rPr>
              <w:t>Enables MuData UMAP/layers; large RAM/download; not required</w:t>
            </w:r>
          </w:p>
        </w:tc>
      </w:tr>
      <w:tr>
        <w:tc>
          <w:tcPr>
            <w:tcW w:type="dxa" w:w="1872"/>
          </w:tcPr>
          <w:p>
            <w:r/>
            <w:r>
              <w:rPr>
                <w:rFonts w:ascii="Menlo" w:hAnsi="Menlo"/>
                <w:color w:val="1A3E6E"/>
                <w:sz w:val="15"/>
              </w:rPr>
              <w:t>module3.params.interpretation_only</w:t>
            </w:r>
          </w:p>
        </w:tc>
        <w:tc>
          <w:tcPr>
            <w:tcW w:type="dxa" w:w="1872"/>
          </w:tcPr>
          <w:p>
            <w:r/>
            <w:r>
              <w:rPr>
                <w:rFonts w:ascii="Menlo" w:hAnsi="Menlo"/>
                <w:color w:val="1A3E6E"/>
                <w:sz w:val="15"/>
              </w:rPr>
              <w:t>true</w:t>
            </w:r>
          </w:p>
        </w:tc>
        <w:tc>
          <w:tcPr>
            <w:tcW w:type="dxa" w:w="1872"/>
          </w:tcPr>
          <w:p>
            <w:r/>
            <w:r>
              <w:rPr>
                <w:sz w:val="17"/>
              </w:rPr>
              <w:t>Skip MOFA refit; read shipped factors</w:t>
            </w:r>
          </w:p>
        </w:tc>
        <w:tc>
          <w:tcPr>
            <w:tcW w:type="dxa" w:w="1872"/>
          </w:tcPr>
          <w:p>
            <w:r/>
            <w:r>
              <w:rPr>
                <w:sz w:val="17"/>
              </w:rPr>
              <w:t xml:space="preserve">Set </w:t>
            </w:r>
            <w:r>
              <w:rPr>
                <w:rFonts w:ascii="Menlo" w:hAnsi="Menlo"/>
                <w:color w:val="1A3E6E"/>
                <w:sz w:val="15"/>
              </w:rPr>
              <w:t>false</w:t>
            </w:r>
          </w:p>
        </w:tc>
        <w:tc>
          <w:tcPr>
            <w:tcW w:type="dxa" w:w="1872"/>
          </w:tcPr>
          <w:p>
            <w:r/>
            <w:r>
              <w:rPr>
                <w:sz w:val="17"/>
              </w:rPr>
              <w:t>Out of scope for class; non-identical refits</w:t>
            </w:r>
          </w:p>
        </w:tc>
      </w:tr>
      <w:tr>
        <w:tc>
          <w:tcPr>
            <w:tcW w:type="dxa" w:w="1872"/>
          </w:tcPr>
          <w:p>
            <w:r/>
            <w:r>
              <w:rPr>
                <w:rFonts w:ascii="Menlo" w:hAnsi="Menlo"/>
                <w:color w:val="1A3E6E"/>
                <w:sz w:val="15"/>
              </w:rPr>
              <w:t>module3.files.mofa_hdf5</w:t>
            </w:r>
          </w:p>
        </w:tc>
        <w:tc>
          <w:tcPr>
            <w:tcW w:type="dxa" w:w="1872"/>
          </w:tcPr>
          <w:p>
            <w:r/>
            <w:r>
              <w:rPr>
                <w:rFonts w:ascii="Menlo" w:hAnsi="Menlo"/>
                <w:color w:val="1A3E6E"/>
                <w:sz w:val="15"/>
              </w:rPr>
              <w:t>multiome_mofa.hdf5</w:t>
            </w:r>
          </w:p>
        </w:tc>
        <w:tc>
          <w:tcPr>
            <w:tcW w:type="dxa" w:w="1872"/>
          </w:tcPr>
          <w:p>
            <w:r/>
            <w:r>
              <w:rPr>
                <w:sz w:val="17"/>
              </w:rPr>
              <w:t>Filename under multiome dir</w:t>
            </w:r>
          </w:p>
        </w:tc>
        <w:tc>
          <w:tcPr>
            <w:tcW w:type="dxa" w:w="1872"/>
          </w:tcPr>
          <w:p>
            <w:r/>
            <w:r>
              <w:rPr>
                <w:sz w:val="17"/>
              </w:rPr>
              <w:t>Point elsewhere</w:t>
            </w:r>
          </w:p>
        </w:tc>
        <w:tc>
          <w:tcPr>
            <w:tcW w:type="dxa" w:w="1872"/>
          </w:tcPr>
          <w:p>
            <w:r/>
            <w:r>
              <w:rPr>
                <w:sz w:val="17"/>
              </w:rPr>
              <w:t>Different factor object</w:t>
            </w:r>
          </w:p>
        </w:tc>
      </w:tr>
      <w:tr>
        <w:tc>
          <w:tcPr>
            <w:tcW w:type="dxa" w:w="1872"/>
          </w:tcPr>
          <w:p>
            <w:r/>
            <w:r>
              <w:rPr>
                <w:rFonts w:ascii="Menlo" w:hAnsi="Menlo"/>
                <w:color w:val="1A3E6E"/>
                <w:sz w:val="15"/>
              </w:rPr>
              <w:t>module3.multiome_dir</w:t>
            </w:r>
          </w:p>
        </w:tc>
        <w:tc>
          <w:tcPr>
            <w:tcW w:type="dxa" w:w="1872"/>
          </w:tcPr>
          <w:p>
            <w:r/>
            <w:r>
              <w:rPr>
                <w:rFonts w:ascii="Menlo" w:hAnsi="Menlo"/>
                <w:color w:val="1A3E6E"/>
                <w:sz w:val="15"/>
              </w:rPr>
              <w:t>data/source/HUBMAP/Donor_2/SNAREseq/HBM828.GPVG.252</w:t>
            </w:r>
          </w:p>
        </w:tc>
        <w:tc>
          <w:tcPr>
            <w:tcW w:type="dxa" w:w="1872"/>
          </w:tcPr>
          <w:p>
            <w:r/>
            <w:r>
              <w:rPr>
                <w:sz w:val="17"/>
              </w:rPr>
              <w:t>Local product directory</w:t>
            </w:r>
          </w:p>
        </w:tc>
        <w:tc>
          <w:tcPr>
            <w:tcW w:type="dxa" w:w="1872"/>
          </w:tcPr>
          <w:p>
            <w:r/>
            <w:r>
              <w:rPr>
                <w:sz w:val="17"/>
              </w:rPr>
              <w:t>Relocate</w:t>
            </w:r>
          </w:p>
        </w:tc>
        <w:tc>
          <w:tcPr>
            <w:tcW w:type="dxa" w:w="1872"/>
          </w:tcPr>
          <w:p>
            <w:r/>
            <w:r>
              <w:rPr>
                <w:sz w:val="17"/>
              </w:rPr>
              <w:t>Path resolution</w:t>
            </w:r>
          </w:p>
        </w:tc>
      </w:tr>
      <w:tr>
        <w:tc>
          <w:tcPr>
            <w:tcW w:type="dxa" w:w="1872"/>
          </w:tcPr>
          <w:p>
            <w:r/>
            <w:r>
              <w:rPr>
                <w:rFonts w:ascii="Menlo" w:hAnsi="Menlo"/>
                <w:color w:val="1A3E6E"/>
                <w:sz w:val="15"/>
              </w:rPr>
              <w:t>module3.donor_label</w:t>
            </w:r>
          </w:p>
        </w:tc>
        <w:tc>
          <w:tcPr>
            <w:tcW w:type="dxa" w:w="1872"/>
          </w:tcPr>
          <w:p>
            <w:r/>
            <w:r>
              <w:rPr>
                <w:rFonts w:ascii="Menlo" w:hAnsi="Menlo"/>
                <w:color w:val="1A3E6E"/>
                <w:sz w:val="15"/>
              </w:rPr>
              <w:t>Donor_2</w:t>
            </w:r>
          </w:p>
        </w:tc>
        <w:tc>
          <w:tcPr>
            <w:tcW w:type="dxa" w:w="1872"/>
          </w:tcPr>
          <w:p>
            <w:r/>
            <w:r>
              <w:rPr>
                <w:sz w:val="17"/>
              </w:rPr>
              <w:t>Teaching donor</w:t>
            </w:r>
          </w:p>
        </w:tc>
        <w:tc>
          <w:tcPr>
            <w:tcW w:type="dxa" w:w="1872"/>
          </w:tcPr>
          <w:p>
            <w:r/>
            <w:r>
              <w:rPr>
                <w:sz w:val="17"/>
              </w:rPr>
              <w:t>Change donor</w:t>
            </w:r>
          </w:p>
        </w:tc>
        <w:tc>
          <w:tcPr>
            <w:tcW w:type="dxa" w:w="1872"/>
          </w:tcPr>
          <w:p>
            <w:r/>
            <w:r>
              <w:rPr>
                <w:sz w:val="17"/>
              </w:rPr>
              <w:t>Every Module 3 claim is donor-specific</w:t>
            </w:r>
          </w:p>
        </w:tc>
      </w:tr>
      <w:tr>
        <w:tc>
          <w:tcPr>
            <w:tcW w:type="dxa" w:w="1872"/>
          </w:tcPr>
          <w:p>
            <w:r/>
            <w:r>
              <w:rPr>
                <w:rFonts w:ascii="Menlo" w:hAnsi="Menlo"/>
                <w:color w:val="1A3E6E"/>
                <w:sz w:val="15"/>
              </w:rPr>
              <w:t>module3.dataset_id</w:t>
            </w:r>
          </w:p>
        </w:tc>
        <w:tc>
          <w:tcPr>
            <w:tcW w:type="dxa" w:w="1872"/>
          </w:tcPr>
          <w:p>
            <w:r/>
            <w:r>
              <w:rPr>
                <w:rFonts w:ascii="Menlo" w:hAnsi="Menlo"/>
                <w:color w:val="1A3E6E"/>
                <w:sz w:val="15"/>
              </w:rPr>
              <w:t>HBM828.GPVG.252</w:t>
            </w:r>
          </w:p>
        </w:tc>
        <w:tc>
          <w:tcPr>
            <w:tcW w:type="dxa" w:w="1872"/>
          </w:tcPr>
          <w:p>
            <w:r/>
            <w:r>
              <w:rPr>
                <w:sz w:val="17"/>
              </w:rPr>
              <w:t>Public SNARE product ID (folder name)</w:t>
            </w:r>
          </w:p>
        </w:tc>
        <w:tc>
          <w:tcPr>
            <w:tcW w:type="dxa" w:w="1872"/>
          </w:tcPr>
          <w:p>
            <w:r/>
            <w:r>
              <w:rPr>
                <w:sz w:val="17"/>
              </w:rPr>
              <w:t>Change product</w:t>
            </w:r>
          </w:p>
        </w:tc>
        <w:tc>
          <w:tcPr>
            <w:tcW w:type="dxa" w:w="1872"/>
          </w:tcPr>
          <w:p>
            <w:r/>
            <w:r>
              <w:rPr>
                <w:sz w:val="17"/>
              </w:rPr>
              <w:t>Different object</w:t>
            </w:r>
          </w:p>
        </w:tc>
      </w:tr>
      <w:tr>
        <w:tc>
          <w:tcPr>
            <w:tcW w:type="dxa" w:w="1872"/>
          </w:tcPr>
          <w:p>
            <w:r/>
            <w:r>
              <w:rPr>
                <w:rFonts w:ascii="Menlo" w:hAnsi="Menlo"/>
                <w:color w:val="1A3E6E"/>
                <w:sz w:val="15"/>
              </w:rPr>
              <w:t>module3.modalities.rna</w:t>
            </w:r>
          </w:p>
        </w:tc>
        <w:tc>
          <w:tcPr>
            <w:tcW w:type="dxa" w:w="1872"/>
          </w:tcPr>
          <w:p>
            <w:r/>
            <w:r>
              <w:rPr>
                <w:rFonts w:ascii="Menlo" w:hAnsi="Menlo"/>
                <w:color w:val="1A3E6E"/>
                <w:sz w:val="15"/>
              </w:rPr>
              <w:t>rna</w:t>
            </w:r>
          </w:p>
        </w:tc>
        <w:tc>
          <w:tcPr>
            <w:tcW w:type="dxa" w:w="1872"/>
          </w:tcPr>
          <w:p>
            <w:r/>
            <w:r>
              <w:rPr>
                <w:sz w:val="17"/>
              </w:rPr>
              <w:t>MOFA/MuData RNA view name</w:t>
            </w:r>
          </w:p>
        </w:tc>
        <w:tc>
          <w:tcPr>
            <w:tcW w:type="dxa" w:w="1872"/>
          </w:tcPr>
          <w:p>
            <w:r/>
            <w:r>
              <w:rPr>
                <w:sz w:val="17"/>
              </w:rPr>
              <w:t>Rename</w:t>
            </w:r>
          </w:p>
        </w:tc>
        <w:tc>
          <w:tcPr>
            <w:tcW w:type="dxa" w:w="1872"/>
          </w:tcPr>
          <w:p>
            <w:r/>
            <w:r>
              <w:rPr>
                <w:sz w:val="17"/>
              </w:rPr>
              <w:t>Load fails if view missing</w:t>
            </w:r>
          </w:p>
        </w:tc>
      </w:tr>
      <w:tr>
        <w:tc>
          <w:tcPr>
            <w:tcW w:type="dxa" w:w="1872"/>
          </w:tcPr>
          <w:p>
            <w:r/>
            <w:r>
              <w:rPr>
                <w:rFonts w:ascii="Menlo" w:hAnsi="Menlo"/>
                <w:color w:val="1A3E6E"/>
                <w:sz w:val="15"/>
              </w:rPr>
              <w:t>module3.modalities.atac_gene</w:t>
            </w:r>
          </w:p>
        </w:tc>
        <w:tc>
          <w:tcPr>
            <w:tcW w:type="dxa" w:w="1872"/>
          </w:tcPr>
          <w:p>
            <w:r/>
            <w:r>
              <w:rPr>
                <w:rFonts w:ascii="Menlo" w:hAnsi="Menlo"/>
                <w:color w:val="1A3E6E"/>
                <w:sz w:val="15"/>
              </w:rPr>
              <w:t>atac_cbg</w:t>
            </w:r>
          </w:p>
        </w:tc>
        <w:tc>
          <w:tcPr>
            <w:tcW w:type="dxa" w:w="1872"/>
          </w:tcPr>
          <w:p>
            <w:r/>
            <w:r>
              <w:rPr>
                <w:sz w:val="17"/>
              </w:rPr>
              <w:t>ATAC gene-activity view</w:t>
            </w:r>
          </w:p>
        </w:tc>
        <w:tc>
          <w:tcPr>
            <w:tcW w:type="dxa" w:w="1872"/>
          </w:tcPr>
          <w:p>
            <w:r/>
            <w:r>
              <w:rPr>
                <w:sz w:val="17"/>
              </w:rPr>
              <w:t>Switch</w:t>
            </w:r>
          </w:p>
        </w:tc>
        <w:tc>
          <w:tcPr>
            <w:tcW w:type="dxa" w:w="1872"/>
          </w:tcPr>
          <w:p>
            <w:r/>
            <w:r>
              <w:rPr>
                <w:sz w:val="17"/>
              </w:rPr>
              <w:t>Bridge uses different ATAC features</w:t>
            </w:r>
          </w:p>
        </w:tc>
      </w:tr>
      <w:tr>
        <w:tc>
          <w:tcPr>
            <w:tcW w:type="dxa" w:w="1872"/>
          </w:tcPr>
          <w:p>
            <w:r/>
            <w:r>
              <w:rPr>
                <w:rFonts w:ascii="Menlo" w:hAnsi="Menlo"/>
                <w:color w:val="1A3E6E"/>
                <w:sz w:val="15"/>
              </w:rPr>
              <w:t>module3.modalities.use_atac_bin</w:t>
            </w:r>
          </w:p>
        </w:tc>
        <w:tc>
          <w:tcPr>
            <w:tcW w:type="dxa" w:w="1872"/>
          </w:tcPr>
          <w:p>
            <w:r/>
            <w:r>
              <w:rPr>
                <w:rFonts w:ascii="Menlo" w:hAnsi="Menlo"/>
                <w:color w:val="1A3E6E"/>
                <w:sz w:val="15"/>
              </w:rPr>
              <w:t>false</w:t>
            </w:r>
          </w:p>
        </w:tc>
        <w:tc>
          <w:tcPr>
            <w:tcW w:type="dxa" w:w="1872"/>
          </w:tcPr>
          <w:p>
            <w:r/>
            <w:r>
              <w:rPr>
                <w:sz w:val="17"/>
              </w:rPr>
              <w:t xml:space="preserve">Whether to use </w:t>
            </w:r>
            <w:r>
              <w:rPr>
                <w:rFonts w:ascii="Menlo" w:hAnsi="Menlo"/>
                <w:color w:val="1A3E6E"/>
                <w:sz w:val="15"/>
              </w:rPr>
              <w:t>atac_cbb</w:t>
            </w:r>
          </w:p>
        </w:tc>
        <w:tc>
          <w:tcPr>
            <w:tcW w:type="dxa" w:w="1872"/>
          </w:tcPr>
          <w:p>
            <w:r/>
            <w:r>
              <w:rPr>
                <w:sz w:val="17"/>
              </w:rPr>
              <w:t xml:space="preserve">Set </w:t>
            </w:r>
            <w:r>
              <w:rPr>
                <w:rFonts w:ascii="Menlo" w:hAnsi="Menlo"/>
                <w:color w:val="1A3E6E"/>
                <w:sz w:val="15"/>
              </w:rPr>
              <w:t>true</w:t>
            </w:r>
          </w:p>
        </w:tc>
        <w:tc>
          <w:tcPr>
            <w:tcW w:type="dxa" w:w="1872"/>
          </w:tcPr>
          <w:p>
            <w:r/>
            <w:r>
              <w:rPr>
                <w:sz w:val="17"/>
              </w:rPr>
              <w:t>Adds bin-level ATAC path</w:t>
            </w:r>
          </w:p>
        </w:tc>
      </w:tr>
    </w:tbl>
    <w:p>
      <w:pPr>
        <w:pStyle w:val="Heading4"/>
      </w:pPr>
      <w:r>
        <w:rPr>
          <w:color w:val="1F4E79"/>
        </w:rPr>
        <w:t>2. Barcode pairing check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module3.params.load_h5mu</w:t>
            </w:r>
          </w:p>
        </w:tc>
        <w:tc>
          <w:tcPr>
            <w:tcW w:type="dxa" w:w="1872"/>
          </w:tcPr>
          <w:p>
            <w:r/>
            <w:r>
              <w:rPr>
                <w:rFonts w:ascii="Menlo" w:hAnsi="Menlo"/>
                <w:color w:val="1A3E6E"/>
                <w:sz w:val="15"/>
              </w:rPr>
              <w:t>false</w:t>
            </w:r>
          </w:p>
        </w:tc>
        <w:tc>
          <w:tcPr>
            <w:tcW w:type="dxa" w:w="1872"/>
          </w:tcPr>
          <w:p>
            <w:r/>
            <w:r>
              <w:rPr>
                <w:sz w:val="17"/>
              </w:rPr>
              <w:t>Whether independent MuData barcode sets are available</w:t>
            </w:r>
          </w:p>
        </w:tc>
        <w:tc>
          <w:tcPr>
            <w:tcW w:type="dxa" w:w="1872"/>
          </w:tcPr>
          <w:p>
            <w:r/>
            <w:r>
              <w:rPr>
                <w:sz w:val="17"/>
              </w:rPr>
              <w:t xml:space="preserve">Set </w:t>
            </w:r>
            <w:r>
              <w:rPr>
                <w:rFonts w:ascii="Menlo" w:hAnsi="Menlo"/>
                <w:color w:val="1A3E6E"/>
                <w:sz w:val="15"/>
              </w:rPr>
              <w:t>true</w:t>
            </w:r>
          </w:p>
        </w:tc>
        <w:tc>
          <w:tcPr>
            <w:tcW w:type="dxa" w:w="1872"/>
          </w:tcPr>
          <w:p>
            <w:r/>
            <w:r>
              <w:rPr>
                <w:sz w:val="17"/>
              </w:rPr>
              <w:t>Overlap can be recomputed from MuData obs</w:t>
            </w:r>
          </w:p>
        </w:tc>
      </w:tr>
      <w:tr>
        <w:tc>
          <w:tcPr>
            <w:tcW w:type="dxa" w:w="1872"/>
          </w:tcPr>
          <w:p>
            <w:r/>
            <w:r>
              <w:rPr>
                <w:rFonts w:ascii="Menlo" w:hAnsi="Menlo"/>
                <w:color w:val="1A3E6E"/>
                <w:sz w:val="15"/>
              </w:rPr>
              <w:t>module3.files.secondary_h5mu</w:t>
            </w:r>
          </w:p>
        </w:tc>
        <w:tc>
          <w:tcPr>
            <w:tcW w:type="dxa" w:w="1872"/>
          </w:tcPr>
          <w:p>
            <w:r/>
            <w:r>
              <w:rPr>
                <w:rFonts w:ascii="Menlo" w:hAnsi="Menlo"/>
                <w:color w:val="1A3E6E"/>
                <w:sz w:val="15"/>
              </w:rPr>
              <w:t>secondary_analysis.h5mu</w:t>
            </w:r>
          </w:p>
        </w:tc>
        <w:tc>
          <w:tcPr>
            <w:tcW w:type="dxa" w:w="1872"/>
          </w:tcPr>
          <w:p>
            <w:r/>
            <w:r>
              <w:rPr>
                <w:sz w:val="17"/>
              </w:rPr>
              <w:t>MuData filename when loaded</w:t>
            </w:r>
          </w:p>
        </w:tc>
        <w:tc>
          <w:tcPr>
            <w:tcW w:type="dxa" w:w="1872"/>
          </w:tcPr>
          <w:p>
            <w:r/>
            <w:r>
              <w:rPr>
                <w:sz w:val="17"/>
              </w:rPr>
              <w:t>Missing file</w:t>
            </w:r>
          </w:p>
        </w:tc>
        <w:tc>
          <w:tcPr>
            <w:tcW w:type="dxa" w:w="1872"/>
          </w:tcPr>
          <w:p>
            <w:r/>
            <w:r>
              <w:rPr>
                <w:sz w:val="17"/>
              </w:rPr>
              <w:t>Blocks MuData path only</w:t>
            </w:r>
          </w:p>
        </w:tc>
      </w:tr>
    </w:tbl>
    <w:p>
      <w:pPr>
        <w:pStyle w:val="Heading4"/>
      </w:pPr>
      <w:r>
        <w:rPr>
          <w:color w:val="1F4E79"/>
        </w:rPr>
        <w:t>3. Variance explained and factor dominance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module3.analysis.mofa_variance_max_factor</w:t>
            </w:r>
          </w:p>
        </w:tc>
        <w:tc>
          <w:tcPr>
            <w:tcW w:type="dxa" w:w="1872"/>
          </w:tcPr>
          <w:p>
            <w:r/>
            <w:r>
              <w:rPr>
                <w:rFonts w:ascii="Menlo" w:hAnsi="Menlo"/>
                <w:color w:val="1A3E6E"/>
                <w:sz w:val="15"/>
              </w:rPr>
              <w:t>18</w:t>
            </w:r>
          </w:p>
        </w:tc>
        <w:tc>
          <w:tcPr>
            <w:tcW w:type="dxa" w:w="1872"/>
          </w:tcPr>
          <w:p>
            <w:r/>
            <w:r>
              <w:rPr>
                <w:sz w:val="17"/>
              </w:rPr>
              <w:t>Last factor treated as active for teaching</w:t>
            </w:r>
          </w:p>
        </w:tc>
        <w:tc>
          <w:tcPr>
            <w:tcW w:type="dxa" w:w="1872"/>
          </w:tcPr>
          <w:p>
            <w:r/>
            <w:r>
              <w:rPr>
                <w:sz w:val="17"/>
              </w:rPr>
              <w:t>Raise</w:t>
            </w:r>
          </w:p>
        </w:tc>
        <w:tc>
          <w:tcPr>
            <w:tcW w:type="dxa" w:w="1872"/>
          </w:tcPr>
          <w:p>
            <w:r/>
            <w:r>
              <w:rPr>
                <w:sz w:val="17"/>
              </w:rPr>
              <w:t>May present near-zero factors as active</w:t>
            </w:r>
          </w:p>
        </w:tc>
      </w:tr>
      <w:tr>
        <w:tc>
          <w:tcPr>
            <w:tcW w:type="dxa" w:w="1872"/>
          </w:tcPr>
          <w:p>
            <w:r/>
            <w:r>
              <w:rPr>
                <w:rFonts w:ascii="Menlo" w:hAnsi="Menlo"/>
                <w:color w:val="1A3E6E"/>
                <w:sz w:val="15"/>
              </w:rPr>
              <w:t>module3.analysis.random_seed</w:t>
            </w:r>
          </w:p>
        </w:tc>
        <w:tc>
          <w:tcPr>
            <w:tcW w:type="dxa" w:w="1872"/>
          </w:tcPr>
          <w:p>
            <w:r/>
            <w:r>
              <w:rPr>
                <w:rFonts w:ascii="Menlo" w:hAnsi="Menlo"/>
                <w:color w:val="1A3E6E"/>
                <w:sz w:val="15"/>
              </w:rPr>
              <w:t>0</w:t>
            </w:r>
          </w:p>
        </w:tc>
        <w:tc>
          <w:tcPr>
            <w:tcW w:type="dxa" w:w="1872"/>
          </w:tcPr>
          <w:p>
            <w:r/>
            <w:r>
              <w:rPr>
                <w:sz w:val="17"/>
              </w:rPr>
              <w:t>Seed for any stochastic preview draws</w:t>
            </w:r>
          </w:p>
        </w:tc>
        <w:tc>
          <w:tcPr>
            <w:tcW w:type="dxa" w:w="1872"/>
          </w:tcPr>
          <w:p>
            <w:r/>
            <w:r>
              <w:rPr>
                <w:sz w:val="17"/>
              </w:rPr>
              <w:t>Change</w:t>
            </w:r>
          </w:p>
        </w:tc>
        <w:tc>
          <w:tcPr>
            <w:tcW w:type="dxa" w:w="1872"/>
          </w:tcPr>
          <w:p>
            <w:r/>
            <w:r>
              <w:rPr>
                <w:sz w:val="17"/>
              </w:rPr>
              <w:t>Preview subsample only</w:t>
            </w:r>
          </w:p>
        </w:tc>
      </w:tr>
      <w:tr>
        <w:tc>
          <w:tcPr>
            <w:tcW w:type="dxa" w:w="1872"/>
          </w:tcPr>
          <w:p>
            <w:r/>
            <w:r>
              <w:rPr>
                <w:rFonts w:ascii="Menlo" w:hAnsi="Menlo"/>
                <w:color w:val="1A3E6E"/>
                <w:sz w:val="15"/>
              </w:rPr>
              <w:t>module3.analysis.max_nuclei_preview</w:t>
            </w:r>
          </w:p>
        </w:tc>
        <w:tc>
          <w:tcPr>
            <w:tcW w:type="dxa" w:w="1872"/>
          </w:tcPr>
          <w:p>
            <w:r/>
            <w:r>
              <w:rPr>
                <w:rFonts w:ascii="Menlo" w:hAnsi="Menlo"/>
                <w:color w:val="1A3E6E"/>
                <w:sz w:val="15"/>
              </w:rPr>
              <w:t>5000</w:t>
            </w:r>
          </w:p>
        </w:tc>
        <w:tc>
          <w:tcPr>
            <w:tcW w:type="dxa" w:w="1872"/>
          </w:tcPr>
          <w:p>
            <w:r/>
            <w:r>
              <w:rPr>
                <w:sz w:val="17"/>
              </w:rPr>
              <w:t>Cap when MuData preview embeddings are drawn</w:t>
            </w:r>
          </w:p>
        </w:tc>
        <w:tc>
          <w:tcPr>
            <w:tcW w:type="dxa" w:w="1872"/>
          </w:tcPr>
          <w:p>
            <w:r/>
            <w:r>
              <w:rPr>
                <w:sz w:val="17"/>
              </w:rPr>
              <w:t>Raise</w:t>
            </w:r>
          </w:p>
        </w:tc>
        <w:tc>
          <w:tcPr>
            <w:tcW w:type="dxa" w:w="1872"/>
          </w:tcPr>
          <w:p>
            <w:r/>
            <w:r>
              <w:rPr>
                <w:sz w:val="17"/>
              </w:rPr>
              <w:t>Higher RAM on MuData path</w:t>
            </w:r>
          </w:p>
        </w:tc>
      </w:tr>
    </w:tbl>
    <w:p>
      <w:pPr>
        <w:pStyle w:val="Heading4"/>
      </w:pPr>
      <w:r>
        <w:rPr>
          <w:color w:val="1F4E79"/>
        </w:rPr>
        <w:t>4. Factor association with cell identity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module3.files.label_cache</w:t>
            </w:r>
          </w:p>
        </w:tc>
        <w:tc>
          <w:tcPr>
            <w:tcW w:type="dxa" w:w="1872"/>
          </w:tcPr>
          <w:p>
            <w:r/>
            <w:r>
              <w:rPr>
                <w:rFonts w:ascii="Menlo" w:hAnsi="Menlo"/>
                <w:color w:val="1A3E6E"/>
                <w:sz w:val="15"/>
              </w:rPr>
              <w:t>outputs/tables/module3_label_cache_HBM828.GPVG.252.tsv</w:t>
            </w:r>
          </w:p>
        </w:tc>
        <w:tc>
          <w:tcPr>
            <w:tcW w:type="dxa" w:w="1872"/>
          </w:tcPr>
          <w:p>
            <w:r/>
            <w:r>
              <w:rPr>
                <w:sz w:val="17"/>
              </w:rPr>
              <w:t>Committed Azimuth / WNN cache</w:t>
            </w:r>
          </w:p>
        </w:tc>
        <w:tc>
          <w:tcPr>
            <w:tcW w:type="dxa" w:w="1872"/>
          </w:tcPr>
          <w:p>
            <w:r/>
            <w:r>
              <w:rPr>
                <w:sz w:val="17"/>
              </w:rPr>
              <w:t>Rebuild cache</w:t>
            </w:r>
          </w:p>
        </w:tc>
        <w:tc>
          <w:tcPr>
            <w:tcW w:type="dxa" w:w="1872"/>
          </w:tcPr>
          <w:p>
            <w:r/>
            <w:r>
              <w:rPr>
                <w:sz w:val="17"/>
              </w:rPr>
              <w:t>All labeled diagnostics change</w:t>
            </w:r>
          </w:p>
        </w:tc>
      </w:tr>
      <w:tr>
        <w:tc>
          <w:tcPr>
            <w:tcW w:type="dxa" w:w="1872"/>
          </w:tcPr>
          <w:p>
            <w:r/>
            <w:r>
              <w:rPr>
                <w:rFonts w:ascii="Menlo" w:hAnsi="Menlo"/>
                <w:color w:val="1A3E6E"/>
                <w:sz w:val="15"/>
              </w:rPr>
              <w:t>module3.thresholds.min_label_prediction_score</w:t>
            </w:r>
          </w:p>
        </w:tc>
        <w:tc>
          <w:tcPr>
            <w:tcW w:type="dxa" w:w="1872"/>
          </w:tcPr>
          <w:p>
            <w:r/>
            <w:r>
              <w:rPr>
                <w:rFonts w:ascii="Menlo" w:hAnsi="Menlo"/>
                <w:color w:val="1A3E6E"/>
                <w:sz w:val="15"/>
              </w:rPr>
              <w:t>0.0</w:t>
            </w:r>
          </w:p>
        </w:tc>
        <w:tc>
          <w:tcPr>
            <w:tcW w:type="dxa" w:w="1872"/>
          </w:tcPr>
          <w:p>
            <w:r/>
            <w:r>
              <w:rPr>
                <w:sz w:val="17"/>
              </w:rPr>
              <w:t>Azimuth score floor (off)</w:t>
            </w:r>
          </w:p>
        </w:tc>
        <w:tc>
          <w:tcPr>
            <w:tcW w:type="dxa" w:w="1872"/>
          </w:tcPr>
          <w:p>
            <w:r/>
            <w:r>
              <w:rPr>
                <w:sz w:val="17"/>
              </w:rPr>
              <w:t>Raise</w:t>
            </w:r>
          </w:p>
        </w:tc>
        <w:tc>
          <w:tcPr>
            <w:tcW w:type="dxa" w:w="1872"/>
          </w:tcPr>
          <w:p>
            <w:r/>
            <w:r>
              <w:rPr>
                <w:sz w:val="17"/>
              </w:rPr>
              <w:t>Drops low-confidence labels</w:t>
            </w:r>
          </w:p>
        </w:tc>
      </w:tr>
    </w:tbl>
    <w:p>
      <w:pPr>
        <w:pStyle w:val="Heading4"/>
      </w:pPr>
      <w:r>
        <w:rPr>
          <w:color w:val="1F4E79"/>
        </w:rPr>
        <w:t>5. Content of the ATAC gene-activity view</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module3.thresholds.min_cluster_size</w:t>
            </w:r>
          </w:p>
        </w:tc>
        <w:tc>
          <w:tcPr>
            <w:tcW w:type="dxa" w:w="1872"/>
          </w:tcPr>
          <w:p>
            <w:r/>
            <w:r>
              <w:rPr>
                <w:rFonts w:ascii="Menlo" w:hAnsi="Menlo"/>
                <w:color w:val="1A3E6E"/>
                <w:sz w:val="15"/>
              </w:rPr>
              <w:t>20</w:t>
            </w:r>
          </w:p>
        </w:tc>
        <w:tc>
          <w:tcPr>
            <w:tcW w:type="dxa" w:w="1872"/>
          </w:tcPr>
          <w:p>
            <w:r/>
            <w:r>
              <w:rPr>
                <w:sz w:val="17"/>
              </w:rPr>
              <w:t>Recorded cluster-size floor</w:t>
            </w:r>
          </w:p>
        </w:tc>
        <w:tc>
          <w:tcPr>
            <w:tcW w:type="dxa" w:w="1872"/>
          </w:tcPr>
          <w:p>
            <w:r/>
            <w:r>
              <w:rPr>
                <w:sz w:val="17"/>
              </w:rPr>
              <w:t>Raise</w:t>
            </w:r>
          </w:p>
        </w:tc>
        <w:tc>
          <w:tcPr>
            <w:tcW w:type="dxa" w:w="1872"/>
          </w:tcPr>
          <w:p>
            <w:r/>
            <w:r>
              <w:rPr>
                <w:sz w:val="17"/>
              </w:rPr>
              <w:t>Does not change default ARI; reserved for extensions</w:t>
            </w:r>
          </w:p>
        </w:tc>
      </w:tr>
    </w:tbl>
    <w:p>
      <w:pPr>
        <w:pStyle w:val="Heading4"/>
      </w:pPr>
      <w:r>
        <w:rPr>
          <w:color w:val="1F4E79"/>
        </w:rPr>
        <w:t>6. Weighted nearest neighbor as a second integration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module3.files.label_cache</w:t>
            </w:r>
          </w:p>
        </w:tc>
        <w:tc>
          <w:tcPr>
            <w:tcW w:type="dxa" w:w="1872"/>
          </w:tcPr>
          <w:p>
            <w:r/>
            <w:r>
              <w:rPr>
                <w:sz w:val="17"/>
              </w:rPr>
              <w:t>see section 4</w:t>
            </w:r>
          </w:p>
        </w:tc>
        <w:tc>
          <w:tcPr>
            <w:tcW w:type="dxa" w:w="1872"/>
          </w:tcPr>
          <w:p>
            <w:r/>
            <w:r>
              <w:rPr>
                <w:sz w:val="17"/>
              </w:rPr>
              <w:t xml:space="preserve">Supplies </w:t>
            </w:r>
            <w:r>
              <w:rPr>
                <w:rFonts w:ascii="Menlo" w:hAnsi="Menlo"/>
                <w:color w:val="1A3E6E"/>
                <w:sz w:val="15"/>
              </w:rPr>
              <w:t>leiden_wnn</w:t>
            </w:r>
            <w:r>
              <w:rPr>
                <w:sz w:val="17"/>
              </w:rPr>
              <w:t xml:space="preserve"> and WNN UMAP</w:t>
            </w:r>
          </w:p>
        </w:tc>
        <w:tc>
          <w:tcPr>
            <w:tcW w:type="dxa" w:w="1872"/>
          </w:tcPr>
          <w:p>
            <w:r/>
            <w:r>
              <w:rPr>
                <w:sz w:val="17"/>
              </w:rPr>
              <w:t>Rebuild</w:t>
            </w:r>
          </w:p>
        </w:tc>
        <w:tc>
          <w:tcPr>
            <w:tcW w:type="dxa" w:w="1872"/>
          </w:tcPr>
          <w:p>
            <w:r/>
            <w:r>
              <w:rPr>
                <w:sz w:val="17"/>
              </w:rPr>
              <w:t>WNN comparisons and UMAP change</w:t>
            </w:r>
          </w:p>
        </w:tc>
      </w:tr>
      <w:tr>
        <w:tc>
          <w:tcPr>
            <w:tcW w:type="dxa" w:w="1872"/>
          </w:tcPr>
          <w:p>
            <w:r/>
            <w:r>
              <w:rPr>
                <w:rFonts w:ascii="Menlo" w:hAnsi="Menlo"/>
                <w:color w:val="1A3E6E"/>
                <w:sz w:val="15"/>
              </w:rPr>
              <w:t>module3.matched_snrna.primary_id</w:t>
            </w:r>
          </w:p>
        </w:tc>
        <w:tc>
          <w:tcPr>
            <w:tcW w:type="dxa" w:w="1872"/>
          </w:tcPr>
          <w:p>
            <w:r/>
            <w:r>
              <w:rPr>
                <w:rFonts w:ascii="Menlo" w:hAnsi="Menlo"/>
                <w:color w:val="1A3E6E"/>
                <w:sz w:val="15"/>
              </w:rPr>
              <w:t>HBM473.NKMR.872</w:t>
            </w:r>
          </w:p>
        </w:tc>
        <w:tc>
          <w:tcPr>
            <w:tcW w:type="dxa" w:w="1872"/>
          </w:tcPr>
          <w:p>
            <w:r/>
            <w:r>
              <w:rPr>
                <w:sz w:val="17"/>
              </w:rPr>
              <w:t>Matched 10x snRNA teaching block</w:t>
            </w:r>
          </w:p>
        </w:tc>
        <w:tc>
          <w:tcPr>
            <w:tcW w:type="dxa" w:w="1872"/>
          </w:tcPr>
          <w:p>
            <w:r/>
            <w:r>
              <w:rPr>
                <w:sz w:val="17"/>
              </w:rPr>
              <w:t>Change</w:t>
            </w:r>
          </w:p>
        </w:tc>
        <w:tc>
          <w:tcPr>
            <w:tcW w:type="dxa" w:w="1872"/>
          </w:tcPr>
          <w:p>
            <w:r/>
            <w:r>
              <w:rPr>
                <w:sz w:val="17"/>
              </w:rPr>
              <w:t>Cross-assay language only; no barcode join</w:t>
            </w:r>
          </w:p>
        </w:tc>
      </w:tr>
    </w:tbl>
    <w:p>
      <w:pPr>
        <w:pStyle w:val="Heading4"/>
      </w:pPr>
      <w:r>
        <w:rPr>
          <w:color w:val="1F4E79"/>
        </w:rPr>
        <w:t>7. Genome-wide RNA-ATAC gene bridge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module3.analysis.bridge_metric</w:t>
            </w:r>
          </w:p>
        </w:tc>
        <w:tc>
          <w:tcPr>
            <w:tcW w:type="dxa" w:w="1872"/>
          </w:tcPr>
          <w:p>
            <w:r/>
            <w:r>
              <w:rPr>
                <w:rFonts w:ascii="Menlo" w:hAnsi="Menlo"/>
                <w:color w:val="1A3E6E"/>
                <w:sz w:val="15"/>
              </w:rPr>
              <w:t>feature_std_on_mofa_inputs</w:t>
            </w:r>
          </w:p>
        </w:tc>
        <w:tc>
          <w:tcPr>
            <w:tcW w:type="dxa" w:w="1872"/>
          </w:tcPr>
          <w:p>
            <w:r/>
            <w:r>
              <w:rPr>
                <w:sz w:val="17"/>
              </w:rPr>
              <w:t>Summary used for genome-wide scatter</w:t>
            </w:r>
          </w:p>
        </w:tc>
        <w:tc>
          <w:tcPr>
            <w:tcW w:type="dxa" w:w="1872"/>
          </w:tcPr>
          <w:p>
            <w:r/>
            <w:r>
              <w:rPr>
                <w:sz w:val="17"/>
              </w:rPr>
              <w:t>Change metric</w:t>
            </w:r>
          </w:p>
        </w:tc>
        <w:tc>
          <w:tcPr>
            <w:tcW w:type="dxa" w:w="1872"/>
          </w:tcPr>
          <w:p>
            <w:r/>
            <w:r>
              <w:rPr>
                <w:sz w:val="17"/>
              </w:rPr>
              <w:t>Correlation magnitudes redefine</w:t>
            </w:r>
          </w:p>
        </w:tc>
      </w:tr>
      <w:tr>
        <w:tc>
          <w:tcPr>
            <w:tcW w:type="dxa" w:w="1872"/>
          </w:tcPr>
          <w:p>
            <w:r/>
            <w:r>
              <w:rPr>
                <w:rFonts w:ascii="Menlo" w:hAnsi="Menlo"/>
                <w:color w:val="1A3E6E"/>
                <w:sz w:val="15"/>
              </w:rPr>
              <w:t>module3.analysis.rna_layer</w:t>
            </w:r>
          </w:p>
        </w:tc>
        <w:tc>
          <w:tcPr>
            <w:tcW w:type="dxa" w:w="1872"/>
          </w:tcPr>
          <w:p>
            <w:r/>
            <w:r>
              <w:rPr>
                <w:rFonts w:ascii="Menlo" w:hAnsi="Menlo"/>
                <w:color w:val="1A3E6E"/>
                <w:sz w:val="15"/>
              </w:rPr>
              <w:t>spliced_unspliced_sum</w:t>
            </w:r>
          </w:p>
        </w:tc>
        <w:tc>
          <w:tcPr>
            <w:tcW w:type="dxa" w:w="1872"/>
          </w:tcPr>
          <w:p>
            <w:r/>
            <w:r>
              <w:rPr>
                <w:sz w:val="17"/>
              </w:rPr>
              <w:t>Preferred MuData RNA layer</w:t>
            </w:r>
          </w:p>
        </w:tc>
        <w:tc>
          <w:tcPr>
            <w:tcW w:type="dxa" w:w="1872"/>
          </w:tcPr>
          <w:p>
            <w:r/>
            <w:r>
              <w:rPr>
                <w:sz w:val="17"/>
              </w:rPr>
              <w:t xml:space="preserve">Use </w:t>
            </w:r>
            <w:r>
              <w:rPr>
                <w:rFonts w:ascii="Menlo" w:hAnsi="Menlo"/>
                <w:color w:val="1A3E6E"/>
                <w:sz w:val="15"/>
              </w:rPr>
              <w:t>spliced</w:t>
            </w:r>
            <w:r>
              <w:rPr>
                <w:sz w:val="17"/>
              </w:rPr>
              <w:t xml:space="preserve"> only</w:t>
            </w:r>
          </w:p>
        </w:tc>
        <w:tc>
          <w:tcPr>
            <w:tcW w:type="dxa" w:w="1872"/>
          </w:tcPr>
          <w:p>
            <w:r/>
            <w:r>
              <w:rPr>
                <w:sz w:val="17"/>
              </w:rPr>
              <w:t>Layer-resolved values change on MuData path</w:t>
            </w:r>
          </w:p>
        </w:tc>
      </w:tr>
      <w:tr>
        <w:tc>
          <w:tcPr>
            <w:tcW w:type="dxa" w:w="1872"/>
          </w:tcPr>
          <w:p>
            <w:r/>
            <w:r>
              <w:rPr>
                <w:rFonts w:ascii="Menlo" w:hAnsi="Menlo"/>
                <w:color w:val="1A3E6E"/>
                <w:sz w:val="15"/>
              </w:rPr>
              <w:t>module3.analysis.rna_layer_fallback</w:t>
            </w:r>
          </w:p>
        </w:tc>
        <w:tc>
          <w:tcPr>
            <w:tcW w:type="dxa" w:w="1872"/>
          </w:tcPr>
          <w:p>
            <w:r/>
            <w:r>
              <w:rPr>
                <w:rFonts w:ascii="Menlo" w:hAnsi="Menlo"/>
                <w:color w:val="1A3E6E"/>
                <w:sz w:val="15"/>
              </w:rPr>
              <w:t>spliced</w:t>
            </w:r>
          </w:p>
        </w:tc>
        <w:tc>
          <w:tcPr>
            <w:tcW w:type="dxa" w:w="1872"/>
          </w:tcPr>
          <w:p>
            <w:r/>
            <w:r>
              <w:rPr>
                <w:sz w:val="17"/>
              </w:rPr>
              <w:t>Fallback if preferred layer absent</w:t>
            </w:r>
          </w:p>
        </w:tc>
        <w:tc>
          <w:tcPr>
            <w:tcW w:type="dxa" w:w="1872"/>
          </w:tcPr>
          <w:p>
            <w:r/>
            <w:r>
              <w:rPr>
                <w:sz w:val="17"/>
              </w:rPr>
              <w:t>N/A if preferred exists</w:t>
            </w:r>
          </w:p>
        </w:tc>
        <w:tc>
          <w:tcPr>
            <w:tcW w:type="dxa" w:w="1872"/>
          </w:tcPr>
          <w:p>
            <w:r/>
            <w:r>
              <w:rPr>
                <w:sz w:val="17"/>
              </w:rPr>
              <w:t>Contingency only</w:t>
            </w:r>
          </w:p>
        </w:tc>
      </w:tr>
      <w:tr>
        <w:tc>
          <w:tcPr>
            <w:tcW w:type="dxa" w:w="1872"/>
          </w:tcPr>
          <w:p>
            <w:r/>
            <w:r>
              <w:rPr>
                <w:rFonts w:ascii="Menlo" w:hAnsi="Menlo"/>
                <w:color w:val="1A3E6E"/>
                <w:sz w:val="15"/>
              </w:rPr>
              <w:t>module3.thresholds.noise_delta_r</w:t>
            </w:r>
          </w:p>
        </w:tc>
        <w:tc>
          <w:tcPr>
            <w:tcW w:type="dxa" w:w="1872"/>
          </w:tcPr>
          <w:p>
            <w:r/>
            <w:r>
              <w:rPr>
                <w:rFonts w:ascii="Menlo" w:hAnsi="Menlo"/>
                <w:color w:val="1A3E6E"/>
                <w:sz w:val="15"/>
              </w:rPr>
              <w:t>0.01</w:t>
            </w:r>
          </w:p>
        </w:tc>
        <w:tc>
          <w:tcPr>
            <w:tcW w:type="dxa" w:w="1872"/>
          </w:tcPr>
          <w:p>
            <w:r/>
            <w:r>
              <w:rPr>
                <w:sz w:val="17"/>
              </w:rPr>
              <w:t>Within-type vs global margin treated as noise</w:t>
            </w:r>
          </w:p>
        </w:tc>
        <w:tc>
          <w:tcPr>
            <w:tcW w:type="dxa" w:w="1872"/>
          </w:tcPr>
          <w:p>
            <w:r/>
            <w:r>
              <w:rPr>
                <w:sz w:val="17"/>
              </w:rPr>
              <w:t>Raise</w:t>
            </w:r>
          </w:p>
        </w:tc>
        <w:tc>
          <w:tcPr>
            <w:tcW w:type="dxa" w:w="1872"/>
          </w:tcPr>
          <w:p>
            <w:r/>
            <w:r>
              <w:rPr>
                <w:sz w:val="17"/>
              </w:rPr>
              <w:t>More correlations flagged as noise</w:t>
            </w:r>
          </w:p>
        </w:tc>
      </w:tr>
    </w:tbl>
    <w:p>
      <w:pPr>
        <w:pStyle w:val="Heading4"/>
      </w:pPr>
      <w:r>
        <w:rPr>
          <w:color w:val="1F4E79"/>
        </w:rPr>
        <w:t>8. Focus-gene correlations and low-n guards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module3.analysis.focus_genes</w:t>
            </w:r>
          </w:p>
        </w:tc>
        <w:tc>
          <w:tcPr>
            <w:tcW w:type="dxa" w:w="1872"/>
          </w:tcPr>
          <w:p>
            <w:r/>
            <w:r>
              <w:rPr>
                <w:sz w:val="17"/>
              </w:rPr>
              <w:t>SFTPC, AGER, ...</w:t>
            </w:r>
          </w:p>
        </w:tc>
        <w:tc>
          <w:tcPr>
            <w:tcW w:type="dxa" w:w="1872"/>
          </w:tcPr>
          <w:p>
            <w:r/>
            <w:r>
              <w:rPr>
                <w:sz w:val="17"/>
              </w:rPr>
              <w:t>Genes plotted/correlated</w:t>
            </w:r>
          </w:p>
        </w:tc>
        <w:tc>
          <w:tcPr>
            <w:tcW w:type="dxa" w:w="1872"/>
          </w:tcPr>
          <w:p>
            <w:r/>
            <w:r>
              <w:rPr>
                <w:sz w:val="17"/>
              </w:rPr>
              <w:t>Edit list</w:t>
            </w:r>
          </w:p>
        </w:tc>
        <w:tc>
          <w:tcPr>
            <w:tcW w:type="dxa" w:w="1872"/>
          </w:tcPr>
          <w:p>
            <w:r/>
            <w:r>
              <w:rPr>
                <w:sz w:val="17"/>
              </w:rPr>
              <w:t>Which rows appear; not genome-wide stats</w:t>
            </w:r>
          </w:p>
        </w:tc>
      </w:tr>
      <w:tr>
        <w:tc>
          <w:tcPr>
            <w:tcW w:type="dxa" w:w="1872"/>
          </w:tcPr>
          <w:p>
            <w:r/>
            <w:r>
              <w:rPr>
                <w:rFonts w:ascii="Menlo" w:hAnsi="Menlo"/>
                <w:color w:val="1A3E6E"/>
                <w:sz w:val="15"/>
              </w:rPr>
              <w:t>module3.analysis.focus_gene_cell_types</w:t>
            </w:r>
          </w:p>
        </w:tc>
        <w:tc>
          <w:tcPr>
            <w:tcW w:type="dxa" w:w="1872"/>
          </w:tcPr>
          <w:p>
            <w:r/>
            <w:r>
              <w:rPr>
                <w:sz w:val="17"/>
              </w:rPr>
              <w:t>per-gene Azimuth lists</w:t>
            </w:r>
          </w:p>
        </w:tc>
        <w:tc>
          <w:tcPr>
            <w:tcW w:type="dxa" w:w="1872"/>
          </w:tcPr>
          <w:p>
            <w:r/>
            <w:r>
              <w:rPr>
                <w:sz w:val="17"/>
              </w:rPr>
              <w:t>Expected cell types for within-type n</w:t>
            </w:r>
          </w:p>
        </w:tc>
        <w:tc>
          <w:tcPr>
            <w:tcW w:type="dxa" w:w="1872"/>
          </w:tcPr>
          <w:p>
            <w:r/>
            <w:r>
              <w:rPr>
                <w:sz w:val="17"/>
              </w:rPr>
              <w:t>Edit</w:t>
            </w:r>
          </w:p>
        </w:tc>
        <w:tc>
          <w:tcPr>
            <w:tcW w:type="dxa" w:w="1872"/>
          </w:tcPr>
          <w:p>
            <w:r/>
            <w:r>
              <w:rPr>
                <w:sz w:val="17"/>
              </w:rPr>
              <w:t>Changes within-type n and flags</w:t>
            </w:r>
          </w:p>
        </w:tc>
      </w:tr>
      <w:tr>
        <w:tc>
          <w:tcPr>
            <w:tcW w:type="dxa" w:w="1872"/>
          </w:tcPr>
          <w:p>
            <w:r/>
            <w:r>
              <w:rPr>
                <w:rFonts w:ascii="Menlo" w:hAnsi="Menlo"/>
                <w:color w:val="1A3E6E"/>
                <w:sz w:val="15"/>
              </w:rPr>
              <w:t>module3.analysis.focus_genes_not_in_both_modalities</w:t>
            </w:r>
          </w:p>
        </w:tc>
        <w:tc>
          <w:tcPr>
            <w:tcW w:type="dxa" w:w="1872"/>
          </w:tcPr>
          <w:p>
            <w:r/>
            <w:r>
              <w:rPr>
                <w:rFonts w:ascii="Menlo" w:hAnsi="Menlo"/>
                <w:color w:val="1A3E6E"/>
                <w:sz w:val="15"/>
              </w:rPr>
              <w:t>[EPCAM]</w:t>
            </w:r>
          </w:p>
        </w:tc>
        <w:tc>
          <w:tcPr>
            <w:tcW w:type="dxa" w:w="1872"/>
          </w:tcPr>
          <w:p>
            <w:r/>
            <w:r>
              <w:rPr>
                <w:sz w:val="17"/>
              </w:rPr>
              <w:t>Genes known unpaired</w:t>
            </w:r>
          </w:p>
        </w:tc>
        <w:tc>
          <w:tcPr>
            <w:tcW w:type="dxa" w:w="1872"/>
          </w:tcPr>
          <w:p>
            <w:r/>
            <w:r>
              <w:rPr>
                <w:sz w:val="17"/>
              </w:rPr>
              <w:t>Edit</w:t>
            </w:r>
          </w:p>
        </w:tc>
        <w:tc>
          <w:tcPr>
            <w:tcW w:type="dxa" w:w="1872"/>
          </w:tcPr>
          <w:p>
            <w:r/>
            <w:r>
              <w:rPr>
                <w:sz w:val="17"/>
              </w:rPr>
              <w:t>Documentation of impossible pairs</w:t>
            </w:r>
          </w:p>
        </w:tc>
      </w:tr>
      <w:tr>
        <w:tc>
          <w:tcPr>
            <w:tcW w:type="dxa" w:w="1872"/>
          </w:tcPr>
          <w:p>
            <w:r/>
            <w:r>
              <w:rPr>
                <w:rFonts w:ascii="Menlo" w:hAnsi="Menlo"/>
                <w:color w:val="1A3E6E"/>
                <w:sz w:val="15"/>
              </w:rPr>
              <w:t>module3.thresholds.min_nuclei_correlation</w:t>
            </w:r>
          </w:p>
        </w:tc>
        <w:tc>
          <w:tcPr>
            <w:tcW w:type="dxa" w:w="1872"/>
          </w:tcPr>
          <w:p>
            <w:r/>
            <w:r>
              <w:rPr>
                <w:rFonts w:ascii="Menlo" w:hAnsi="Menlo"/>
                <w:color w:val="1A3E6E"/>
                <w:sz w:val="15"/>
              </w:rPr>
              <w:t>50</w:t>
            </w:r>
          </w:p>
        </w:tc>
        <w:tc>
          <w:tcPr>
            <w:tcW w:type="dxa" w:w="1872"/>
          </w:tcPr>
          <w:p>
            <w:r/>
            <w:r>
              <w:rPr>
                <w:sz w:val="17"/>
              </w:rPr>
              <w:t>Flag low-n correlations</w:t>
            </w:r>
          </w:p>
        </w:tc>
        <w:tc>
          <w:tcPr>
            <w:tcW w:type="dxa" w:w="1872"/>
          </w:tcPr>
          <w:p>
            <w:r/>
            <w:r>
              <w:rPr>
                <w:sz w:val="17"/>
              </w:rPr>
              <w:t>Raise</w:t>
            </w:r>
          </w:p>
        </w:tc>
        <w:tc>
          <w:tcPr>
            <w:tcW w:type="dxa" w:w="1872"/>
          </w:tcPr>
          <w:p>
            <w:r/>
            <w:r>
              <w:rPr>
                <w:sz w:val="17"/>
              </w:rPr>
              <w:t>More rows flagged unreliable</w:t>
            </w:r>
          </w:p>
        </w:tc>
      </w:tr>
      <w:tr>
        <w:tc>
          <w:tcPr>
            <w:tcW w:type="dxa" w:w="1872"/>
          </w:tcPr>
          <w:p>
            <w:r/>
            <w:r>
              <w:rPr>
                <w:rFonts w:ascii="Menlo" w:hAnsi="Menlo"/>
                <w:color w:val="1A3E6E"/>
                <w:sz w:val="15"/>
              </w:rPr>
              <w:t>module3.thresholds.noise_delta_r</w:t>
            </w:r>
          </w:p>
        </w:tc>
        <w:tc>
          <w:tcPr>
            <w:tcW w:type="dxa" w:w="1872"/>
          </w:tcPr>
          <w:p>
            <w:r/>
            <w:r>
              <w:rPr>
                <w:rFonts w:ascii="Menlo" w:hAnsi="Menlo"/>
                <w:color w:val="1A3E6E"/>
                <w:sz w:val="15"/>
              </w:rPr>
              <w:t>0.01</w:t>
            </w:r>
          </w:p>
        </w:tc>
        <w:tc>
          <w:tcPr>
            <w:tcW w:type="dxa" w:w="1872"/>
          </w:tcPr>
          <w:p>
            <w:r/>
            <w:r>
              <w:rPr>
                <w:sz w:val="17"/>
              </w:rPr>
              <w:t>Noise margin vs global r</w:t>
            </w:r>
          </w:p>
        </w:tc>
        <w:tc>
          <w:tcPr>
            <w:tcW w:type="dxa" w:w="1872"/>
          </w:tcPr>
          <w:p>
            <w:r/>
            <w:r>
              <w:rPr>
                <w:sz w:val="17"/>
              </w:rPr>
              <w:t>Raise</w:t>
            </w:r>
          </w:p>
        </w:tc>
        <w:tc>
          <w:tcPr>
            <w:tcW w:type="dxa" w:w="1872"/>
          </w:tcPr>
          <w:p>
            <w:r/>
            <w:r>
              <w:rPr>
                <w:sz w:val="17"/>
              </w:rPr>
              <w:t>Stricter "real within-type" calls</w:t>
            </w:r>
          </w:p>
        </w:tc>
      </w:tr>
    </w:tbl>
    <w:p>
      <w:pPr>
        <w:pStyle w:val="Heading4"/>
      </w:pPr>
      <w:r>
        <w:rPr>
          <w:color w:val="1F4E79"/>
        </w:rPr>
        <w:t>Optional MuData extension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module3.params.load_h5mu</w:t>
            </w:r>
          </w:p>
        </w:tc>
        <w:tc>
          <w:tcPr>
            <w:tcW w:type="dxa" w:w="1872"/>
          </w:tcPr>
          <w:p>
            <w:r/>
            <w:r>
              <w:rPr>
                <w:rFonts w:ascii="Menlo" w:hAnsi="Menlo"/>
                <w:color w:val="1A3E6E"/>
                <w:sz w:val="15"/>
              </w:rPr>
              <w:t>false</w:t>
            </w:r>
          </w:p>
        </w:tc>
        <w:tc>
          <w:tcPr>
            <w:tcW w:type="dxa" w:w="1872"/>
          </w:tcPr>
          <w:p>
            <w:r/>
            <w:r>
              <w:rPr>
                <w:sz w:val="17"/>
              </w:rPr>
              <w:t>Whether MuData extension runs</w:t>
            </w:r>
          </w:p>
        </w:tc>
        <w:tc>
          <w:tcPr>
            <w:tcW w:type="dxa" w:w="1872"/>
          </w:tcPr>
          <w:p>
            <w:r/>
            <w:r>
              <w:rPr>
                <w:sz w:val="17"/>
              </w:rPr>
              <w:t xml:space="preserve">Set </w:t>
            </w:r>
            <w:r>
              <w:rPr>
                <w:rFonts w:ascii="Menlo" w:hAnsi="Menlo"/>
                <w:color w:val="1A3E6E"/>
                <w:sz w:val="15"/>
              </w:rPr>
              <w:t>true</w:t>
            </w:r>
          </w:p>
        </w:tc>
        <w:tc>
          <w:tcPr>
            <w:tcW w:type="dxa" w:w="1872"/>
          </w:tcPr>
          <w:p>
            <w:r/>
            <w:r>
              <w:rPr>
                <w:sz w:val="17"/>
              </w:rPr>
              <w:t>Large download/RAM; extra panels</w:t>
            </w:r>
          </w:p>
        </w:tc>
      </w:tr>
      <w:tr>
        <w:tc>
          <w:tcPr>
            <w:tcW w:type="dxa" w:w="1872"/>
          </w:tcPr>
          <w:p>
            <w:r/>
            <w:r>
              <w:rPr>
                <w:rFonts w:ascii="Menlo" w:hAnsi="Menlo"/>
                <w:color w:val="1A3E6E"/>
                <w:sz w:val="15"/>
              </w:rPr>
              <w:t>module3.params.secondary_h5mu_size_note</w:t>
            </w:r>
          </w:p>
        </w:tc>
        <w:tc>
          <w:tcPr>
            <w:tcW w:type="dxa" w:w="1872"/>
          </w:tcPr>
          <w:p>
            <w:r/>
            <w:r>
              <w:rPr>
                <w:rFonts w:ascii="Menlo" w:hAnsi="Menlo"/>
                <w:color w:val="1A3E6E"/>
                <w:sz w:val="15"/>
              </w:rPr>
              <w:t>~14.7 GiB; optional...</w:t>
            </w:r>
          </w:p>
        </w:tc>
        <w:tc>
          <w:tcPr>
            <w:tcW w:type="dxa" w:w="1872"/>
          </w:tcPr>
          <w:p>
            <w:r/>
            <w:r>
              <w:rPr>
                <w:sz w:val="17"/>
              </w:rPr>
              <w:t>Human-readable size warning</w:t>
            </w:r>
          </w:p>
        </w:tc>
        <w:tc>
          <w:tcPr>
            <w:tcW w:type="dxa" w:w="1872"/>
          </w:tcPr>
          <w:p>
            <w:r/>
            <w:r>
              <w:rPr>
                <w:sz w:val="17"/>
              </w:rPr>
              <w:t>Editorial</w:t>
            </w:r>
          </w:p>
        </w:tc>
        <w:tc>
          <w:tcPr>
            <w:tcW w:type="dxa" w:w="1872"/>
          </w:tcPr>
          <w:p>
            <w:r/>
            <w:r>
              <w:rPr>
                <w:sz w:val="17"/>
              </w:rPr>
              <w:t>Docs only</w:t>
            </w:r>
          </w:p>
        </w:tc>
      </w:tr>
      <w:tr>
        <w:tc>
          <w:tcPr>
            <w:tcW w:type="dxa" w:w="1872"/>
          </w:tcPr>
          <w:p>
            <w:r/>
            <w:r>
              <w:rPr>
                <w:rFonts w:ascii="Menlo" w:hAnsi="Menlo"/>
                <w:color w:val="1A3E6E"/>
                <w:sz w:val="15"/>
              </w:rPr>
              <w:t>module3.interpretation</w:t>
            </w:r>
          </w:p>
        </w:tc>
        <w:tc>
          <w:tcPr>
            <w:tcW w:type="dxa" w:w="1872"/>
          </w:tcPr>
          <w:p>
            <w:r/>
            <w:r>
              <w:rPr>
                <w:rFonts w:ascii="Menlo" w:hAnsi="Menlo"/>
                <w:color w:val="1A3E6E"/>
                <w:sz w:val="15"/>
              </w:rPr>
              <w:t>true</w:t>
            </w:r>
          </w:p>
        </w:tc>
        <w:tc>
          <w:tcPr>
            <w:tcW w:type="dxa" w:w="1872"/>
          </w:tcPr>
          <w:p>
            <w:r/>
            <w:r>
              <w:rPr>
                <w:sz w:val="17"/>
              </w:rPr>
              <w:t>Write interpretation markdown</w:t>
            </w:r>
          </w:p>
        </w:tc>
        <w:tc>
          <w:tcPr>
            <w:tcW w:type="dxa" w:w="1872"/>
          </w:tcPr>
          <w:p>
            <w:r/>
            <w:r>
              <w:rPr>
                <w:sz w:val="17"/>
              </w:rPr>
              <w:t xml:space="preserve">Set </w:t>
            </w:r>
            <w:r>
              <w:rPr>
                <w:rFonts w:ascii="Menlo" w:hAnsi="Menlo"/>
                <w:color w:val="1A3E6E"/>
                <w:sz w:val="15"/>
              </w:rPr>
              <w:t>false</w:t>
            </w:r>
          </w:p>
        </w:tc>
        <w:tc>
          <w:tcPr>
            <w:tcW w:type="dxa" w:w="1872"/>
          </w:tcPr>
          <w:p>
            <w:r/>
            <w:r>
              <w:rPr>
                <w:sz w:val="17"/>
              </w:rPr>
              <w:t>Skips narrative export</w:t>
            </w:r>
          </w:p>
        </w:tc>
      </w:tr>
      <w:tr>
        <w:tc>
          <w:tcPr>
            <w:tcW w:type="dxa" w:w="1872"/>
          </w:tcPr>
          <w:p>
            <w:r/>
            <w:r>
              <w:rPr>
                <w:rFonts w:ascii="Menlo" w:hAnsi="Menlo"/>
                <w:color w:val="1A3E6E"/>
                <w:sz w:val="15"/>
              </w:rPr>
              <w:t>module3.assay</w:t>
            </w:r>
          </w:p>
        </w:tc>
        <w:tc>
          <w:tcPr>
            <w:tcW w:type="dxa" w:w="1872"/>
          </w:tcPr>
          <w:p>
            <w:r/>
            <w:r>
              <w:rPr>
                <w:rFonts w:ascii="Menlo" w:hAnsi="Menlo"/>
                <w:color w:val="1A3E6E"/>
                <w:sz w:val="15"/>
              </w:rPr>
              <w:t>SNARE-seq2 [Salmon + ArchR + Muon]</w:t>
            </w:r>
          </w:p>
        </w:tc>
        <w:tc>
          <w:tcPr>
            <w:tcW w:type="dxa" w:w="1872"/>
          </w:tcPr>
          <w:p>
            <w:r/>
            <w:r>
              <w:rPr>
                <w:sz w:val="17"/>
              </w:rPr>
              <w:t>Assay label for reports</w:t>
            </w:r>
          </w:p>
        </w:tc>
        <w:tc>
          <w:tcPr>
            <w:tcW w:type="dxa" w:w="1872"/>
          </w:tcPr>
          <w:p>
            <w:r/>
            <w:r>
              <w:rPr>
                <w:sz w:val="17"/>
              </w:rPr>
              <w:t>Editorial</w:t>
            </w:r>
          </w:p>
        </w:tc>
        <w:tc>
          <w:tcPr>
            <w:tcW w:type="dxa" w:w="1872"/>
          </w:tcPr>
          <w:p>
            <w:r/>
            <w:r>
              <w:rPr>
                <w:sz w:val="17"/>
              </w:rPr>
              <w:t>Provenance text</w:t>
            </w:r>
          </w:p>
        </w:tc>
      </w:tr>
    </w:tbl>
    <w:p>
      <w:pPr>
        <w:pStyle w:val="Heading1"/>
      </w:pPr>
      <w:r>
        <w:rPr>
          <w:color w:val="1F4E79"/>
        </w:rPr>
        <w:t>References</w:t>
      </w:r>
    </w:p>
    <w:p>
      <w:pPr>
        <w:pStyle w:val="ListNumber"/>
        <w:spacing w:after="40"/>
      </w:pPr>
      <w:r>
        <w:rPr>
          <w:sz w:val="21"/>
        </w:rPr>
        <w:t xml:space="preserve">Duong TE, Diep D, Conklin KY, et al. A Multimodal Spatial and Epigenomic Atlas of Human Adult Lung Topography. </w:t>
      </w:r>
      <w:r>
        <w:rPr>
          <w:i/>
          <w:sz w:val="21"/>
        </w:rPr>
        <w:t>bioRxiv</w:t>
      </w:r>
      <w:r>
        <w:rPr>
          <w:sz w:val="21"/>
        </w:rPr>
        <w:t xml:space="preserve">. 2025. DOI: </w:t>
      </w:r>
      <w:hyperlink r:id="rId19">
        <w:r>
          <w:rPr>
            <w:color w:val="0B4F8A"/>
            <w:u w:val="single"/>
            <w:sz w:val="21"/>
          </w:rPr>
          <w:t xml:space="preserve">10.1101/2025.05.23.655666</w:t>
        </w:r>
      </w:hyperlink>
      <w:r>
        <w:rPr>
          <w:sz w:val="21"/>
        </w:rPr>
        <w:t>. Preprint; the source publication for the SNARE-seq2 and snRNA-seq data this course uses. Its own analysis labels SNARE-seq2 nuclei from the RNA modality alone and reports no joint RNA-ATAC factor model, so the MOFA object interpreted here is a product of the HuBMAP central pipeline rather than of that paper.</w:t>
      </w:r>
    </w:p>
    <w:p>
      <w:pPr>
        <w:pStyle w:val="ListNumber"/>
        <w:spacing w:after="40"/>
      </w:pPr>
      <w:r>
        <w:rPr>
          <w:sz w:val="21"/>
        </w:rPr>
        <w:t xml:space="preserve">Argelaguet R, et al. MOFA+: a statistical framework for comprehensive integration of multi-modal single-cell data. </w:t>
      </w:r>
      <w:r>
        <w:rPr>
          <w:i/>
          <w:sz w:val="21"/>
        </w:rPr>
        <w:t>Genome Biol</w:t>
      </w:r>
      <w:r>
        <w:rPr>
          <w:sz w:val="21"/>
        </w:rPr>
        <w:t xml:space="preserve">. 2020;21(1):111. PMID: </w:t>
      </w:r>
      <w:hyperlink r:id="rId20">
        <w:r>
          <w:rPr>
            <w:color w:val="0B4F8A"/>
            <w:u w:val="single"/>
            <w:sz w:val="21"/>
          </w:rPr>
          <w:t xml:space="preserve">32393329</w:t>
        </w:r>
      </w:hyperlink>
      <w:r>
        <w:rPr>
          <w:sz w:val="21"/>
        </w:rPr>
        <w:t>.</w:t>
      </w:r>
    </w:p>
    <w:p>
      <w:pPr>
        <w:pStyle w:val="ListNumber"/>
        <w:spacing w:after="40"/>
      </w:pPr>
      <w:r>
        <w:rPr>
          <w:sz w:val="21"/>
        </w:rPr>
        <w:t xml:space="preserve">HuBMAP Consortium. The human body at cellular resolution: the NIH Human Biomolecular Atlas Program. </w:t>
      </w:r>
      <w:r>
        <w:rPr>
          <w:i/>
          <w:sz w:val="21"/>
        </w:rPr>
        <w:t>Nature</w:t>
      </w:r>
      <w:r>
        <w:rPr>
          <w:sz w:val="21"/>
        </w:rPr>
        <w:t xml:space="preserve">. 2019;574(7777):187-192. PMID: </w:t>
      </w:r>
      <w:hyperlink r:id="rId21">
        <w:r>
          <w:rPr>
            <w:color w:val="0B4F8A"/>
            <w:u w:val="single"/>
            <w:sz w:val="21"/>
          </w:rPr>
          <w:t xml:space="preserve">31597973</w:t>
        </w:r>
      </w:hyperlink>
      <w:r>
        <w:rPr>
          <w:sz w:val="21"/>
        </w:rPr>
        <w:t>.</w:t>
      </w:r>
    </w:p>
    <w:p>
      <w:pPr>
        <w:pStyle w:val="ListNumber"/>
        <w:spacing w:after="40"/>
      </w:pPr>
      <w:r>
        <w:rPr>
          <w:sz w:val="21"/>
        </w:rPr>
        <w:t xml:space="preserve">Dataset: HuBMAP </w:t>
      </w:r>
      <w:r>
        <w:rPr>
          <w:rFonts w:ascii="Menlo" w:hAnsi="Menlo"/>
          <w:color w:val="1A3E6E"/>
          <w:sz w:val="19"/>
        </w:rPr>
        <w:t>HBM828.GPVG.252</w:t>
      </w:r>
      <w:r>
        <w:rPr>
          <w:sz w:val="21"/>
        </w:rPr>
        <w:t xml:space="preserve"> (SNARE-seq2 Salmon + ArchR + Muon). Portal: </w:t>
      </w:r>
      <w:hyperlink r:id="rId10">
        <w:r>
          <w:rPr>
            <w:color w:val="0B4F8A"/>
            <w:u w:val="single"/>
            <w:sz w:val="21"/>
          </w:rPr>
          <w:t xml:space="preserve">browse dataset</w:t>
        </w:r>
      </w:hyperlink>
      <w:r>
        <w:rPr>
          <w:sz w:val="21"/>
        </w:rPr>
        <w:t>.</w:t>
      </w:r>
    </w:p>
    <w:p>
      <w:pPr>
        <w:pStyle w:val="ListNumber"/>
        <w:spacing w:after="40"/>
      </w:pPr>
      <w:r>
        <w:rPr>
          <w:sz w:val="21"/>
        </w:rPr>
        <w:t xml:space="preserve">Matched 10x snRNA teaching block: HuBMAP </w:t>
      </w:r>
      <w:r>
        <w:rPr>
          <w:rFonts w:ascii="Menlo" w:hAnsi="Menlo"/>
          <w:color w:val="1A3E6E"/>
          <w:sz w:val="19"/>
        </w:rPr>
        <w:t>HBM473.NKMR.872</w:t>
      </w:r>
      <w:r>
        <w:rPr>
          <w:sz w:val="21"/>
        </w:rPr>
        <w:t xml:space="preserve">. Portal: </w:t>
      </w:r>
      <w:hyperlink r:id="rId22">
        <w:r>
          <w:rPr>
            <w:color w:val="0B4F8A"/>
            <w:u w:val="single"/>
            <w:sz w:val="21"/>
          </w:rPr>
          <w:t xml:space="preserve">browse dataset</w:t>
        </w:r>
      </w:hyperlink>
      <w:r>
        <w:rPr>
          <w:sz w:val="21"/>
        </w:rPr>
        <w: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444"/>
        <w:sz w:val="18"/>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portal.hubmapconsortium.org/browse/dataset/HBM828.GPVG.252"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doi.org/10.1101/2025.05.23.655666" TargetMode="External"/><Relationship Id="rId20" Type="http://schemas.openxmlformats.org/officeDocument/2006/relationships/hyperlink" Target="https://pubmed.ncbi.nlm.nih.gov/32393329/" TargetMode="External"/><Relationship Id="rId21" Type="http://schemas.openxmlformats.org/officeDocument/2006/relationships/hyperlink" Target="https://pubmed.ncbi.nlm.nih.gov/31597973/" TargetMode="External"/><Relationship Id="rId22" Type="http://schemas.openxmlformats.org/officeDocument/2006/relationships/hyperlink" Target="https://portal.hubmapconsortium.org/browse/dataset/HBM473.NKMR.8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