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F4E79"/>
          <w:sz w:val="38"/>
        </w:rPr>
        <w:t>Module 4: Cross-ecosystem contrast comparison</w:t>
      </w:r>
    </w:p>
    <w:p>
      <w:pPr>
        <w:spacing w:after="200"/>
      </w:pPr>
      <w:r>
        <w:rPr>
          <w:color w:val="444444"/>
          <w:sz w:val="19"/>
        </w:rPr>
        <w:t>Instructional time: 30 min | Bloom: Evaluate | Notebook: notebooks/04_cross_ecosystem.ipynb</w:t>
      </w:r>
    </w:p>
    <w:p>
      <w:pPr>
        <w:pBdr>
          <w:bottom w:val="single" w:sz="12" w:color="1F4E79"/>
        </w:pBdr>
      </w:pPr>
    </w:p>
    <w:p>
      <w:pPr>
        <w:pStyle w:val="Heading1"/>
      </w:pPr>
      <w:r>
        <w:rPr>
          <w:color w:val="1F4E79"/>
        </w:rPr>
        <w:t>1. Overview</w:t>
      </w:r>
    </w:p>
    <w:p>
      <w:pPr>
        <w:spacing w:after="140"/>
      </w:pPr>
      <w:r>
        <w:rPr>
          <w:sz w:val="21"/>
        </w:rPr>
        <w:t xml:space="preserve">Module 4 compares independently generated lung transcriptomic contrasts after methods calibration. Native expression levels are shown only to demonstrate incomparability. What can travel is within-resource log fold-change and the pathway </w:t>
      </w:r>
      <w:r>
        <w:rPr>
          <w:b/>
          <w:sz w:val="21"/>
        </w:rPr>
        <w:t>normalized enrichment score (NES)</w:t>
      </w:r>
      <w:r>
        <w:rPr>
          <w:sz w:val="21"/>
        </w:rPr>
        <w:t xml:space="preserve">, the per-pathway statistic gene set enrichment analysis returns after correcting for gene-set size. The headline analysis is </w:t>
      </w:r>
      <w:r>
        <w:rPr>
          <w:b/>
          <w:sz w:val="21"/>
        </w:rPr>
        <w:t>shared-mechanism concordance</w:t>
      </w:r>
      <w:r>
        <w:rPr>
          <w:sz w:val="21"/>
        </w:rPr>
        <w:t xml:space="preserve"> against chance; global NES Spearman is supporting context only.</w:t>
      </w:r>
    </w:p>
    <w:p>
      <w:pPr>
        <w:spacing w:after="140"/>
      </w:pPr>
      <w:r>
        <w:rPr>
          <w:b/>
          <w:sz w:val="21"/>
        </w:rPr>
        <w:t>Key components.</w:t>
      </w:r>
      <w:r>
        <w:rPr>
          <w:sz w:val="21"/>
        </w:rPr>
        <w:t xml:space="preserve"> Four within-resource contrasts (GEO </w:t>
      </w:r>
      <w:r>
        <w:rPr>
          <w:b/>
          <w:sz w:val="21"/>
        </w:rPr>
        <w:t>idiopathic pulmonary fibrosis (IPF)</w:t>
      </w:r>
      <w:r>
        <w:rPr>
          <w:sz w:val="21"/>
        </w:rPr>
        <w:t>, GTEx aging, OSD-248 spaceflight, HuBMAP aging illustration); a HuBMAP to GTEx level bridge; pathway NES comparison across contrast pairs; and shared-mechanism concordance tested against permutation nulls. Calibration checks on the flight contrast establish that the pipeline is sound before any biology is read from it.</w:t>
      </w:r>
    </w:p>
    <w:p>
      <w:pPr>
        <w:spacing w:after="140"/>
      </w:pPr>
      <w:r>
        <w:rPr>
          <w:b/>
          <w:sz w:val="21"/>
        </w:rPr>
        <w:t>Learning objectives.</w:t>
      </w:r>
      <w:r>
        <w:rPr>
          <w:sz w:val="21"/>
        </w:rPr>
        <w:t xml:space="preserve"> After this module you will be able to:</w:t>
      </w:r>
    </w:p>
    <w:p>
      <w:pPr>
        <w:pStyle w:val="ListBullet"/>
        <w:spacing w:after="40"/>
      </w:pPr>
      <w:r>
        <w:rPr>
          <w:sz w:val="21"/>
        </w:rPr>
        <w:t>Explain why expression levels produced by independent pipelines cannot be merged, and identify which quantities can be compared across resources instead.</w:t>
      </w:r>
    </w:p>
    <w:p>
      <w:pPr>
        <w:pStyle w:val="ListBullet"/>
        <w:spacing w:after="40"/>
      </w:pPr>
      <w:r>
        <w:rPr>
          <w:sz w:val="21"/>
        </w:rPr>
        <w:t>Judge whether a contrast is fit to interpret, using spike-in calibration and agreement with an independently produced differential-expression table as the evidence.</w:t>
      </w:r>
    </w:p>
    <w:p>
      <w:pPr>
        <w:pStyle w:val="ListBullet"/>
        <w:spacing w:after="40"/>
      </w:pPr>
      <w:r>
        <w:rPr>
          <w:sz w:val="21"/>
        </w:rPr>
        <w:t>Test whether pathway programs agree in direction beyond chance using a permutation null, and explain why a global correlation across all pathways cannot answer the same question.</w:t>
      </w:r>
    </w:p>
    <w:p>
      <w:pPr>
        <w:pStyle w:val="ListBullet"/>
        <w:spacing w:after="40"/>
      </w:pPr>
      <w:r>
        <w:rPr>
          <w:sz w:val="21"/>
        </w:rPr>
        <w:t>Distinguish a null result from an uninterpretable one, and state which of the two a given contrast produced and what would be needed to resolve it.</w:t>
      </w:r>
    </w:p>
    <w:p>
      <w:pPr>
        <w:spacing w:after="140"/>
      </w:pPr>
      <w:r>
        <w:rPr>
          <w:sz w:val="21"/>
        </w:rPr>
        <w:t>No CFDE program supplies fibrotic human lung; the disease arm is external GEO GSE150910 (NIH, not CFDE).</w:t>
      </w:r>
    </w:p>
    <w:p>
      <w:pPr>
        <w:pStyle w:val="Heading1"/>
      </w:pPr>
      <w:r>
        <w:rPr>
          <w:color w:val="1F4E79"/>
        </w:rPr>
        <w:t>2. Before you begin</w:t>
      </w:r>
    </w:p>
    <w:p>
      <w:pPr>
        <w:spacing w:after="140"/>
      </w:pPr>
      <w:r>
        <w:rPr>
          <w:b/>
          <w:sz w:val="21"/>
        </w:rPr>
        <w:t>Prerequisites.</w:t>
      </w:r>
      <w:r>
        <w:rPr>
          <w:sz w:val="21"/>
        </w:rPr>
        <w:t xml:space="preserve"> Modules 1 to 3 complete; conda env </w:t>
      </w:r>
      <w:r>
        <w:rPr>
          <w:rFonts w:ascii="Menlo" w:hAnsi="Menlo"/>
          <w:color w:val="1A3E6E"/>
          <w:sz w:val="19"/>
        </w:rPr>
        <w:t>CFDE_lung_env</w:t>
      </w:r>
      <w:r>
        <w:rPr>
          <w:sz w:val="21"/>
        </w:rPr>
        <w:t xml:space="preserve"> (or the pinned pip venv); Module 2 integrated object and pseudobulk tables present.</w:t>
      </w:r>
    </w:p>
    <w:p>
      <w:pPr>
        <w:spacing w:after="140"/>
      </w:pPr>
      <w:r>
        <w:rPr>
          <w:b/>
          <w:sz w:val="21"/>
        </w:rPr>
        <w:t>Time.</w:t>
      </w:r>
      <w:r>
        <w:rPr>
          <w:sz w:val="21"/>
        </w:rPr>
        <w:t xml:space="preserve"> Instructional: ~30 min. Compute (measured from </w:t>
      </w:r>
      <w:r>
        <w:rPr>
          <w:rFonts w:ascii="Menlo" w:hAnsi="Menlo"/>
          <w:color w:val="1A3E6E"/>
          <w:sz w:val="19"/>
        </w:rPr>
        <w:t>module4_run_params.json</w:t>
      </w:r>
      <w:r>
        <w:rPr>
          <w:sz w:val="21"/>
        </w:rPr>
        <w:t>, sensitivity gated off): notebook wall ~5 min / ~301 s compute; peak RSS ~5.5 GB. Course RAM: 16 GB recommended, 8 GB minimum (Module 2 DE peaks at ~7.6 GB). Free disk: several GB for tables/figures.</w:t>
      </w:r>
    </w:p>
    <w:p>
      <w:pPr>
        <w:spacing w:after="140"/>
      </w:pPr>
      <w:r>
        <w:rPr>
          <w:b/>
          <w:sz w:val="21"/>
        </w:rPr>
        <w:t>Data required.</w:t>
      </w:r>
    </w:p>
    <w:p>
      <w:pPr>
        <w:spacing w:after="140"/>
      </w:pPr>
      <w:r>
        <w:rPr>
          <w:b/>
          <w:sz w:val="21"/>
        </w:rPr>
        <w:t>Run order.</w:t>
      </w:r>
      <w:r>
        <w:rPr>
          <w:sz w:val="21"/>
        </w:rPr>
        <w:t xml:space="preserve"> Run the analysis sections in order; the notebook carries state between cells.</w:t>
      </w:r>
    </w:p>
    <w:p>
      <w:pPr>
        <w:pStyle w:val="Heading4"/>
      </w:pPr>
      <w:r>
        <w:rPr>
          <w:color w:val="1F4E79"/>
        </w:rPr>
        <w:t>Biological question</w:t>
      </w:r>
    </w:p>
    <w:p>
      <w:pPr>
        <w:spacing w:after="140"/>
      </w:pPr>
      <w:r>
        <w:rPr>
          <w:sz w:val="21"/>
        </w:rPr>
        <w:t>When disease, aging, and spaceflight lung contrasts are each analyzed in their own resource, which pathway programs agree in direction beyond chance, and which contrasts are uninterpretable given the data?</w:t>
      </w:r>
    </w:p>
    <w:p>
      <w:pPr>
        <w:spacing w:after="140"/>
      </w:pPr>
      <w:r>
        <w:rPr>
          <w:sz w:val="21"/>
        </w:rPr>
        <w:t>Spaceflight belongs in that comparison rather than sitting beside it as an unrelated third condition. The combination of microgravity and space radiation is studied explicitly as a model of accelerated aging, producing the inflammation, cellular senescence and fibrotic remodeling signatures that characterize aged tissue, and a genomic radiation-age association derived for spaceflight has already been carried into lung disease (references 6 and 7). That is what makes a flight contrast worth testing against a chronological aging contrast and against a fibrotic disease contrast: if the accelerated aging framing holds at the pathway level, the three should share directional programs. Whether they do in these particular datasets is the empirical question this module answers.</w:t>
      </w:r>
    </w:p>
    <w:p>
      <w:pPr>
        <w:pStyle w:val="Heading4"/>
      </w:pPr>
      <w:r>
        <w:rPr>
          <w:color w:val="1F4E79"/>
        </w:rPr>
        <w:t>Data used here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DCE6F1"/>
          </w:tcPr>
          <w:p>
            <w:r/>
            <w:r>
              <w:rPr>
                <w:b/>
                <w:sz w:val="17"/>
              </w:rPr>
              <w:t>Resource</w:t>
            </w:r>
          </w:p>
        </w:tc>
        <w:tc>
          <w:tcPr>
            <w:tcW w:type="dxa" w:w="2340"/>
            <w:shd w:val="clear" w:fill="DCE6F1"/>
          </w:tcPr>
          <w:p>
            <w:r/>
            <w:r>
              <w:rPr>
                <w:b/>
                <w:sz w:val="17"/>
              </w:rPr>
              <w:t>Accession</w:t>
            </w:r>
          </w:p>
        </w:tc>
        <w:tc>
          <w:tcPr>
            <w:tcW w:type="dxa" w:w="2340"/>
            <w:shd w:val="clear" w:fill="DCE6F1"/>
          </w:tcPr>
          <w:p>
            <w:r/>
            <w:r>
              <w:rPr>
                <w:b/>
                <w:sz w:val="17"/>
              </w:rPr>
              <w:t>Contrast</w:t>
            </w:r>
          </w:p>
        </w:tc>
        <w:tc>
          <w:tcPr>
            <w:tcW w:type="dxa" w:w="2340"/>
            <w:shd w:val="clear" w:fill="DCE6F1"/>
          </w:tcPr>
          <w:p>
            <w:r/>
            <w:r>
              <w:rPr>
                <w:b/>
                <w:sz w:val="17"/>
              </w:rPr>
              <w:t>Local role</w:t>
            </w:r>
          </w:p>
        </w:tc>
      </w:tr>
      <w:tr>
        <w:tc>
          <w:tcPr>
            <w:tcW w:type="dxa" w:w="2340"/>
          </w:tcPr>
          <w:p>
            <w:r/>
            <w:r>
              <w:rPr>
                <w:sz w:val="17"/>
              </w:rPr>
              <w:t>GEO</w:t>
            </w:r>
          </w:p>
        </w:tc>
        <w:tc>
          <w:tcPr>
            <w:tcW w:type="dxa" w:w="2340"/>
          </w:tcPr>
          <w:p>
            <w:r/>
            <w:r>
              <w:rPr>
                <w:sz w:val="17"/>
              </w:rPr>
              <w:t>GSE150910</w:t>
            </w:r>
          </w:p>
        </w:tc>
        <w:tc>
          <w:tcPr>
            <w:tcW w:type="dxa" w:w="2340"/>
          </w:tcPr>
          <w:p>
            <w:r/>
            <w:r>
              <w:rPr>
                <w:rFonts w:ascii="Menlo" w:hAnsi="Menlo"/>
                <w:color w:val="1A3E6E"/>
                <w:sz w:val="15"/>
              </w:rPr>
              <w:t>H_DISEASE</w:t>
            </w:r>
            <w:r>
              <w:rPr>
                <w:sz w:val="17"/>
              </w:rPr>
              <w:t xml:space="preserve"> IPF vs control</w:t>
            </w:r>
          </w:p>
        </w:tc>
        <w:tc>
          <w:tcPr>
            <w:tcW w:type="dxa" w:w="2340"/>
          </w:tcPr>
          <w:p>
            <w:r/>
            <w:r>
              <w:rPr>
                <w:sz w:val="17"/>
              </w:rPr>
              <w:t>Bulk counts</w:t>
            </w:r>
          </w:p>
        </w:tc>
      </w:tr>
      <w:tr>
        <w:tc>
          <w:tcPr>
            <w:tcW w:type="dxa" w:w="2340"/>
          </w:tcPr>
          <w:p>
            <w:r/>
            <w:r>
              <w:rPr>
                <w:sz w:val="17"/>
              </w:rPr>
              <w:t>GTEx v10 lung</w:t>
            </w:r>
          </w:p>
        </w:tc>
        <w:tc>
          <w:tcPr>
            <w:tcW w:type="dxa" w:w="2340"/>
          </w:tcPr>
          <w:p>
            <w:r/>
            <w:r>
              <w:rPr>
                <w:sz w:val="17"/>
              </w:rPr>
              <w:t>gene_reads / gene_tpm</w:t>
            </w:r>
          </w:p>
        </w:tc>
        <w:tc>
          <w:tcPr>
            <w:tcW w:type="dxa" w:w="2340"/>
          </w:tcPr>
          <w:p>
            <w:r/>
            <w:r>
              <w:rPr>
                <w:rFonts w:ascii="Menlo" w:hAnsi="Menlo"/>
                <w:color w:val="1A3E6E"/>
                <w:sz w:val="15"/>
              </w:rPr>
              <w:t>H_AGING_GTEX</w:t>
            </w:r>
            <w:r>
              <w:rPr>
                <w:sz w:val="17"/>
              </w:rPr>
              <w:t xml:space="preserve"> older vs younger</w:t>
            </w:r>
          </w:p>
        </w:tc>
        <w:tc>
          <w:tcPr>
            <w:tcW w:type="dxa" w:w="2340"/>
          </w:tcPr>
          <w:p>
            <w:r/>
            <w:r>
              <w:rPr>
                <w:sz w:val="17"/>
              </w:rPr>
              <w:t>Bulk counts + TPM bridge</w:t>
            </w:r>
          </w:p>
        </w:tc>
      </w:tr>
      <w:tr>
        <w:tc>
          <w:tcPr>
            <w:tcW w:type="dxa" w:w="2340"/>
          </w:tcPr>
          <w:p>
            <w:r/>
            <w:r>
              <w:rPr>
                <w:sz w:val="17"/>
              </w:rPr>
              <w:t>NASA OSDR</w:t>
            </w:r>
          </w:p>
        </w:tc>
        <w:tc>
          <w:tcPr>
            <w:tcW w:type="dxa" w:w="2340"/>
          </w:tcPr>
          <w:p>
            <w:r/>
            <w:r>
              <w:rPr>
                <w:sz w:val="17"/>
              </w:rPr>
              <w:t>OSD-248</w:t>
            </w:r>
          </w:p>
        </w:tc>
        <w:tc>
          <w:tcPr>
            <w:tcW w:type="dxa" w:w="2340"/>
          </w:tcPr>
          <w:p>
            <w:r/>
            <w:r>
              <w:rPr>
                <w:rFonts w:ascii="Menlo" w:hAnsi="Menlo"/>
                <w:color w:val="1A3E6E"/>
                <w:sz w:val="15"/>
              </w:rPr>
              <w:t>M_FLIGHT</w:t>
            </w:r>
            <w:r>
              <w:rPr>
                <w:sz w:val="17"/>
              </w:rPr>
              <w:t xml:space="preserve"> ISS-T flight vs GC</w:t>
            </w:r>
          </w:p>
        </w:tc>
        <w:tc>
          <w:tcPr>
            <w:tcW w:type="dxa" w:w="2340"/>
          </w:tcPr>
          <w:p>
            <w:r/>
            <w:r>
              <w:rPr>
                <w:sz w:val="17"/>
              </w:rPr>
              <w:t>Mouse bulk counts (+ ERCC)</w:t>
            </w:r>
          </w:p>
        </w:tc>
      </w:tr>
      <w:tr>
        <w:tc>
          <w:tcPr>
            <w:tcW w:type="dxa" w:w="2340"/>
          </w:tcPr>
          <w:p>
            <w:r/>
            <w:r>
              <w:rPr>
                <w:sz w:val="17"/>
              </w:rPr>
              <w:t>HuBMAP</w:t>
            </w:r>
          </w:p>
        </w:tc>
        <w:tc>
          <w:tcPr>
            <w:tcW w:type="dxa" w:w="2340"/>
          </w:tcPr>
          <w:p>
            <w:r/>
            <w:r>
              <w:rPr>
                <w:sz w:val="17"/>
              </w:rPr>
              <w:t>teaching donors</w:t>
            </w:r>
          </w:p>
        </w:tc>
        <w:tc>
          <w:tcPr>
            <w:tcW w:type="dxa" w:w="2340"/>
          </w:tcPr>
          <w:p>
            <w:r/>
            <w:r>
              <w:rPr>
                <w:rFonts w:ascii="Menlo" w:hAnsi="Menlo"/>
                <w:color w:val="1A3E6E"/>
                <w:sz w:val="15"/>
              </w:rPr>
              <w:t>H_AGING_HUBMAP</w:t>
            </w:r>
            <w:r>
              <w:rPr>
                <w:sz w:val="17"/>
              </w:rPr>
              <w:t xml:space="preserve"> older vs younger</w:t>
            </w:r>
          </w:p>
        </w:tc>
        <w:tc>
          <w:tcPr>
            <w:tcW w:type="dxa" w:w="2340"/>
          </w:tcPr>
          <w:p>
            <w:r/>
            <w:r>
              <w:rPr>
                <w:sz w:val="17"/>
              </w:rPr>
              <w:t>2 vs 2 illustration</w:t>
            </w:r>
          </w:p>
        </w:tc>
      </w:tr>
      <w:tr>
        <w:tc>
          <w:tcPr>
            <w:tcW w:type="dxa" w:w="2340"/>
          </w:tcPr>
          <w:p>
            <w:r/>
            <w:r>
              <w:rPr>
                <w:sz w:val="17"/>
              </w:rPr>
              <w:t>Orthologs</w:t>
            </w:r>
          </w:p>
        </w:tc>
        <w:tc>
          <w:tcPr>
            <w:tcW w:type="dxa" w:w="2340"/>
          </w:tcPr>
          <w:p>
            <w:r/>
            <w:r>
              <w:rPr>
                <w:sz w:val="17"/>
              </w:rPr>
              <w:t>Ensembl one2one</w:t>
            </w:r>
          </w:p>
        </w:tc>
        <w:tc>
          <w:tcPr>
            <w:tcW w:type="dxa" w:w="2340"/>
          </w:tcPr>
          <w:p>
            <w:r/>
            <w:r>
              <w:rPr>
                <w:sz w:val="17"/>
              </w:rPr>
              <w:t>mouse to human symbols</w:t>
            </w:r>
          </w:p>
        </w:tc>
        <w:tc>
          <w:tcPr>
            <w:tcW w:type="dxa" w:w="2340"/>
          </w:tcPr>
          <w:p>
            <w:r/>
            <w:r>
              <w:rPr>
                <w:rFonts w:ascii="Menlo" w:hAnsi="Menlo"/>
                <w:color w:val="1A3E6E"/>
                <w:sz w:val="15"/>
              </w:rPr>
              <w:t>data/reference/</w:t>
            </w:r>
          </w:p>
        </w:tc>
      </w:tr>
      <w:tr>
        <w:tc>
          <w:tcPr>
            <w:tcW w:type="dxa" w:w="2340"/>
          </w:tcPr>
          <w:p>
            <w:r/>
            <w:r>
              <w:rPr>
                <w:sz w:val="17"/>
              </w:rPr>
              <w:t>Gene sets</w:t>
            </w:r>
          </w:p>
        </w:tc>
        <w:tc>
          <w:tcPr>
            <w:tcW w:type="dxa" w:w="2340"/>
          </w:tcPr>
          <w:p>
            <w:r/>
            <w:r>
              <w:rPr>
                <w:sz w:val="17"/>
              </w:rPr>
              <w:t>Hallmark / Reactome / GO BP</w:t>
            </w:r>
          </w:p>
        </w:tc>
        <w:tc>
          <w:tcPr>
            <w:tcW w:type="dxa" w:w="2340"/>
          </w:tcPr>
          <w:p>
            <w:r/>
            <w:r>
              <w:rPr>
                <w:sz w:val="17"/>
              </w:rPr>
              <w:t>NES</w:t>
            </w:r>
          </w:p>
        </w:tc>
        <w:tc>
          <w:tcPr>
            <w:tcW w:type="dxa" w:w="2340"/>
          </w:tcPr>
          <w:p>
            <w:r/>
            <w:r>
              <w:rPr>
                <w:rFonts w:ascii="Menlo" w:hAnsi="Menlo"/>
                <w:color w:val="1A3E6E"/>
                <w:sz w:val="15"/>
              </w:rPr>
              <w:t>data/genesets/</w:t>
            </w:r>
          </w:p>
        </w:tc>
      </w:tr>
    </w:tbl>
    <w:p>
      <w:pPr>
        <w:spacing w:after="140"/>
      </w:pPr>
      <w:r>
        <w:rPr>
          <w:sz w:val="21"/>
        </w:rPr>
        <w:t>Module 1 introduced the download map; Module 2 supplied composition-weighted HuBMAP pseudobulk for the GTEx bridge. Sample sizes: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r/>
            <w:r>
              <w:rPr>
                <w:b/>
                <w:sz w:val="17"/>
              </w:rPr>
              <w:t>resource</w:t>
            </w:r>
          </w:p>
        </w:tc>
        <w:tc>
          <w:tcPr>
            <w:tcW w:type="dxa" w:w="1872"/>
            <w:shd w:val="clear" w:fill="DCE6F1"/>
          </w:tcPr>
          <w:p>
            <w:r/>
            <w:r>
              <w:rPr>
                <w:b/>
                <w:sz w:val="17"/>
              </w:rPr>
              <w:t>contrast_id</w:t>
            </w:r>
          </w:p>
        </w:tc>
        <w:tc>
          <w:tcPr>
            <w:tcW w:type="dxa" w:w="1872"/>
            <w:shd w:val="clear" w:fill="DCE6F1"/>
          </w:tcPr>
          <w:p>
            <w:r/>
            <w:r>
              <w:rPr>
                <w:b/>
                <w:sz w:val="17"/>
              </w:rPr>
              <w:t>arm</w:t>
            </w:r>
          </w:p>
        </w:tc>
        <w:tc>
          <w:tcPr>
            <w:tcW w:type="dxa" w:w="1872"/>
            <w:shd w:val="clear" w:fill="DCE6F1"/>
          </w:tcPr>
          <w:p>
            <w:r/>
            <w:r>
              <w:rPr>
                <w:b/>
                <w:sz w:val="17"/>
              </w:rPr>
              <w:t>n</w:t>
            </w:r>
          </w:p>
        </w:tc>
        <w:tc>
          <w:tcPr>
            <w:tcW w:type="dxa" w:w="1872"/>
            <w:shd w:val="clear" w:fill="DCE6F1"/>
          </w:tcPr>
          <w:p>
            <w:r/>
            <w:r>
              <w:rPr>
                <w:b/>
                <w:sz w:val="17"/>
              </w:rPr>
              <w:t>notes</w:t>
            </w:r>
          </w:p>
        </w:tc>
      </w:tr>
      <w:tr>
        <w:tc>
          <w:tcPr>
            <w:tcW w:type="dxa" w:w="1872"/>
          </w:tcPr>
          <w:p>
            <w:r/>
            <w:r>
              <w:rPr>
                <w:sz w:val="17"/>
              </w:rPr>
              <w:t>GSE150910</w:t>
            </w:r>
          </w:p>
        </w:tc>
        <w:tc>
          <w:tcPr>
            <w:tcW w:type="dxa" w:w="1872"/>
          </w:tcPr>
          <w:p>
            <w:r/>
            <w:r>
              <w:rPr>
                <w:sz w:val="17"/>
              </w:rPr>
              <w:t>H_DISEASE</w:t>
            </w:r>
          </w:p>
        </w:tc>
        <w:tc>
          <w:tcPr>
            <w:tcW w:type="dxa" w:w="1872"/>
          </w:tcPr>
          <w:p>
            <w:r/>
            <w:r>
              <w:rPr>
                <w:sz w:val="17"/>
              </w:rPr>
              <w:t>IPF</w:t>
            </w:r>
          </w:p>
        </w:tc>
        <w:tc>
          <w:tcPr>
            <w:tcW w:type="dxa" w:w="1872"/>
          </w:tcPr>
          <w:p>
            <w:r/>
            <w:r>
              <w:rPr>
                <w:sz w:val="17"/>
              </w:rPr>
              <w:t>103</w:t>
            </w:r>
          </w:p>
        </w:tc>
        <w:tc>
          <w:tcPr>
            <w:tcW w:type="dxa" w:w="1872"/>
          </w:tcPr>
          <w:p>
            <w:r/>
            <w:r>
              <w:rPr>
                <w:sz w:val="17"/>
              </w:rPr>
              <w:t>CHP excluded from teaching contrast</w:t>
            </w:r>
          </w:p>
        </w:tc>
      </w:tr>
      <w:tr>
        <w:tc>
          <w:tcPr>
            <w:tcW w:type="dxa" w:w="1872"/>
          </w:tcPr>
          <w:p>
            <w:r/>
            <w:r>
              <w:rPr>
                <w:sz w:val="17"/>
              </w:rPr>
              <w:t>GSE150910</w:t>
            </w:r>
          </w:p>
        </w:tc>
        <w:tc>
          <w:tcPr>
            <w:tcW w:type="dxa" w:w="1872"/>
          </w:tcPr>
          <w:p>
            <w:r/>
            <w:r>
              <w:rPr>
                <w:sz w:val="17"/>
              </w:rPr>
              <w:t>H_DISEASE</w:t>
            </w:r>
          </w:p>
        </w:tc>
        <w:tc>
          <w:tcPr>
            <w:tcW w:type="dxa" w:w="1872"/>
          </w:tcPr>
          <w:p>
            <w:r/>
            <w:r>
              <w:rPr>
                <w:sz w:val="17"/>
              </w:rPr>
              <w:t>control</w:t>
            </w:r>
          </w:p>
        </w:tc>
        <w:tc>
          <w:tcPr>
            <w:tcW w:type="dxa" w:w="1872"/>
          </w:tcPr>
          <w:p>
            <w:r/>
            <w:r>
              <w:rPr>
                <w:sz w:val="17"/>
              </w:rPr>
              <w:t>103</w:t>
            </w:r>
          </w:p>
        </w:tc>
        <w:tc>
          <w:tcPr>
            <w:tcW w:type="dxa" w:w="1872"/>
          </w:tcPr>
          <w:p>
            <w:r/>
            <w:r>
              <w:rPr>
                <w:sz w:val="17"/>
              </w:rPr>
              <w:t>CHP excluded from teaching contrast</w:t>
            </w:r>
          </w:p>
        </w:tc>
      </w:tr>
      <w:tr>
        <w:tc>
          <w:tcPr>
            <w:tcW w:type="dxa" w:w="1872"/>
          </w:tcPr>
          <w:p>
            <w:r/>
            <w:r>
              <w:rPr>
                <w:sz w:val="17"/>
              </w:rPr>
              <w:t>OSD-248</w:t>
            </w:r>
          </w:p>
        </w:tc>
        <w:tc>
          <w:tcPr>
            <w:tcW w:type="dxa" w:w="1872"/>
          </w:tcPr>
          <w:p>
            <w:r/>
            <w:r>
              <w:rPr>
                <w:sz w:val="17"/>
              </w:rPr>
              <w:t>M_FLIGHT</w:t>
            </w:r>
          </w:p>
        </w:tc>
        <w:tc>
          <w:tcPr>
            <w:tcW w:type="dxa" w:w="1872"/>
          </w:tcPr>
          <w:p>
            <w:r/>
            <w:r>
              <w:rPr>
                <w:sz w:val="17"/>
              </w:rPr>
              <w:t>ground</w:t>
            </w:r>
          </w:p>
        </w:tc>
        <w:tc>
          <w:tcPr>
            <w:tcW w:type="dxa" w:w="1872"/>
          </w:tcPr>
          <w:p>
            <w:r/>
            <w:r>
              <w:rPr>
                <w:sz w:val="17"/>
              </w:rPr>
              <w:t>10</w:t>
            </w:r>
          </w:p>
        </w:tc>
        <w:tc>
          <w:tcPr>
            <w:tcW w:type="dxa" w:w="1872"/>
          </w:tcPr>
          <w:p>
            <w:r/>
            <w:r>
              <w:rPr>
                <w:sz w:val="17"/>
              </w:rPr>
              <w:t>ISS-T ~60 Carcass; duration-matched GC (not hindlimb unloading)</w:t>
            </w:r>
          </w:p>
        </w:tc>
      </w:tr>
      <w:tr>
        <w:tc>
          <w:tcPr>
            <w:tcW w:type="dxa" w:w="1872"/>
          </w:tcPr>
          <w:p>
            <w:r/>
            <w:r>
              <w:rPr>
                <w:sz w:val="17"/>
              </w:rPr>
              <w:t>OSD-248</w:t>
            </w:r>
          </w:p>
        </w:tc>
        <w:tc>
          <w:tcPr>
            <w:tcW w:type="dxa" w:w="1872"/>
          </w:tcPr>
          <w:p>
            <w:r/>
            <w:r>
              <w:rPr>
                <w:sz w:val="17"/>
              </w:rPr>
              <w:t>M_FLIGHT</w:t>
            </w:r>
          </w:p>
        </w:tc>
        <w:tc>
          <w:tcPr>
            <w:tcW w:type="dxa" w:w="1872"/>
          </w:tcPr>
          <w:p>
            <w:r/>
            <w:r>
              <w:rPr>
                <w:sz w:val="17"/>
              </w:rPr>
              <w:t>flight</w:t>
            </w:r>
          </w:p>
        </w:tc>
        <w:tc>
          <w:tcPr>
            <w:tcW w:type="dxa" w:w="1872"/>
          </w:tcPr>
          <w:p>
            <w:r/>
            <w:r>
              <w:rPr>
                <w:sz w:val="17"/>
              </w:rPr>
              <w:t>10</w:t>
            </w:r>
          </w:p>
        </w:tc>
        <w:tc>
          <w:tcPr>
            <w:tcW w:type="dxa" w:w="1872"/>
          </w:tcPr>
          <w:p>
            <w:r/>
            <w:r>
              <w:rPr>
                <w:sz w:val="17"/>
              </w:rPr>
              <w:t>ISS-T ~60 Carcass; duration-matched GC (not hindlimb unloading)</w:t>
            </w:r>
          </w:p>
        </w:tc>
      </w:tr>
      <w:tr>
        <w:tc>
          <w:tcPr>
            <w:tcW w:type="dxa" w:w="1872"/>
          </w:tcPr>
          <w:p>
            <w:r/>
            <w:r>
              <w:rPr>
                <w:sz w:val="17"/>
              </w:rPr>
              <w:t>OSD-248</w:t>
            </w:r>
          </w:p>
        </w:tc>
        <w:tc>
          <w:tcPr>
            <w:tcW w:type="dxa" w:w="1872"/>
          </w:tcPr>
          <w:p>
            <w:r/>
            <w:r>
              <w:rPr>
                <w:sz w:val="17"/>
              </w:rPr>
              <w:t>M_FLIGHT</w:t>
            </w:r>
          </w:p>
        </w:tc>
        <w:tc>
          <w:tcPr>
            <w:tcW w:type="dxa" w:w="1872"/>
          </w:tcPr>
          <w:p>
            <w:r/>
            <w:r>
              <w:rPr>
                <w:sz w:val="17"/>
              </w:rPr>
              <w:t>flight_qa_below_threshold</w:t>
            </w:r>
          </w:p>
        </w:tc>
        <w:tc>
          <w:tcPr>
            <w:tcW w:type="dxa" w:w="1872"/>
          </w:tcPr>
          <w:p>
            <w:r/>
            <w:r>
              <w:rPr>
                <w:sz w:val="17"/>
              </w:rPr>
              <w:t>1</w:t>
            </w:r>
          </w:p>
        </w:tc>
        <w:tc>
          <w:tcPr>
            <w:tcW w:type="dxa" w:w="1872"/>
          </w:tcPr>
          <w:p>
            <w:r/>
            <w:r>
              <w:rPr>
                <w:sz w:val="17"/>
              </w:rPr>
              <w:t>Mmus_C57-6T_LNG_FLT_ISS-T_Rep7_F7</w:t>
            </w:r>
          </w:p>
        </w:tc>
      </w:tr>
      <w:tr>
        <w:tc>
          <w:tcPr>
            <w:tcW w:type="dxa" w:w="1872"/>
          </w:tcPr>
          <w:p>
            <w:r/>
            <w:r>
              <w:rPr>
                <w:sz w:val="17"/>
              </w:rPr>
              <w:t>GTEx</w:t>
            </w:r>
          </w:p>
        </w:tc>
        <w:tc>
          <w:tcPr>
            <w:tcW w:type="dxa" w:w="1872"/>
          </w:tcPr>
          <w:p>
            <w:r/>
            <w:r>
              <w:rPr>
                <w:sz w:val="17"/>
              </w:rPr>
              <w:t>H_AGING_GTEX</w:t>
            </w:r>
          </w:p>
        </w:tc>
        <w:tc>
          <w:tcPr>
            <w:tcW w:type="dxa" w:w="1872"/>
          </w:tcPr>
          <w:p>
            <w:r/>
            <w:r>
              <w:rPr>
                <w:sz w:val="17"/>
              </w:rPr>
              <w:t>younger_brackets</w:t>
            </w:r>
          </w:p>
        </w:tc>
        <w:tc>
          <w:tcPr>
            <w:tcW w:type="dxa" w:w="1872"/>
          </w:tcPr>
          <w:p>
            <w:r/>
            <w:r>
              <w:rPr>
                <w:sz w:val="17"/>
              </w:rPr>
              <w:t>100</w:t>
            </w:r>
          </w:p>
        </w:tc>
        <w:tc>
          <w:tcPr>
            <w:tcW w:type="dxa" w:w="1872"/>
          </w:tcPr>
          <w:p>
            <w:r/>
            <w:r>
              <w:rPr>
                <w:sz w:val="17"/>
              </w:rPr>
              <w:t>brackets=['20-29', '30-39']; samples=257; DE uses one sample/subject capped at 40/arm</w:t>
            </w:r>
          </w:p>
        </w:tc>
      </w:tr>
      <w:tr>
        <w:tc>
          <w:tcPr>
            <w:tcW w:type="dxa" w:w="1872"/>
          </w:tcPr>
          <w:p>
            <w:r/>
            <w:r>
              <w:rPr>
                <w:sz w:val="17"/>
              </w:rPr>
              <w:t>GTEx</w:t>
            </w:r>
          </w:p>
        </w:tc>
        <w:tc>
          <w:tcPr>
            <w:tcW w:type="dxa" w:w="1872"/>
          </w:tcPr>
          <w:p>
            <w:r/>
            <w:r>
              <w:rPr>
                <w:sz w:val="17"/>
              </w:rPr>
              <w:t>H_AGING_GTEX</w:t>
            </w:r>
          </w:p>
        </w:tc>
        <w:tc>
          <w:tcPr>
            <w:tcW w:type="dxa" w:w="1872"/>
          </w:tcPr>
          <w:p>
            <w:r/>
            <w:r>
              <w:rPr>
                <w:sz w:val="17"/>
              </w:rPr>
              <w:t>older_brackets</w:t>
            </w:r>
          </w:p>
        </w:tc>
        <w:tc>
          <w:tcPr>
            <w:tcW w:type="dxa" w:w="1872"/>
          </w:tcPr>
          <w:p>
            <w:r/>
            <w:r>
              <w:rPr>
                <w:sz w:val="17"/>
              </w:rPr>
              <w:t>269</w:t>
            </w:r>
          </w:p>
        </w:tc>
        <w:tc>
          <w:tcPr>
            <w:tcW w:type="dxa" w:w="1872"/>
          </w:tcPr>
          <w:p>
            <w:r/>
            <w:r>
              <w:rPr>
                <w:sz w:val="17"/>
              </w:rPr>
              <w:t>brackets=['60-69', '70-79']; samples=655; DE uses one sample/subject capped at 40/arm</w:t>
            </w:r>
          </w:p>
        </w:tc>
      </w:tr>
      <w:tr>
        <w:tc>
          <w:tcPr>
            <w:tcW w:type="dxa" w:w="1872"/>
          </w:tcPr>
          <w:p>
            <w:r/>
            <w:r>
              <w:rPr>
                <w:sz w:val="17"/>
              </w:rPr>
              <w:t>HuBMAP</w:t>
            </w:r>
          </w:p>
        </w:tc>
        <w:tc>
          <w:tcPr>
            <w:tcW w:type="dxa" w:w="1872"/>
          </w:tcPr>
          <w:p>
            <w:r/>
            <w:r>
              <w:rPr>
                <w:sz w:val="17"/>
              </w:rPr>
              <w:t>H_AGING_HUBMAP</w:t>
            </w:r>
          </w:p>
        </w:tc>
        <w:tc>
          <w:tcPr>
            <w:tcW w:type="dxa" w:w="1872"/>
          </w:tcPr>
          <w:p>
            <w:r/>
            <w:r>
              <w:rPr>
                <w:sz w:val="17"/>
              </w:rPr>
              <w:t>older</w:t>
            </w:r>
          </w:p>
        </w:tc>
        <w:tc>
          <w:tcPr>
            <w:tcW w:type="dxa" w:w="1872"/>
          </w:tcPr>
          <w:p>
            <w:r/>
            <w:r>
              <w:rPr>
                <w:sz w:val="17"/>
              </w:rPr>
              <w:t>2</w:t>
            </w:r>
          </w:p>
        </w:tc>
        <w:tc>
          <w:tcPr>
            <w:tcW w:type="dxa" w:w="1872"/>
          </w:tcPr>
          <w:p>
            <w:r/>
            <w:r>
              <w:rPr>
                <w:sz w:val="17"/>
              </w:rPr>
              <w:t>illustration only; donors=Donor_3,Donor_4; ages=56.8,52.96</w:t>
            </w:r>
          </w:p>
        </w:tc>
      </w:tr>
      <w:tr>
        <w:tc>
          <w:tcPr>
            <w:tcW w:type="dxa" w:w="1872"/>
          </w:tcPr>
          <w:p>
            <w:r/>
            <w:r>
              <w:rPr>
                <w:sz w:val="17"/>
              </w:rPr>
              <w:t>HuBMAP</w:t>
            </w:r>
          </w:p>
        </w:tc>
        <w:tc>
          <w:tcPr>
            <w:tcW w:type="dxa" w:w="1872"/>
          </w:tcPr>
          <w:p>
            <w:r/>
            <w:r>
              <w:rPr>
                <w:sz w:val="17"/>
              </w:rPr>
              <w:t>H_AGING_HUBMAP</w:t>
            </w:r>
          </w:p>
        </w:tc>
        <w:tc>
          <w:tcPr>
            <w:tcW w:type="dxa" w:w="1872"/>
          </w:tcPr>
          <w:p>
            <w:r/>
            <w:r>
              <w:rPr>
                <w:sz w:val="17"/>
              </w:rPr>
              <w:t>younger</w:t>
            </w:r>
          </w:p>
        </w:tc>
        <w:tc>
          <w:tcPr>
            <w:tcW w:type="dxa" w:w="1872"/>
          </w:tcPr>
          <w:p>
            <w:r/>
            <w:r>
              <w:rPr>
                <w:sz w:val="17"/>
              </w:rPr>
              <w:t>2</w:t>
            </w:r>
          </w:p>
        </w:tc>
        <w:tc>
          <w:tcPr>
            <w:tcW w:type="dxa" w:w="1872"/>
          </w:tcPr>
          <w:p>
            <w:r/>
            <w:r>
              <w:rPr>
                <w:sz w:val="17"/>
              </w:rPr>
              <w:t>illustration only; donors=Donor_1,Donor_2; ages=37.0,25.0</w:t>
            </w:r>
          </w:p>
        </w:tc>
      </w:tr>
      <w:tr>
        <w:tc>
          <w:tcPr>
            <w:tcW w:type="dxa" w:w="1872"/>
          </w:tcPr>
          <w:p>
            <w:r/>
            <w:r>
              <w:rPr>
                <w:sz w:val="17"/>
              </w:rPr>
              <w:t>HuBMAP</w:t>
            </w:r>
          </w:p>
        </w:tc>
        <w:tc>
          <w:tcPr>
            <w:tcW w:type="dxa" w:w="1872"/>
          </w:tcPr>
          <w:p>
            <w:r/>
            <w:r>
              <w:rPr>
                <w:sz w:val="17"/>
              </w:rPr>
              <w:t>bridge</w:t>
            </w:r>
          </w:p>
        </w:tc>
        <w:tc>
          <w:tcPr>
            <w:tcW w:type="dxa" w:w="1872"/>
          </w:tcPr>
          <w:p>
            <w:r/>
            <w:r>
              <w:rPr>
                <w:sz w:val="17"/>
              </w:rPr>
              <w:t>composition_weighted_genes</w:t>
            </w:r>
          </w:p>
        </w:tc>
        <w:tc>
          <w:tcPr>
            <w:tcW w:type="dxa" w:w="1872"/>
          </w:tcPr>
          <w:p>
            <w:r/>
            <w:r>
              <w:rPr>
                <w:sz w:val="17"/>
              </w:rPr>
              <w:t>42258</w:t>
            </w:r>
          </w:p>
        </w:tc>
        <w:tc>
          <w:tcPr>
            <w:tcW w:type="dxa" w:w="1872"/>
          </w:tcPr>
          <w:p>
            <w:r/>
            <w:r>
              <w:rPr>
                <w:sz w:val="17"/>
              </w:rPr>
              <w:t>linear-scale pseudobulk from Module 2 (levels only)</w:t>
            </w:r>
          </w:p>
        </w:tc>
      </w:tr>
      <w:tr>
        <w:tc>
          <w:tcPr>
            <w:tcW w:type="dxa" w:w="1872"/>
          </w:tcPr>
          <w:p>
            <w:r/>
            <w:r>
              <w:rPr>
                <w:sz w:val="17"/>
              </w:rPr>
              <w:t>GTEx</w:t>
            </w:r>
          </w:p>
        </w:tc>
        <w:tc>
          <w:tcPr>
            <w:tcW w:type="dxa" w:w="1872"/>
          </w:tcPr>
          <w:p>
            <w:r/>
            <w:r>
              <w:rPr>
                <w:sz w:val="17"/>
              </w:rPr>
              <w:t>bridge</w:t>
            </w:r>
          </w:p>
        </w:tc>
        <w:tc>
          <w:tcPr>
            <w:tcW w:type="dxa" w:w="1872"/>
          </w:tcPr>
          <w:p>
            <w:r/>
            <w:r>
              <w:rPr>
                <w:sz w:val="17"/>
              </w:rPr>
              <w:t>lung_mean_tpm_genes</w:t>
            </w:r>
          </w:p>
        </w:tc>
        <w:tc>
          <w:tcPr>
            <w:tcW w:type="dxa" w:w="1872"/>
          </w:tcPr>
          <w:p>
            <w:r/>
            <w:r>
              <w:rPr>
                <w:sz w:val="17"/>
              </w:rPr>
              <w:t>59033</w:t>
            </w:r>
          </w:p>
        </w:tc>
        <w:tc>
          <w:tcPr>
            <w:tcW w:type="dxa" w:w="1872"/>
          </w:tcPr>
          <w:p>
            <w:r/>
            <w:r>
              <w:rPr>
                <w:sz w:val="17"/>
              </w:rPr>
              <w:t>mean TPM for levels/bridge only; age DE uses gene_reads</w:t>
            </w:r>
          </w:p>
        </w:tc>
      </w:tr>
    </w:tbl>
    <w:p>
      <w:r>
        <w:rPr>
          <w:i/>
          <w:color w:val="444444"/>
          <w:sz w:val="17"/>
        </w:rPr>
        <w:t>Source: module4_sample_counts.tsv</w:t>
      </w:r>
    </w:p>
    <w:p>
      <w:pPr>
        <w:pStyle w:val="Heading1"/>
      </w:pPr>
      <w:r>
        <w:rPr>
          <w:color w:val="1F4E79"/>
        </w:rPr>
        <w:t>3. Methods</w:t>
      </w:r>
    </w:p>
    <w:p>
      <w:pPr>
        <w:spacing w:after="140"/>
      </w:pPr>
      <w:r>
        <w:rPr>
          <w:sz w:val="21"/>
        </w:rPr>
        <w:t xml:space="preserve">Parameters below are live values under </w:t>
      </w:r>
      <w:r>
        <w:rPr>
          <w:rFonts w:ascii="Menlo" w:hAnsi="Menlo"/>
          <w:color w:val="1A3E6E"/>
          <w:sz w:val="19"/>
        </w:rPr>
        <w:t>module4</w:t>
      </w:r>
      <w:r>
        <w:rPr>
          <w:sz w:val="21"/>
        </w:rPr>
        <w:t xml:space="preserve"> in </w:t>
      </w:r>
      <w:r>
        <w:rPr>
          <w:rFonts w:ascii="Menlo" w:hAnsi="Menlo"/>
          <w:color w:val="1A3E6E"/>
          <w:sz w:val="19"/>
        </w:rPr>
        <w:t>config/paths.yaml</w:t>
      </w:r>
      <w:r>
        <w:rPr>
          <w:sz w:val="21"/>
        </w:rPr>
        <w:t xml:space="preserve">. Scripts live in </w:t>
      </w:r>
      <w:r>
        <w:rPr>
          <w:rFonts w:ascii="Menlo" w:hAnsi="Menlo"/>
          <w:color w:val="1A3E6E"/>
          <w:sz w:val="19"/>
        </w:rPr>
        <w:t>scripts/nb06_crossres/</w:t>
      </w:r>
      <w:r>
        <w:rPr>
          <w:sz w:val="21"/>
        </w:rPr>
        <w:t xml:space="preserve">. Native expression levels never travel across ecosystems; within-resource log fold-change and pathway NES do. The headline analysis is </w:t>
      </w:r>
      <w:r>
        <w:rPr>
          <w:b/>
          <w:sz w:val="21"/>
        </w:rPr>
        <w:t>shared-mechanism concordance</w:t>
      </w:r>
      <w:r>
        <w:rPr>
          <w:sz w:val="21"/>
        </w:rPr>
        <w:t xml:space="preserve"> against chance; global NES Spearman is supporting context only.</w:t>
      </w:r>
    </w:p>
    <w:p>
      <w:pPr>
        <w:spacing w:after="140"/>
      </w:pPr>
      <w:r>
        <w:rPr>
          <w:sz w:val="21"/>
        </w:rPr>
        <w:t xml:space="preserve">Each Methods step below corresponds to a section of </w:t>
      </w:r>
      <w:r>
        <w:rPr>
          <w:rFonts w:ascii="Menlo" w:hAnsi="Menlo"/>
          <w:color w:val="1A3E6E"/>
          <w:sz w:val="19"/>
        </w:rPr>
        <w:t>notebooks/04_cross_ecosystem.ipynb</w:t>
      </w:r>
      <w:r>
        <w:rPr>
          <w:sz w:val="21"/>
        </w:rPr>
        <w:t>. The notebook is ordered by the question each result answers rather than by the order the steps run, so the two sequences do not track each other:</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r/>
            <w:r>
              <w:rPr>
                <w:b/>
                <w:sz w:val="17"/>
              </w:rPr>
              <w:t>Methods step</w:t>
            </w:r>
          </w:p>
        </w:tc>
        <w:tc>
          <w:tcPr>
            <w:tcW w:type="dxa" w:w="4680"/>
            <w:shd w:val="clear" w:fill="DCE6F1"/>
          </w:tcPr>
          <w:p>
            <w:r/>
            <w:r>
              <w:rPr>
                <w:b/>
                <w:sz w:val="17"/>
              </w:rPr>
              <w:t>Notebook section</w:t>
            </w:r>
          </w:p>
        </w:tc>
      </w:tr>
      <w:tr>
        <w:tc>
          <w:tcPr>
            <w:tcW w:type="dxa" w:w="4680"/>
          </w:tcPr>
          <w:p>
            <w:r/>
            <w:r>
              <w:rPr>
                <w:sz w:val="17"/>
              </w:rPr>
              <w:t>1. Within-resource DE (pydeseq2)</w:t>
            </w:r>
          </w:p>
        </w:tc>
        <w:tc>
          <w:tcPr>
            <w:tcW w:type="dxa" w:w="4680"/>
          </w:tcPr>
          <w:p>
            <w:r/>
            <w:r>
              <w:rPr>
                <w:sz w:val="17"/>
              </w:rPr>
              <w:t>2. Four within-resource contrasts and calibration</w:t>
            </w:r>
          </w:p>
        </w:tc>
      </w:tr>
      <w:tr>
        <w:tc>
          <w:tcPr>
            <w:tcW w:type="dxa" w:w="4680"/>
          </w:tcPr>
          <w:p>
            <w:r/>
            <w:r>
              <w:rPr>
                <w:sz w:val="17"/>
              </w:rPr>
              <w:t>2. Calibration of the flight contrast</w:t>
            </w:r>
          </w:p>
        </w:tc>
        <w:tc>
          <w:tcPr>
            <w:tcW w:type="dxa" w:w="4680"/>
          </w:tcPr>
          <w:p>
            <w:r/>
            <w:r>
              <w:rPr>
                <w:sz w:val="17"/>
              </w:rPr>
              <w:t>2. Four within-resource contrasts and calibration</w:t>
            </w:r>
          </w:p>
        </w:tc>
      </w:tr>
      <w:tr>
        <w:tc>
          <w:tcPr>
            <w:tcW w:type="dxa" w:w="4680"/>
          </w:tcPr>
          <w:p>
            <w:r/>
            <w:r>
              <w:rPr>
                <w:sz w:val="17"/>
              </w:rPr>
              <w:t>3. Ortholog mapping (mouse to human)</w:t>
            </w:r>
          </w:p>
        </w:tc>
        <w:tc>
          <w:tcPr>
            <w:tcW w:type="dxa" w:w="4680"/>
          </w:tcPr>
          <w:p>
            <w:r/>
            <w:r>
              <w:rPr>
                <w:sz w:val="17"/>
              </w:rPr>
              <w:t>3. Ortholog mapping and pathway concordance</w:t>
            </w:r>
          </w:p>
        </w:tc>
      </w:tr>
      <w:tr>
        <w:tc>
          <w:tcPr>
            <w:tcW w:type="dxa" w:w="4680"/>
          </w:tcPr>
          <w:p>
            <w:r/>
            <w:r>
              <w:rPr>
                <w:sz w:val="17"/>
              </w:rPr>
              <w:t>4. HuBMAP-GTEx level bridge</w:t>
            </w:r>
          </w:p>
        </w:tc>
        <w:tc>
          <w:tcPr>
            <w:tcW w:type="dxa" w:w="4680"/>
          </w:tcPr>
          <w:p>
            <w:r/>
            <w:r>
              <w:rPr>
                <w:sz w:val="17"/>
              </w:rPr>
              <w:t>4. HuBMAP to GTEx level bridge</w:t>
            </w:r>
          </w:p>
        </w:tc>
      </w:tr>
      <w:tr>
        <w:tc>
          <w:tcPr>
            <w:tcW w:type="dxa" w:w="4680"/>
          </w:tcPr>
          <w:p>
            <w:r/>
            <w:r>
              <w:rPr>
                <w:sz w:val="17"/>
              </w:rPr>
              <w:t>5. Pathway NES and configured pairs</w:t>
            </w:r>
          </w:p>
        </w:tc>
        <w:tc>
          <w:tcPr>
            <w:tcW w:type="dxa" w:w="4680"/>
          </w:tcPr>
          <w:p>
            <w:r/>
            <w:r>
              <w:rPr>
                <w:sz w:val="17"/>
              </w:rPr>
              <w:t>3. Ortholog mapping and pathway concordance</w:t>
            </w:r>
          </w:p>
        </w:tc>
      </w:tr>
      <w:tr>
        <w:tc>
          <w:tcPr>
            <w:tcW w:type="dxa" w:w="4680"/>
          </w:tcPr>
          <w:p>
            <w:r/>
            <w:r>
              <w:rPr>
                <w:sz w:val="17"/>
              </w:rPr>
              <w:t>6. Shared-mechanism concordance</w:t>
            </w:r>
          </w:p>
        </w:tc>
        <w:tc>
          <w:tcPr>
            <w:tcW w:type="dxa" w:w="4680"/>
          </w:tcPr>
          <w:p>
            <w:r/>
            <w:r>
              <w:rPr>
                <w:sz w:val="17"/>
              </w:rPr>
              <w:t>3. Ortholog mapping and pathway concordance</w:t>
            </w:r>
          </w:p>
        </w:tc>
      </w:tr>
    </w:tbl>
    <w:p>
      <w:pPr>
        <w:spacing w:after="140"/>
      </w:pPr>
      <w:r>
        <w:rPr>
          <w:sz w:val="21"/>
        </w:rPr>
        <w:t>The notebook runs in the order the questions are asked rather than the order the steps execute, so step 4 appears after steps 5 and 6. Notebook section 1, on whether native expression levels can be compared across resources, is reported under Results as "Native levels do not travel" rather than as a Methods step.</w:t>
      </w:r>
    </w:p>
    <w:p>
      <w:pPr>
        <w:pStyle w:val="Heading4"/>
      </w:pPr>
      <w:r>
        <w:rPr>
          <w:color w:val="1F4E79"/>
        </w:rPr>
        <w:t>1. Within-resource DE (pydeseq2)</w:t>
      </w:r>
    </w:p>
    <w:p>
      <w:pPr>
        <w:spacing w:after="140"/>
      </w:pPr>
      <w:r>
        <w:rPr>
          <w:b/>
          <w:sz w:val="21"/>
        </w:rPr>
        <w:t>Script.</w:t>
      </w:r>
      <w:r>
        <w:rPr>
          <w:sz w:val="21"/>
        </w:rPr>
        <w:t xml:space="preserve"> </w:t>
      </w:r>
      <w:r>
        <w:rPr>
          <w:rFonts w:ascii="Menlo" w:hAnsi="Menlo"/>
          <w:color w:val="1A3E6E"/>
          <w:sz w:val="19"/>
        </w:rPr>
        <w:t>scripts/nb06_crossres/contrasts.py</w:t>
      </w:r>
      <w:r>
        <w:rPr>
          <w:sz w:val="21"/>
        </w:rPr>
        <w:t xml:space="preserve"> (</w:t>
      </w:r>
      <w:r>
        <w:rPr>
          <w:rFonts w:ascii="Menlo" w:hAnsi="Menlo"/>
          <w:color w:val="1A3E6E"/>
          <w:sz w:val="19"/>
        </w:rPr>
        <w:t>contrast_h_disease</w:t>
      </w:r>
      <w:r>
        <w:rPr>
          <w:sz w:val="21"/>
        </w:rPr>
        <w:t xml:space="preserve">, </w:t>
      </w:r>
      <w:r>
        <w:rPr>
          <w:rFonts w:ascii="Menlo" w:hAnsi="Menlo"/>
          <w:color w:val="1A3E6E"/>
          <w:sz w:val="19"/>
        </w:rPr>
        <w:t>contrast_h_aging_gtex</w:t>
      </w:r>
      <w:r>
        <w:rPr>
          <w:sz w:val="21"/>
        </w:rPr>
        <w:t xml:space="preserve">, </w:t>
      </w:r>
      <w:r>
        <w:rPr>
          <w:rFonts w:ascii="Menlo" w:hAnsi="Menlo"/>
          <w:color w:val="1A3E6E"/>
          <w:sz w:val="19"/>
        </w:rPr>
        <w:t>contrast_h_aging_hubmap</w:t>
      </w:r>
      <w:r>
        <w:rPr>
          <w:sz w:val="21"/>
        </w:rPr>
        <w:t xml:space="preserve">, </w:t>
      </w:r>
      <w:r>
        <w:rPr>
          <w:rFonts w:ascii="Menlo" w:hAnsi="Menlo"/>
          <w:color w:val="1A3E6E"/>
          <w:sz w:val="19"/>
        </w:rPr>
        <w:t>contrast_m_flight</w:t>
      </w:r>
      <w:r>
        <w:rPr>
          <w:sz w:val="21"/>
        </w:rPr>
        <w:t xml:space="preserve">, </w:t>
      </w:r>
      <w:r>
        <w:rPr>
          <w:rFonts w:ascii="Menlo" w:hAnsi="Menlo"/>
          <w:color w:val="1A3E6E"/>
          <w:sz w:val="19"/>
        </w:rPr>
        <w:t>_pydeseq2_contrast</w:t>
      </w:r>
      <w:r>
        <w:rPr>
          <w:sz w:val="21"/>
        </w:rPr>
        <w:t xml:space="preserve">); loaders in </w:t>
      </w:r>
      <w:r>
        <w:rPr>
          <w:rFonts w:ascii="Menlo" w:hAnsi="Menlo"/>
          <w:color w:val="1A3E6E"/>
          <w:sz w:val="19"/>
        </w:rPr>
        <w:t>scripts/nb06_crossres/load.py</w:t>
      </w:r>
      <w:r>
        <w:rPr>
          <w:sz w:val="21"/>
        </w:rPr>
        <w:t xml:space="preserve"> and </w:t>
      </w:r>
      <w:r>
        <w:rPr>
          <w:rFonts w:ascii="Menlo" w:hAnsi="Menlo"/>
          <w:color w:val="1A3E6E"/>
          <w:sz w:val="19"/>
        </w:rPr>
        <w:t>scripts/nb06_crossres/hubmap_donor_counts.py</w:t>
      </w:r>
      <w:r>
        <w:rPr>
          <w:sz w:val="21"/>
        </w:rPr>
        <w:t>.</w:t>
      </w:r>
    </w:p>
    <w:p>
      <w:pPr>
        <w:spacing w:after="140"/>
      </w:pPr>
      <w:r>
        <w:rPr>
          <w:b/>
          <w:sz w:val="21"/>
        </w:rPr>
        <w:t>What.</w:t>
      </w:r>
      <w:r>
        <w:rPr>
          <w:sz w:val="21"/>
        </w:rPr>
        <w:t xml:space="preserve"> Fit negative binomial DE separately in each resource with explicit reference levels (</w:t>
      </w:r>
      <w:r>
        <w:rPr>
          <w:rFonts w:ascii="Menlo" w:hAnsi="Menlo"/>
          <w:color w:val="1A3E6E"/>
          <w:sz w:val="19"/>
        </w:rPr>
        <w:t>Treatment(reference)</w:t>
      </w:r>
      <w:r>
        <w:rPr>
          <w:sz w:val="21"/>
        </w:rPr>
        <w:t>). Never concatenate counts across studies or species. Four contrasts only:</w:t>
      </w:r>
    </w:p>
    <w:p>
      <w:pPr>
        <w:pStyle w:val="ListBullet"/>
        <w:spacing w:after="40"/>
      </w:pPr>
      <w:r>
        <w:rPr>
          <w:rFonts w:ascii="Menlo" w:hAnsi="Menlo"/>
          <w:color w:val="1A3E6E"/>
          <w:sz w:val="19"/>
        </w:rPr>
        <w:t>H_DISEASE</w:t>
      </w:r>
      <w:r>
        <w:rPr>
          <w:sz w:val="21"/>
        </w:rPr>
        <w:t>: GEO GSE150910 IPF vs control (</w:t>
      </w:r>
      <w:r>
        <w:rPr>
          <w:rFonts w:ascii="Menlo" w:hAnsi="Menlo"/>
          <w:color w:val="1A3E6E"/>
          <w:sz w:val="19"/>
        </w:rPr>
        <w:t>~ condition</w:t>
      </w:r>
      <w:r>
        <w:rPr>
          <w:sz w:val="21"/>
        </w:rPr>
        <w:t>)</w:t>
      </w:r>
    </w:p>
    <w:p>
      <w:pPr>
        <w:pStyle w:val="ListBullet"/>
        <w:spacing w:after="40"/>
      </w:pPr>
      <w:r>
        <w:rPr>
          <w:rFonts w:ascii="Menlo" w:hAnsi="Menlo"/>
          <w:color w:val="1A3E6E"/>
          <w:sz w:val="19"/>
        </w:rPr>
        <w:t>H_AGING_GTEX</w:t>
      </w:r>
      <w:r>
        <w:rPr>
          <w:sz w:val="21"/>
        </w:rPr>
        <w:t>: GTEx v10 lung older vs younger brackets</w:t>
      </w:r>
    </w:p>
    <w:p>
      <w:pPr>
        <w:pStyle w:val="ListBullet"/>
        <w:spacing w:after="40"/>
      </w:pPr>
      <w:r>
        <w:rPr>
          <w:rFonts w:ascii="Menlo" w:hAnsi="Menlo"/>
          <w:color w:val="1A3E6E"/>
          <w:sz w:val="19"/>
        </w:rPr>
        <w:t>H_AGING_HUBMAP</w:t>
      </w:r>
      <w:r>
        <w:rPr>
          <w:sz w:val="21"/>
        </w:rPr>
        <w:t>: HuBMAP teaching donors older vs younger (2 vs 2 illustration from summed counts)</w:t>
      </w:r>
    </w:p>
    <w:p>
      <w:pPr>
        <w:pStyle w:val="ListBullet"/>
        <w:spacing w:after="40"/>
      </w:pPr>
      <w:r>
        <w:rPr>
          <w:rFonts w:ascii="Menlo" w:hAnsi="Menlo"/>
          <w:color w:val="1A3E6E"/>
          <w:sz w:val="19"/>
        </w:rPr>
        <w:t>M_FLIGHT</w:t>
      </w:r>
      <w:r>
        <w:rPr>
          <w:sz w:val="21"/>
        </w:rPr>
        <w:t>: OSD-248 ISS-T flight vs ground control</w:t>
      </w:r>
    </w:p>
    <w:p>
      <w:pPr>
        <w:spacing w:after="140"/>
      </w:pPr>
      <w:r>
        <w:rPr>
          <w:sz w:val="21"/>
        </w:rPr>
        <w:t>Filter genes with low total counts (</w:t>
      </w:r>
      <w:r>
        <w:rPr>
          <w:rFonts w:ascii="Menlo" w:hAnsi="Menlo"/>
          <w:color w:val="1A3E6E"/>
          <w:sz w:val="19"/>
        </w:rPr>
        <w:t>de_min_count_sum</w:t>
      </w:r>
      <w:r>
        <w:rPr>
          <w:sz w:val="21"/>
        </w:rPr>
        <w:t>). Round RSEM expected counts to integers before pydeseq2 where required.</w:t>
      </w:r>
    </w:p>
    <w:p>
      <w:pPr>
        <w:spacing w:after="140"/>
      </w:pPr>
      <w:r>
        <w:rPr>
          <w:b/>
          <w:sz w:val="21"/>
        </w:rPr>
        <w:t>Parameters:</w:t>
      </w:r>
      <w:r>
        <w:rPr>
          <w:sz w:val="21"/>
        </w:rPr>
        <w:t xml:space="preserve"> see Appendix, section 1.</w:t>
      </w:r>
    </w:p>
    <w:p>
      <w:pPr>
        <w:spacing w:after="140"/>
      </w:pPr>
      <w:r>
        <w:rPr>
          <w:b/>
          <w:sz w:val="21"/>
        </w:rPr>
        <w:t>Why.</w:t>
      </w:r>
      <w:r>
        <w:rPr>
          <w:sz w:val="21"/>
        </w:rPr>
        <w:t xml:space="preserve"> Units differ (TPM, rounded sums, RSEM counts). Alphabetical factor orders would invert several contrasts; references are set deliberately. HuBMAP aging is illustration-only: ages sit inside GTEx middle brackets and power differs by an order of magnitude from </w:t>
      </w:r>
      <w:r>
        <w:rPr>
          <w:rFonts w:ascii="Menlo" w:hAnsi="Menlo"/>
          <w:color w:val="1A3E6E"/>
          <w:sz w:val="19"/>
        </w:rPr>
        <w:t>H_AGING_GTEX</w:t>
      </w:r>
      <w:r>
        <w:rPr>
          <w:sz w:val="21"/>
        </w:rPr>
        <w:t>.</w:t>
      </w:r>
    </w:p>
    <w:p>
      <w:pPr>
        <w:pStyle w:val="Heading4"/>
      </w:pPr>
      <w:r>
        <w:rPr>
          <w:color w:val="1F4E79"/>
        </w:rPr>
        <w:t>2. Calibration of the flight contrast</w:t>
      </w:r>
    </w:p>
    <w:p>
      <w:pPr>
        <w:spacing w:after="140"/>
      </w:pPr>
      <w:r>
        <w:rPr>
          <w:b/>
          <w:sz w:val="21"/>
        </w:rPr>
        <w:t>Script.</w:t>
      </w:r>
      <w:r>
        <w:rPr>
          <w:sz w:val="21"/>
        </w:rPr>
        <w:t xml:space="preserve"> </w:t>
      </w:r>
      <w:r>
        <w:rPr>
          <w:rFonts w:ascii="Menlo" w:hAnsi="Menlo"/>
          <w:color w:val="1A3E6E"/>
          <w:sz w:val="19"/>
        </w:rPr>
        <w:t>scripts/nb06_crossres/ercc_calib.py</w:t>
      </w:r>
      <w:r>
        <w:rPr>
          <w:sz w:val="21"/>
        </w:rPr>
        <w:t xml:space="preserve"> (</w:t>
      </w:r>
      <w:r>
        <w:rPr>
          <w:rFonts w:ascii="Menlo" w:hAnsi="Menlo"/>
          <w:color w:val="1A3E6E"/>
          <w:sz w:val="19"/>
        </w:rPr>
        <w:t>ercc_calibration_frame</w:t>
      </w:r>
      <w:r>
        <w:rPr>
          <w:sz w:val="21"/>
        </w:rPr>
        <w:t xml:space="preserve">, </w:t>
      </w:r>
      <w:r>
        <w:rPr>
          <w:rFonts w:ascii="Menlo" w:hAnsi="Menlo"/>
          <w:color w:val="1A3E6E"/>
          <w:sz w:val="19"/>
        </w:rPr>
        <w:t>ercc_calibration_summary</w:t>
      </w:r>
      <w:r>
        <w:rPr>
          <w:sz w:val="21"/>
        </w:rPr>
        <w:t xml:space="preserve">, </w:t>
      </w:r>
      <w:r>
        <w:rPr>
          <w:rFonts w:ascii="Menlo" w:hAnsi="Menlo"/>
          <w:color w:val="1A3E6E"/>
          <w:sz w:val="19"/>
        </w:rPr>
        <w:t>plot_ercc_calibration</w:t>
      </w:r>
      <w:r>
        <w:rPr>
          <w:sz w:val="21"/>
        </w:rPr>
        <w:t xml:space="preserve">); GeneLab subset in </w:t>
      </w:r>
      <w:r>
        <w:rPr>
          <w:rFonts w:ascii="Menlo" w:hAnsi="Menlo"/>
          <w:color w:val="1A3E6E"/>
          <w:sz w:val="19"/>
        </w:rPr>
        <w:t>scripts/nb06_crossres/genelab_subset.py</w:t>
      </w:r>
      <w:r>
        <w:rPr>
          <w:sz w:val="21"/>
        </w:rPr>
        <w:t xml:space="preserve">; size-factor policy in </w:t>
      </w:r>
      <w:r>
        <w:rPr>
          <w:rFonts w:ascii="Menlo" w:hAnsi="Menlo"/>
          <w:color w:val="1A3E6E"/>
          <w:sz w:val="19"/>
        </w:rPr>
        <w:t>contrast_m_flight</w:t>
      </w:r>
      <w:r>
        <w:rPr>
          <w:sz w:val="21"/>
        </w:rPr>
        <w:t>.</w:t>
      </w:r>
    </w:p>
    <w:p>
      <w:pPr>
        <w:spacing w:after="140"/>
      </w:pPr>
      <w:r>
        <w:rPr>
          <w:b/>
          <w:sz w:val="21"/>
        </w:rPr>
        <w:t>What.</w:t>
      </w:r>
      <w:r>
        <w:rPr>
          <w:sz w:val="21"/>
        </w:rPr>
        <w:t xml:space="preserve"> ExFold spike-in calibration for OSD-248 (flight Mix1 vs GC Mix2) against Thermo Fisher expected fold changes. Cross-check endogenous logFC against a committed GeneLab ISS-T DE subset (</w:t>
      </w:r>
      <w:r>
        <w:rPr>
          <w:rFonts w:ascii="Menlo" w:hAnsi="Menlo"/>
          <w:color w:val="1A3E6E"/>
          <w:sz w:val="19"/>
        </w:rPr>
        <w:t>osd248_genelab_isst_de_subset</w:t>
      </w:r>
      <w:r>
        <w:rPr>
          <w:sz w:val="21"/>
        </w:rPr>
        <w:t>). Estimate size factors on endogenous genes only (</w:t>
      </w:r>
      <w:r>
        <w:rPr>
          <w:rFonts w:ascii="Menlo" w:hAnsi="Menlo"/>
          <w:color w:val="1A3E6E"/>
          <w:sz w:val="19"/>
        </w:rPr>
        <w:t>module4.osd248.exclude_ercc_from_size_factors: true</w:t>
      </w:r>
      <w:r>
        <w:rPr>
          <w:sz w:val="21"/>
        </w:rPr>
        <w:t xml:space="preserve">) while keeping ERCC rows for calibration plots. Optional RIN/QA sensitivity uses </w:t>
      </w:r>
      <w:r>
        <w:rPr>
          <w:rFonts w:ascii="Menlo" w:hAnsi="Menlo"/>
          <w:color w:val="1A3E6E"/>
          <w:sz w:val="19"/>
        </w:rPr>
        <w:t>rin_sensitivity</w:t>
      </w:r>
      <w:r>
        <w:rPr>
          <w:sz w:val="21"/>
        </w:rPr>
        <w:t xml:space="preserve"> / </w:t>
      </w:r>
      <w:r>
        <w:rPr>
          <w:rFonts w:ascii="Menlo" w:hAnsi="Menlo"/>
          <w:color w:val="1A3E6E"/>
          <w:sz w:val="19"/>
        </w:rPr>
        <w:t>rin_sensitivity_threshold</w:t>
      </w:r>
      <w:r>
        <w:rPr>
          <w:sz w:val="21"/>
        </w:rPr>
        <w:t xml:space="preserve"> 6.0.</w:t>
      </w:r>
    </w:p>
    <w:p>
      <w:pPr>
        <w:spacing w:after="140"/>
      </w:pPr>
      <w:r>
        <w:rPr>
          <w:b/>
          <w:sz w:val="21"/>
        </w:rPr>
        <w:t>Parameters:</w:t>
      </w:r>
      <w:r>
        <w:rPr>
          <w:sz w:val="21"/>
        </w:rPr>
        <w:t xml:space="preserve"> see Appendix, section 2.</w:t>
      </w:r>
    </w:p>
    <w:p>
      <w:pPr>
        <w:spacing w:after="140"/>
      </w:pPr>
      <w:r>
        <w:rPr>
          <w:b/>
          <w:sz w:val="21"/>
        </w:rPr>
        <w:t>Why.</w:t>
      </w:r>
      <w:r>
        <w:rPr>
          <w:sz w:val="21"/>
        </w:rPr>
        <w:t xml:space="preserve"> Spike-ins can dominate ranks when mixes differ by arm. Calibration asks whether the flight contrast is methodologically usable before biology claims. Putting ERCC back into size factors was tested and rejected (ground ERCC fraction was higher; pathway </w:t>
      </w:r>
      <w:r>
        <w:rPr>
          <w:rFonts w:ascii="Menlo" w:hAnsi="Menlo"/>
          <w:color w:val="1A3E6E"/>
          <w:sz w:val="19"/>
        </w:rPr>
        <w:t>p_up</w:t>
      </w:r>
      <w:r>
        <w:rPr>
          <w:sz w:val="21"/>
        </w:rPr>
        <w:t xml:space="preserve"> stayed 0). Adult globin share was checked and was not a material flight-specific driver: 1.33 percent of the non-ERCC library in flight against 0.96 percent in ground, a difference of 0.36 percentage points. Even when methods checks pass, flight pathway passers that are unanimously down remain </w:t>
      </w:r>
      <w:r>
        <w:rPr>
          <w:b/>
          <w:sz w:val="21"/>
        </w:rPr>
        <w:t>uninterpretable, not null</w:t>
      </w:r>
      <w:r>
        <w:rPr>
          <w:sz w:val="21"/>
        </w:rPr>
        <w:t>, for cross-ecosystem concordance.</w:t>
      </w:r>
    </w:p>
    <w:p>
      <w:pPr>
        <w:pStyle w:val="Heading4"/>
      </w:pPr>
      <w:r>
        <w:rPr>
          <w:color w:val="1F4E79"/>
        </w:rPr>
        <w:t>3. Ortholog mapping (mouse to human)</w:t>
      </w:r>
    </w:p>
    <w:p>
      <w:pPr>
        <w:spacing w:after="140"/>
      </w:pPr>
      <w:r>
        <w:rPr>
          <w:b/>
          <w:sz w:val="21"/>
        </w:rPr>
        <w:t>Script.</w:t>
      </w:r>
      <w:r>
        <w:rPr>
          <w:sz w:val="21"/>
        </w:rPr>
        <w:t xml:space="preserve"> </w:t>
      </w:r>
      <w:r>
        <w:rPr>
          <w:rFonts w:ascii="Menlo" w:hAnsi="Menlo"/>
          <w:color w:val="1A3E6E"/>
          <w:sz w:val="19"/>
        </w:rPr>
        <w:t>scripts/nb06_crossres/orthologs.py</w:t>
      </w:r>
      <w:r>
        <w:rPr>
          <w:sz w:val="21"/>
        </w:rPr>
        <w:t xml:space="preserve"> (</w:t>
      </w:r>
      <w:r>
        <w:rPr>
          <w:rFonts w:ascii="Menlo" w:hAnsi="Menlo"/>
          <w:color w:val="1A3E6E"/>
          <w:sz w:val="19"/>
        </w:rPr>
        <w:t>load_ortholog_table</w:t>
      </w:r>
      <w:r>
        <w:rPr>
          <w:sz w:val="21"/>
        </w:rPr>
        <w:t xml:space="preserve">, </w:t>
      </w:r>
      <w:r>
        <w:rPr>
          <w:rFonts w:ascii="Menlo" w:hAnsi="Menlo"/>
          <w:color w:val="1A3E6E"/>
          <w:sz w:val="19"/>
        </w:rPr>
        <w:t>ortholog_loss_record</w:t>
      </w:r>
      <w:r>
        <w:rPr>
          <w:sz w:val="21"/>
        </w:rPr>
        <w:t xml:space="preserve">, </w:t>
      </w:r>
      <w:r>
        <w:rPr>
          <w:rFonts w:ascii="Menlo" w:hAnsi="Menlo"/>
          <w:color w:val="1A3E6E"/>
          <w:sz w:val="19"/>
        </w:rPr>
        <w:t>align_logfc_by_ortholog</w:t>
      </w:r>
      <w:r>
        <w:rPr>
          <w:sz w:val="21"/>
        </w:rPr>
        <w:t>).</w:t>
      </w:r>
    </w:p>
    <w:p>
      <w:pPr>
        <w:spacing w:after="140"/>
      </w:pPr>
      <w:r>
        <w:rPr>
          <w:b/>
          <w:sz w:val="21"/>
        </w:rPr>
        <w:t>What.</w:t>
      </w:r>
      <w:r>
        <w:rPr>
          <w:sz w:val="21"/>
        </w:rPr>
        <w:t xml:space="preserve"> Map mouse genes to human symbols with Ensembl one-to-one orthologs (</w:t>
      </w:r>
      <w:r>
        <w:rPr>
          <w:rFonts w:ascii="Menlo" w:hAnsi="Menlo"/>
          <w:color w:val="1A3E6E"/>
          <w:sz w:val="19"/>
        </w:rPr>
        <w:t>data/reference/human_mouse_orthologs_one2one.tsv</w:t>
      </w:r>
      <w:r>
        <w:rPr>
          <w:sz w:val="21"/>
        </w:rPr>
        <w:t xml:space="preserve">; BioMart download metadata under </w:t>
      </w:r>
      <w:r>
        <w:rPr>
          <w:rFonts w:ascii="Menlo" w:hAnsi="Menlo"/>
          <w:color w:val="1A3E6E"/>
          <w:sz w:val="19"/>
        </w:rPr>
        <w:t>module4.orthologs_meta</w:t>
      </w:r>
      <w:r>
        <w:rPr>
          <w:sz w:val="21"/>
        </w:rPr>
        <w:t xml:space="preserve">). Record loss in </w:t>
      </w:r>
      <w:r>
        <w:rPr>
          <w:rFonts w:ascii="Menlo" w:hAnsi="Menlo"/>
          <w:color w:val="1A3E6E"/>
          <w:sz w:val="19"/>
        </w:rPr>
        <w:t>module4_ortholog_loss.tsv</w:t>
      </w:r>
      <w:r>
        <w:rPr>
          <w:sz w:val="21"/>
        </w:rPr>
        <w:t>. Leading-edge overlaps for cross-species mechanism pairs restrict both sides to the mappable human-symbol subspace.</w:t>
      </w:r>
    </w:p>
    <w:p>
      <w:pPr>
        <w:spacing w:after="140"/>
      </w:pPr>
      <w:r>
        <w:rPr>
          <w:b/>
          <w:sz w:val="21"/>
        </w:rPr>
        <w:t>Parameters:</w:t>
      </w:r>
      <w:r>
        <w:rPr>
          <w:sz w:val="21"/>
        </w:rPr>
        <w:t xml:space="preserve"> see Appendix, section 3.</w:t>
      </w:r>
    </w:p>
    <w:p>
      <w:pPr>
        <w:spacing w:after="140"/>
      </w:pPr>
      <w:r>
        <w:rPr>
          <w:b/>
          <w:sz w:val="21"/>
        </w:rPr>
        <w:t>Why.</w:t>
      </w:r>
      <w:r>
        <w:rPr>
          <w:sz w:val="21"/>
        </w:rPr>
        <w:t xml:space="preserve"> Many-to-many orthologs would double-count. Loss is part of the result and must travel with any human-space NES comparison that includes mouse flight.</w:t>
      </w:r>
    </w:p>
    <w:p>
      <w:pPr>
        <w:pStyle w:val="Heading4"/>
      </w:pPr>
      <w:r>
        <w:rPr>
          <w:color w:val="1F4E79"/>
        </w:rPr>
        <w:t>4. HuBMAP-GTEx level bridge (demonstration only)</w:t>
      </w:r>
    </w:p>
    <w:p>
      <w:pPr>
        <w:spacing w:after="140"/>
      </w:pPr>
      <w:r>
        <w:rPr>
          <w:b/>
          <w:sz w:val="21"/>
        </w:rPr>
        <w:t>Script.</w:t>
      </w:r>
      <w:r>
        <w:rPr>
          <w:sz w:val="21"/>
        </w:rPr>
        <w:t xml:space="preserve"> </w:t>
      </w:r>
      <w:r>
        <w:rPr>
          <w:rFonts w:ascii="Menlo" w:hAnsi="Menlo"/>
          <w:color w:val="1A3E6E"/>
          <w:sz w:val="19"/>
        </w:rPr>
        <w:t>scripts/nb06_crossres/compare.py</w:t>
      </w:r>
      <w:r>
        <w:rPr>
          <w:sz w:val="21"/>
        </w:rPr>
        <w:t xml:space="preserve"> (</w:t>
      </w:r>
      <w:r>
        <w:rPr>
          <w:rFonts w:ascii="Menlo" w:hAnsi="Menlo"/>
          <w:color w:val="1A3E6E"/>
          <w:sz w:val="19"/>
        </w:rPr>
        <w:t>hubmap_gtex_bridge_table</w:t>
      </w:r>
      <w:r>
        <w:rPr>
          <w:sz w:val="21"/>
        </w:rPr>
        <w:t xml:space="preserve">, </w:t>
      </w:r>
      <w:r>
        <w:rPr>
          <w:rFonts w:ascii="Menlo" w:hAnsi="Menlo"/>
          <w:color w:val="1A3E6E"/>
          <w:sz w:val="19"/>
        </w:rPr>
        <w:t>plot_pseudobulk_vs_gtex</w:t>
      </w:r>
      <w:r>
        <w:rPr>
          <w:sz w:val="21"/>
        </w:rPr>
        <w:t xml:space="preserve">); inputs from Module 2 pseudobulk exports and GTEx TPM means via </w:t>
      </w:r>
      <w:r>
        <w:rPr>
          <w:rFonts w:ascii="Menlo" w:hAnsi="Menlo"/>
          <w:color w:val="1A3E6E"/>
          <w:sz w:val="19"/>
        </w:rPr>
        <w:t>scripts/nb06_crossres/load.py</w:t>
      </w:r>
      <w:r>
        <w:rPr>
          <w:sz w:val="21"/>
        </w:rPr>
        <w:t>.</w:t>
      </w:r>
    </w:p>
    <w:p>
      <w:pPr>
        <w:spacing w:after="140"/>
      </w:pPr>
      <w:r>
        <w:rPr>
          <w:b/>
          <w:sz w:val="21"/>
        </w:rPr>
        <w:t>What.</w:t>
      </w:r>
      <w:r>
        <w:rPr>
          <w:sz w:val="21"/>
        </w:rPr>
        <w:t xml:space="preserve"> Compare Module 2 composition-weighted and max-across-labels HuBMAP pseudobulk vectors to GTEx lung mean TPM on shared symbols. This demonstrates that native levels do not travel; it is not a DE input. Production runs favor composition-weighted over max-across for bulk-like tracking.</w:t>
      </w:r>
    </w:p>
    <w:p>
      <w:pPr>
        <w:spacing w:after="140"/>
      </w:pPr>
      <w:r>
        <w:rPr>
          <w:b/>
          <w:sz w:val="21"/>
        </w:rPr>
        <w:t>Parameters:</w:t>
      </w:r>
      <w:r>
        <w:rPr>
          <w:sz w:val="21"/>
        </w:rPr>
        <w:t xml:space="preserve"> see Appendix, section 4.</w:t>
      </w:r>
    </w:p>
    <w:p>
      <w:pPr>
        <w:spacing w:after="140"/>
      </w:pPr>
      <w:r>
        <w:rPr>
          <w:b/>
          <w:sz w:val="21"/>
        </w:rPr>
        <w:t>Why.</w:t>
      </w:r>
      <w:r>
        <w:rPr>
          <w:sz w:val="21"/>
        </w:rPr>
        <w:t xml:space="preserve"> Showing incomparability of native levels is the pedagogical point before NES concordance. Levels never enter the headline mechanism test.</w:t>
      </w:r>
    </w:p>
    <w:p>
      <w:pPr>
        <w:pStyle w:val="Heading4"/>
      </w:pPr>
      <w:r>
        <w:rPr>
          <w:color w:val="1F4E79"/>
        </w:rPr>
        <w:t>5. Pathway NES and configured pairs</w:t>
      </w:r>
    </w:p>
    <w:p>
      <w:pPr>
        <w:spacing w:after="140"/>
      </w:pPr>
      <w:r>
        <w:rPr>
          <w:b/>
          <w:sz w:val="21"/>
        </w:rPr>
        <w:t>Script.</w:t>
      </w:r>
      <w:r>
        <w:rPr>
          <w:sz w:val="21"/>
        </w:rPr>
        <w:t xml:space="preserve"> </w:t>
      </w:r>
      <w:r>
        <w:rPr>
          <w:rFonts w:ascii="Menlo" w:hAnsi="Menlo"/>
          <w:color w:val="1A3E6E"/>
          <w:sz w:val="19"/>
        </w:rPr>
        <w:t>scripts/nb06_crossres/compare.py</w:t>
      </w:r>
      <w:r>
        <w:rPr>
          <w:sz w:val="21"/>
        </w:rPr>
        <w:t xml:space="preserve"> (</w:t>
      </w:r>
      <w:r>
        <w:rPr>
          <w:rFonts w:ascii="Menlo" w:hAnsi="Menlo"/>
          <w:color w:val="1A3E6E"/>
          <w:sz w:val="19"/>
        </w:rPr>
        <w:t>prerank_contrast</w:t>
      </w:r>
      <w:r>
        <w:rPr>
          <w:sz w:val="21"/>
        </w:rPr>
        <w:t xml:space="preserve">, </w:t>
      </w:r>
      <w:r>
        <w:rPr>
          <w:rFonts w:ascii="Menlo" w:hAnsi="Menlo"/>
          <w:color w:val="1A3E6E"/>
          <w:sz w:val="19"/>
        </w:rPr>
        <w:t>nes_comparison</w:t>
      </w:r>
      <w:r>
        <w:rPr>
          <w:sz w:val="21"/>
        </w:rPr>
        <w:t xml:space="preserve">, </w:t>
      </w:r>
      <w:r>
        <w:rPr>
          <w:rFonts w:ascii="Menlo" w:hAnsi="Menlo"/>
          <w:color w:val="1A3E6E"/>
          <w:sz w:val="19"/>
        </w:rPr>
        <w:t>compare_configured_nes_pairs</w:t>
      </w:r>
      <w:r>
        <w:rPr>
          <w:sz w:val="21"/>
        </w:rPr>
        <w:t xml:space="preserve">, </w:t>
      </w:r>
      <w:r>
        <w:rPr>
          <w:rFonts w:ascii="Menlo" w:hAnsi="Menlo"/>
          <w:color w:val="1A3E6E"/>
          <w:sz w:val="19"/>
        </w:rPr>
        <w:t>resolve_nes_sensitivity</w:t>
      </w:r>
      <w:r>
        <w:rPr>
          <w:sz w:val="21"/>
        </w:rPr>
        <w:t>).</w:t>
      </w:r>
    </w:p>
    <w:p>
      <w:pPr>
        <w:spacing w:after="140"/>
      </w:pPr>
      <w:r>
        <w:rPr>
          <w:b/>
          <w:sz w:val="21"/>
        </w:rPr>
        <w:t>What.</w:t>
      </w:r>
      <w:r>
        <w:rPr>
          <w:sz w:val="21"/>
        </w:rPr>
        <w:t xml:space="preserve"> Prerank GSEA on each contrast's ranked logFC against local Hallmark + Reactome GMTs (no KEGG; GO BP is sensitivity-only). Prerank defaults: </w:t>
      </w:r>
      <w:r>
        <w:rPr>
          <w:rFonts w:ascii="Menlo" w:hAnsi="Menlo"/>
          <w:color w:val="1A3E6E"/>
          <w:sz w:val="19"/>
        </w:rPr>
        <w:t>min_size=15</w:t>
      </w:r>
      <w:r>
        <w:rPr>
          <w:sz w:val="21"/>
        </w:rPr>
        <w:t xml:space="preserve">, </w:t>
      </w:r>
      <w:r>
        <w:rPr>
          <w:rFonts w:ascii="Menlo" w:hAnsi="Menlo"/>
          <w:color w:val="1A3E6E"/>
          <w:sz w:val="19"/>
        </w:rPr>
        <w:t>max_size=500</w:t>
      </w:r>
      <w:r>
        <w:rPr>
          <w:sz w:val="21"/>
        </w:rPr>
        <w:t xml:space="preserve">, </w:t>
      </w:r>
      <w:r>
        <w:rPr>
          <w:rFonts w:ascii="Menlo" w:hAnsi="Menlo"/>
          <w:color w:val="1A3E6E"/>
          <w:sz w:val="19"/>
        </w:rPr>
        <w:t>permutation_num=100</w:t>
      </w:r>
      <w:r>
        <w:rPr>
          <w:sz w:val="21"/>
        </w:rPr>
        <w:t xml:space="preserve">. Compare exactly four NES pairs from </w:t>
      </w:r>
      <w:r>
        <w:rPr>
          <w:rFonts w:ascii="Menlo" w:hAnsi="Menlo"/>
          <w:color w:val="1A3E6E"/>
          <w:sz w:val="19"/>
        </w:rPr>
        <w:t>module4.nes_pairs</w:t>
      </w:r>
      <w:r>
        <w:rPr>
          <w:sz w:val="21"/>
        </w:rPr>
        <w:t xml:space="preserve"> (</w:t>
      </w:r>
      <w:r>
        <w:rPr>
          <w:rFonts w:ascii="Menlo" w:hAnsi="Menlo"/>
          <w:color w:val="1A3E6E"/>
          <w:sz w:val="19"/>
        </w:rPr>
        <w:t>H_AGING_HUBMAP</w:t>
      </w:r>
      <w:r>
        <w:rPr>
          <w:sz w:val="21"/>
        </w:rPr>
        <w:t xml:space="preserve"> only vs </w:t>
      </w:r>
      <w:r>
        <w:rPr>
          <w:rFonts w:ascii="Menlo" w:hAnsi="Menlo"/>
          <w:color w:val="1A3E6E"/>
          <w:sz w:val="19"/>
        </w:rPr>
        <w:t>H_AGING_GTEX</w:t>
      </w:r>
      <w:r>
        <w:rPr>
          <w:sz w:val="21"/>
        </w:rPr>
        <w:t xml:space="preserve">). Global Spearman on overlapping gene sets is recorded as supporting context with an independence caveat; it is not the headline. GO BP sensitivity prerank is gated: </w:t>
      </w:r>
      <w:r>
        <w:rPr>
          <w:rFonts w:ascii="Menlo" w:hAnsi="Menlo"/>
          <w:color w:val="1A3E6E"/>
          <w:sz w:val="19"/>
        </w:rPr>
        <w:t>module4.sensitivity.enabled: false</w:t>
      </w:r>
      <w:r>
        <w:rPr>
          <w:sz w:val="21"/>
        </w:rPr>
        <w:t xml:space="preserve"> loads the committed TSV (</w:t>
      </w:r>
      <w:r>
        <w:rPr>
          <w:rFonts w:ascii="Menlo" w:hAnsi="Menlo"/>
          <w:color w:val="1A3E6E"/>
          <w:sz w:val="19"/>
        </w:rPr>
        <w:t>module4_nes_sensitivity.tsv</w:t>
      </w:r>
      <w:r>
        <w:rPr>
          <w:sz w:val="21"/>
        </w:rPr>
        <w:t>) to keep RAM near ~5.5 GB instead of recomputing (~12 GB peak).</w:t>
      </w:r>
    </w:p>
    <w:p>
      <w:pPr>
        <w:spacing w:after="140"/>
      </w:pPr>
      <w:r>
        <w:rPr>
          <w:b/>
          <w:sz w:val="21"/>
        </w:rPr>
        <w:t>Parameters:</w:t>
      </w:r>
      <w:r>
        <w:rPr>
          <w:sz w:val="21"/>
        </w:rPr>
        <w:t xml:space="preserve"> see Appendix, section 5.</w:t>
      </w:r>
    </w:p>
    <w:p>
      <w:pPr>
        <w:spacing w:after="140"/>
      </w:pPr>
      <w:r>
        <w:rPr>
          <w:b/>
          <w:sz w:val="21"/>
        </w:rPr>
        <w:t>Why.</w:t>
      </w:r>
      <w:r>
        <w:rPr>
          <w:sz w:val="21"/>
        </w:rPr>
        <w:t xml:space="preserve"> Global Spearman is not independent evidence across overlapping gene sets. Mechanism concordance (next step) uses pass/fail and sign agreement with permutation nulls and is the correct headline object.</w:t>
      </w:r>
    </w:p>
    <w:p>
      <w:pPr>
        <w:pStyle w:val="Heading4"/>
      </w:pPr>
      <w:r>
        <w:rPr>
          <w:color w:val="1F4E79"/>
        </w:rPr>
        <w:t>6. Shared-mechanism concordance (headline)</w:t>
      </w:r>
    </w:p>
    <w:p>
      <w:pPr>
        <w:spacing w:after="140"/>
      </w:pPr>
      <w:r>
        <w:rPr>
          <w:b/>
          <w:sz w:val="21"/>
        </w:rPr>
        <w:t>Script.</w:t>
      </w:r>
      <w:r>
        <w:rPr>
          <w:sz w:val="21"/>
        </w:rPr>
        <w:t xml:space="preserve"> </w:t>
      </w:r>
      <w:r>
        <w:rPr>
          <w:rFonts w:ascii="Menlo" w:hAnsi="Menlo"/>
          <w:color w:val="1A3E6E"/>
          <w:sz w:val="19"/>
        </w:rPr>
        <w:t>scripts/nb06_crossres/mechanisms.py</w:t>
      </w:r>
      <w:r>
        <w:rPr>
          <w:sz w:val="21"/>
        </w:rPr>
        <w:t xml:space="preserve"> (</w:t>
      </w:r>
      <w:r>
        <w:rPr>
          <w:rFonts w:ascii="Menlo" w:hAnsi="Menlo"/>
          <w:color w:val="1A3E6E"/>
          <w:sz w:val="19"/>
        </w:rPr>
        <w:t>run_mechanism_analysis</w:t>
      </w:r>
      <w:r>
        <w:rPr>
          <w:sz w:val="21"/>
        </w:rPr>
        <w:t xml:space="preserve">, </w:t>
      </w:r>
      <w:r>
        <w:rPr>
          <w:rFonts w:ascii="Menlo" w:hAnsi="Menlo"/>
          <w:color w:val="1A3E6E"/>
          <w:sz w:val="19"/>
        </w:rPr>
        <w:t>pass_mask</w:t>
      </w:r>
      <w:r>
        <w:rPr>
          <w:sz w:val="21"/>
        </w:rPr>
        <w:t xml:space="preserve">, </w:t>
      </w:r>
      <w:r>
        <w:rPr>
          <w:rFonts w:ascii="Menlo" w:hAnsi="Menlo"/>
          <w:color w:val="1A3E6E"/>
          <w:sz w:val="19"/>
        </w:rPr>
        <w:t>permute_concordant_count</w:t>
      </w:r>
      <w:r>
        <w:rPr>
          <w:sz w:val="21"/>
        </w:rPr>
        <w:t xml:space="preserve">, </w:t>
      </w:r>
      <w:r>
        <w:rPr>
          <w:rFonts w:ascii="Menlo" w:hAnsi="Menlo"/>
          <w:color w:val="1A3E6E"/>
          <w:sz w:val="19"/>
        </w:rPr>
        <w:t>analytic_null</w:t>
      </w:r>
      <w:r>
        <w:rPr>
          <w:sz w:val="21"/>
        </w:rPr>
        <w:t xml:space="preserve">, </w:t>
      </w:r>
      <w:r>
        <w:rPr>
          <w:rFonts w:ascii="Menlo" w:hAnsi="Menlo"/>
          <w:color w:val="1A3E6E"/>
          <w:sz w:val="19"/>
        </w:rPr>
        <w:t>leading_edge_overlap</w:t>
      </w:r>
      <w:r>
        <w:rPr>
          <w:sz w:val="21"/>
        </w:rPr>
        <w:t xml:space="preserve">, </w:t>
      </w:r>
      <w:r>
        <w:rPr>
          <w:rFonts w:ascii="Menlo" w:hAnsi="Menlo"/>
          <w:color w:val="1A3E6E"/>
          <w:sz w:val="19"/>
        </w:rPr>
        <w:t>cluster_mechanisms</w:t>
      </w:r>
      <w:r>
        <w:rPr>
          <w:sz w:val="21"/>
        </w:rPr>
        <w:t>).</w:t>
      </w:r>
    </w:p>
    <w:p>
      <w:pPr>
        <w:spacing w:after="140"/>
      </w:pPr>
      <w:r>
        <w:rPr>
          <w:b/>
          <w:sz w:val="21"/>
        </w:rPr>
        <w:t>What.</w:t>
      </w:r>
      <w:r>
        <w:rPr>
          <w:sz w:val="21"/>
        </w:rPr>
        <w:t xml:space="preserve"> Define pathway passers with FDR q &lt; 0.25 and absolute NES &gt;= 1.5 in each contrast; concordant pathways agree in sign. Compare observed concordant counts to analytic and permutation nulls (</w:t>
      </w:r>
      <w:r>
        <w:rPr>
          <w:rFonts w:ascii="Menlo" w:hAnsi="Menlo"/>
          <w:color w:val="1A3E6E"/>
          <w:sz w:val="19"/>
        </w:rPr>
        <w:t>n_permutations=2000</w:t>
      </w:r>
      <w:r>
        <w:rPr>
          <w:sz w:val="21"/>
        </w:rPr>
        <w:t xml:space="preserve">, </w:t>
      </w:r>
      <w:r>
        <w:rPr>
          <w:rFonts w:ascii="Menlo" w:hAnsi="Menlo"/>
          <w:color w:val="1A3E6E"/>
          <w:sz w:val="19"/>
        </w:rPr>
        <w:t>random_seed=0</w:t>
      </w:r>
      <w:r>
        <w:rPr>
          <w:sz w:val="21"/>
        </w:rPr>
        <w:t xml:space="preserve">) that preserve observed marginals (including flight's all-down pathway passers). All pathways ship as </w:t>
      </w:r>
      <w:r>
        <w:rPr>
          <w:b/>
          <w:sz w:val="21"/>
        </w:rPr>
        <w:t>tier 3</w:t>
      </w:r>
      <w:r>
        <w:rPr>
          <w:sz w:val="21"/>
        </w:rPr>
        <w:t xml:space="preserve"> (concordance only): leading-edge Jaccard on this run (~0.21-0.48) has no natural tier 1/2 cut. Suspect OxPhos / translation terms are flagged, never auto-excluded. Cross-species leading edges restrict to ortholog-mappable human symbols. Flight-involving pairs with unanimous down passers are labeled </w:t>
      </w:r>
      <w:r>
        <w:rPr>
          <w:b/>
          <w:sz w:val="21"/>
        </w:rPr>
        <w:t>uninterpretable, not null</w:t>
      </w:r>
      <w:r>
        <w:rPr>
          <w:sz w:val="21"/>
        </w:rPr>
        <w:t>.</w:t>
      </w:r>
    </w:p>
    <w:p>
      <w:pPr>
        <w:spacing w:after="140"/>
      </w:pPr>
      <w:r>
        <w:rPr>
          <w:b/>
          <w:sz w:val="21"/>
        </w:rPr>
        <w:t>Parameters:</w:t>
      </w:r>
      <w:r>
        <w:rPr>
          <w:sz w:val="21"/>
        </w:rPr>
        <w:t xml:space="preserve"> see Appendix, section 6.</w:t>
      </w:r>
    </w:p>
    <w:p>
      <w:pPr>
        <w:spacing w:after="140"/>
      </w:pPr>
      <w:r>
        <w:rPr>
          <w:b/>
          <w:sz w:val="21"/>
        </w:rPr>
        <w:t>Why.</w:t>
      </w:r>
      <w:r>
        <w:rPr>
          <w:sz w:val="21"/>
        </w:rPr>
        <w:t xml:space="preserve"> Permutation preserves polarity marginals so enrichment is not automatic from "everything is down" alone. Tier 3-only labeling prevents overclaiming shared leading-edge mechanisms when Jaccard stays moderate. The clustering result is binding on the prose: where it declines to merge, the pathways are reported separately. Disease-aging concordance does not rise above the null; ECM direction inferred from global rho is corrected by the pathway screen; aging-flight exceeds permutation while remaining biologically suspect.</w:t>
      </w:r>
    </w:p>
    <w:p>
      <w:pPr>
        <w:pStyle w:val="Heading1"/>
      </w:pPr>
      <w:r>
        <w:rPr>
          <w:color w:val="1F4E79"/>
        </w:rPr>
        <w:t>4. Results</w:t>
      </w:r>
    </w:p>
    <w:p>
      <w:pPr>
        <w:pStyle w:val="Heading4"/>
      </w:pPr>
      <w:r>
        <w:rPr>
          <w:color w:val="1F4E79"/>
        </w:rPr>
        <w:t>Ortholog loss</w:t>
      </w:r>
    </w:p>
    <w:tbl>
      <w:tblPr>
        <w:tblStyle w:val="TableGrid"/>
        <w:tblW w:type="auto" w:w="0"/>
        <w:jc w:val="center"/>
        <w:tblLook w:firstColumn="1" w:firstRow="1" w:lastColumn="0" w:lastRow="0" w:noHBand="0" w:noVBand="1" w:val="04A0"/>
      </w:tblPr>
      <w:tblGrid>
        <w:gridCol w:w="4680"/>
        <w:gridCol w:w="4680"/>
      </w:tblGrid>
      <w:tr>
        <w:tc>
          <w:tcPr>
            <w:tcW w:type="dxa" w:w="4680"/>
            <w:shd w:val="clear" w:fill="DCE6F1"/>
          </w:tcPr>
          <w:p>
            <w:r/>
            <w:r>
              <w:rPr>
                <w:b/>
                <w:sz w:val="17"/>
              </w:rPr>
              <w:t>metric</w:t>
            </w:r>
          </w:p>
        </w:tc>
        <w:tc>
          <w:tcPr>
            <w:tcW w:type="dxa" w:w="4680"/>
            <w:shd w:val="clear" w:fill="DCE6F1"/>
          </w:tcPr>
          <w:p>
            <w:r/>
            <w:r>
              <w:rPr>
                <w:b/>
                <w:sz w:val="17"/>
              </w:rPr>
              <w:t>n</w:t>
            </w:r>
          </w:p>
        </w:tc>
      </w:tr>
      <w:tr>
        <w:tc>
          <w:tcPr>
            <w:tcW w:type="dxa" w:w="4680"/>
          </w:tcPr>
          <w:p>
            <w:r/>
            <w:r>
              <w:rPr>
                <w:sz w:val="17"/>
              </w:rPr>
              <w:t>genes_in_human_contrast</w:t>
            </w:r>
          </w:p>
        </w:tc>
        <w:tc>
          <w:tcPr>
            <w:tcW w:type="dxa" w:w="4680"/>
          </w:tcPr>
          <w:p>
            <w:r/>
            <w:r>
              <w:rPr>
                <w:sz w:val="17"/>
              </w:rPr>
              <w:t>18401</w:t>
            </w:r>
          </w:p>
        </w:tc>
      </w:tr>
      <w:tr>
        <w:tc>
          <w:tcPr>
            <w:tcW w:type="dxa" w:w="4680"/>
          </w:tcPr>
          <w:p>
            <w:r/>
            <w:r>
              <w:rPr>
                <w:sz w:val="17"/>
              </w:rPr>
              <w:t>genes_in_mouse_contrast</w:t>
            </w:r>
          </w:p>
        </w:tc>
        <w:tc>
          <w:tcPr>
            <w:tcW w:type="dxa" w:w="4680"/>
          </w:tcPr>
          <w:p>
            <w:r/>
            <w:r>
              <w:rPr>
                <w:sz w:val="17"/>
              </w:rPr>
              <w:t>15429</w:t>
            </w:r>
          </w:p>
        </w:tc>
      </w:tr>
      <w:tr>
        <w:tc>
          <w:tcPr>
            <w:tcW w:type="dxa" w:w="4680"/>
          </w:tcPr>
          <w:p>
            <w:r/>
            <w:r>
              <w:rPr>
                <w:sz w:val="17"/>
              </w:rPr>
              <w:t>one2one_orthologs_available</w:t>
            </w:r>
          </w:p>
        </w:tc>
        <w:tc>
          <w:tcPr>
            <w:tcW w:type="dxa" w:w="4680"/>
          </w:tcPr>
          <w:p>
            <w:r/>
            <w:r>
              <w:rPr>
                <w:sz w:val="17"/>
              </w:rPr>
              <w:t>17041</w:t>
            </w:r>
          </w:p>
        </w:tc>
      </w:tr>
      <w:tr>
        <w:tc>
          <w:tcPr>
            <w:tcW w:type="dxa" w:w="4680"/>
          </w:tcPr>
          <w:p>
            <w:r/>
            <w:r>
              <w:rPr>
                <w:sz w:val="17"/>
              </w:rPr>
              <w:t>retained_after_intersection</w:t>
            </w:r>
          </w:p>
        </w:tc>
        <w:tc>
          <w:tcPr>
            <w:tcW w:type="dxa" w:w="4680"/>
          </w:tcPr>
          <w:p>
            <w:r/>
            <w:r>
              <w:rPr>
                <w:sz w:val="17"/>
              </w:rPr>
              <w:t>13577</w:t>
            </w:r>
          </w:p>
        </w:tc>
      </w:tr>
      <w:tr>
        <w:tc>
          <w:tcPr>
            <w:tcW w:type="dxa" w:w="4680"/>
          </w:tcPr>
          <w:p>
            <w:r/>
            <w:r>
              <w:rPr>
                <w:sz w:val="17"/>
              </w:rPr>
              <w:t>dropped_human_side</w:t>
            </w:r>
          </w:p>
        </w:tc>
        <w:tc>
          <w:tcPr>
            <w:tcW w:type="dxa" w:w="4680"/>
          </w:tcPr>
          <w:p>
            <w:r/>
            <w:r>
              <w:rPr>
                <w:sz w:val="17"/>
              </w:rPr>
              <w:t>4824</w:t>
            </w:r>
          </w:p>
        </w:tc>
      </w:tr>
      <w:tr>
        <w:tc>
          <w:tcPr>
            <w:tcW w:type="dxa" w:w="4680"/>
          </w:tcPr>
          <w:p>
            <w:r/>
            <w:r>
              <w:rPr>
                <w:sz w:val="17"/>
              </w:rPr>
              <w:t>dropped_mouse_side</w:t>
            </w:r>
          </w:p>
        </w:tc>
        <w:tc>
          <w:tcPr>
            <w:tcW w:type="dxa" w:w="4680"/>
          </w:tcPr>
          <w:p>
            <w:r/>
            <w:r>
              <w:rPr>
                <w:sz w:val="17"/>
              </w:rPr>
              <w:t>1852</w:t>
            </w:r>
          </w:p>
        </w:tc>
      </w:tr>
    </w:tbl>
    <w:p>
      <w:r>
        <w:rPr>
          <w:i/>
          <w:color w:val="444444"/>
          <w:sz w:val="17"/>
        </w:rPr>
        <w:t>Source: module4_ortholog_loss.tsv</w:t>
      </w:r>
    </w:p>
    <w:p>
      <w:pPr>
        <w:pStyle w:val="Heading4"/>
      </w:pPr>
      <w:r>
        <w:rPr>
          <w:color w:val="1F4E79"/>
        </w:rPr>
        <w:t>Methods checks that pass</w:t>
      </w:r>
    </w:p>
    <w:p>
      <w:pPr>
        <w:jc w:val="center"/>
      </w:pPr>
      <w:r>
        <w:drawing>
          <wp:inline xmlns:a="http://schemas.openxmlformats.org/drawingml/2006/main" xmlns:pic="http://schemas.openxmlformats.org/drawingml/2006/picture">
            <wp:extent cx="5943600" cy="2814813"/>
            <wp:docPr id="1" name="Picture 1"/>
            <wp:cNvGraphicFramePr>
              <a:graphicFrameLocks noChangeAspect="1"/>
            </wp:cNvGraphicFramePr>
            <a:graphic>
              <a:graphicData uri="http://schemas.openxmlformats.org/drawingml/2006/picture">
                <pic:pic>
                  <pic:nvPicPr>
                    <pic:cNvPr id="0" name="module4_pseudobulk_vs_gtex.png"/>
                    <pic:cNvPicPr/>
                  </pic:nvPicPr>
                  <pic:blipFill>
                    <a:blip r:embed="rId10"/>
                    <a:stretch>
                      <a:fillRect/>
                    </a:stretch>
                  </pic:blipFill>
                  <pic:spPr>
                    <a:xfrm>
                      <a:off x="0" y="0"/>
                      <a:ext cx="5943600" cy="2814813"/>
                    </a:xfrm>
                    <a:prstGeom prst="rect"/>
                  </pic:spPr>
                </pic:pic>
              </a:graphicData>
            </a:graphic>
          </wp:inline>
        </w:drawing>
      </w:r>
    </w:p>
    <w:p>
      <w:pPr>
        <w:jc w:val="center"/>
      </w:pPr>
      <w:r>
        <w:rPr>
          <w:i/>
          <w:color w:val="444444"/>
          <w:sz w:val="18"/>
        </w:rPr>
        <w:t>HuBMAP pseudobulk versus GTEx lung mean TPM bridge</w:t>
      </w:r>
    </w:p>
    <w:p>
      <w:pPr>
        <w:spacing w:after="140"/>
      </w:pPr>
      <w:r>
        <w:rPr>
          <w:sz w:val="21"/>
        </w:rPr>
        <w:t>ERCC calibration on the production run: slope 0.98884, R2 0.8817. The flight contrast computed here also agrees with GeneLab's independently produced differential expression across shared symbols, which is what that cross-check is for: two pipelines run on the same samples should rank genes the same way, and a disagreement would indicate a processing error rather than biology. The HuBMAP-GTEx bridge favors composition-weighted over max-across vectors: Spearman rho 0.741 against 0.636 across 18,055 shared genes.</w:t>
      </w:r>
    </w:p>
    <w:p>
      <w:pPr>
        <w:pStyle w:val="Heading4"/>
      </w:pPr>
      <w:r>
        <w:rPr>
          <w:color w:val="1F4E79"/>
        </w:rPr>
        <w:t>Native levels do not travel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r/>
            <w:r>
              <w:rPr>
                <w:b/>
                <w:sz w:val="17"/>
              </w:rPr>
              <w:t>gene_symbol_human</w:t>
            </w:r>
          </w:p>
        </w:tc>
        <w:tc>
          <w:tcPr>
            <w:tcW w:type="dxa" w:w="1872"/>
            <w:shd w:val="clear" w:fill="DCE6F1"/>
          </w:tcPr>
          <w:p>
            <w:r/>
            <w:r>
              <w:rPr>
                <w:b/>
                <w:sz w:val="17"/>
              </w:rPr>
              <w:t>gtex_lung_mean_tpm</w:t>
            </w:r>
          </w:p>
        </w:tc>
        <w:tc>
          <w:tcPr>
            <w:tcW w:type="dxa" w:w="1872"/>
            <w:shd w:val="clear" w:fill="DCE6F1"/>
          </w:tcPr>
          <w:p>
            <w:r/>
            <w:r>
              <w:rPr>
                <w:b/>
                <w:sz w:val="17"/>
              </w:rPr>
              <w:t>gse150910_mean_counts_ipf</w:t>
            </w:r>
          </w:p>
        </w:tc>
        <w:tc>
          <w:tcPr>
            <w:tcW w:type="dxa" w:w="1872"/>
            <w:shd w:val="clear" w:fill="DCE6F1"/>
          </w:tcPr>
          <w:p>
            <w:r/>
            <w:r>
              <w:rPr>
                <w:b/>
                <w:sz w:val="17"/>
              </w:rPr>
              <w:t>osd248_mean_counts_flight</w:t>
            </w:r>
          </w:p>
        </w:tc>
        <w:tc>
          <w:tcPr>
            <w:tcW w:type="dxa" w:w="1872"/>
            <w:shd w:val="clear" w:fill="DCE6F1"/>
          </w:tcPr>
          <w:p>
            <w:r/>
            <w:r>
              <w:rPr>
                <w:b/>
                <w:sz w:val="17"/>
              </w:rPr>
              <w:t>units_note</w:t>
            </w:r>
          </w:p>
        </w:tc>
      </w:tr>
      <w:tr>
        <w:tc>
          <w:tcPr>
            <w:tcW w:type="dxa" w:w="1872"/>
          </w:tcPr>
          <w:p>
            <w:r/>
            <w:r>
              <w:rPr>
                <w:sz w:val="17"/>
              </w:rPr>
              <w:t>SFTPC</w:t>
            </w:r>
          </w:p>
        </w:tc>
        <w:tc>
          <w:tcPr>
            <w:tcW w:type="dxa" w:w="1872"/>
          </w:tcPr>
          <w:p>
            <w:r/>
            <w:r>
              <w:rPr>
                <w:sz w:val="17"/>
              </w:rPr>
              <w:t>4156.258313</w:t>
            </w:r>
          </w:p>
        </w:tc>
        <w:tc>
          <w:tcPr>
            <w:tcW w:type="dxa" w:w="1872"/>
          </w:tcPr>
          <w:p>
            <w:r/>
            <w:r>
              <w:rPr>
                <w:sz w:val="17"/>
              </w:rPr>
              <w:t>627510.165049</w:t>
            </w:r>
          </w:p>
        </w:tc>
        <w:tc>
          <w:tcPr>
            <w:tcW w:type="dxa" w:w="1872"/>
          </w:tcPr>
          <w:p>
            <w:r/>
            <w:r>
              <w:rPr>
                <w:sz w:val="17"/>
              </w:rPr>
              <w:t>280904.5</w:t>
            </w:r>
          </w:p>
        </w:tc>
        <w:tc>
          <w:tcPr>
            <w:tcW w:type="dxa" w:w="1872"/>
          </w:tcPr>
          <w:p>
            <w:r/>
            <w:r>
              <w:rPr>
                <w:sz w:val="17"/>
              </w:rPr>
              <w:t>TPM vs linear CP10K-pseudobulk vs raw counts; human vs mouse -- not comparable</w:t>
            </w:r>
          </w:p>
        </w:tc>
      </w:tr>
      <w:tr>
        <w:tc>
          <w:tcPr>
            <w:tcW w:type="dxa" w:w="1872"/>
          </w:tcPr>
          <w:p>
            <w:r/>
            <w:r>
              <w:rPr>
                <w:sz w:val="17"/>
              </w:rPr>
              <w:t>AGER</w:t>
            </w:r>
          </w:p>
        </w:tc>
        <w:tc>
          <w:tcPr>
            <w:tcW w:type="dxa" w:w="1872"/>
          </w:tcPr>
          <w:p>
            <w:r/>
            <w:r>
              <w:rPr>
                <w:sz w:val="17"/>
              </w:rPr>
              <w:t>1214.833166</w:t>
            </w:r>
          </w:p>
        </w:tc>
        <w:tc>
          <w:tcPr>
            <w:tcW w:type="dxa" w:w="1872"/>
          </w:tcPr>
          <w:p>
            <w:r/>
            <w:r>
              <w:rPr>
                <w:sz w:val="17"/>
              </w:rPr>
              <w:t>4364.708738</w:t>
            </w:r>
          </w:p>
        </w:tc>
        <w:tc>
          <w:tcPr>
            <w:tcW w:type="dxa" w:w="1872"/>
          </w:tcPr>
          <w:p>
            <w:r/>
            <w:r>
              <w:rPr>
                <w:sz w:val="17"/>
              </w:rPr>
              <w:t>29046.4</w:t>
            </w:r>
          </w:p>
        </w:tc>
        <w:tc>
          <w:tcPr>
            <w:tcW w:type="dxa" w:w="1872"/>
          </w:tcPr>
          <w:p>
            <w:r/>
            <w:r>
              <w:rPr>
                <w:sz w:val="17"/>
              </w:rPr>
              <w:t>TPM vs linear CP10K-pseudobulk vs raw counts; human vs mouse -- not comparable</w:t>
            </w:r>
          </w:p>
        </w:tc>
      </w:tr>
      <w:tr>
        <w:tc>
          <w:tcPr>
            <w:tcW w:type="dxa" w:w="1872"/>
          </w:tcPr>
          <w:p>
            <w:r/>
            <w:r>
              <w:rPr>
                <w:sz w:val="17"/>
              </w:rPr>
              <w:t>SCGB1A1</w:t>
            </w:r>
          </w:p>
        </w:tc>
        <w:tc>
          <w:tcPr>
            <w:tcW w:type="dxa" w:w="1872"/>
          </w:tcPr>
          <w:p>
            <w:r/>
            <w:r>
              <w:rPr>
                <w:sz w:val="17"/>
              </w:rPr>
              <w:t>1113.153419</w:t>
            </w:r>
          </w:p>
        </w:tc>
        <w:tc>
          <w:tcPr>
            <w:tcW w:type="dxa" w:w="1872"/>
          </w:tcPr>
          <w:p>
            <w:r/>
            <w:r>
              <w:rPr>
                <w:sz w:val="17"/>
              </w:rPr>
              <w:t>426.776699</w:t>
            </w:r>
          </w:p>
        </w:tc>
        <w:tc>
          <w:tcPr>
            <w:tcW w:type="dxa" w:w="1872"/>
          </w:tcPr>
          <w:p>
            <w:r/>
            <w:r>
              <w:rPr>
                <w:sz w:val="17"/>
              </w:rPr>
              <w:t>698380.1</w:t>
            </w:r>
          </w:p>
        </w:tc>
        <w:tc>
          <w:tcPr>
            <w:tcW w:type="dxa" w:w="1872"/>
          </w:tcPr>
          <w:p>
            <w:r/>
            <w:r>
              <w:rPr>
                <w:sz w:val="17"/>
              </w:rPr>
              <w:t>TPM vs linear CP10K-pseudobulk vs raw counts; human vs mouse -- not comparable</w:t>
            </w:r>
          </w:p>
        </w:tc>
      </w:tr>
      <w:tr>
        <w:tc>
          <w:tcPr>
            <w:tcW w:type="dxa" w:w="1872"/>
          </w:tcPr>
          <w:p>
            <w:r/>
            <w:r>
              <w:rPr>
                <w:sz w:val="17"/>
              </w:rPr>
              <w:t>FOXJ1</w:t>
            </w:r>
          </w:p>
        </w:tc>
        <w:tc>
          <w:tcPr>
            <w:tcW w:type="dxa" w:w="1872"/>
          </w:tcPr>
          <w:p>
            <w:r/>
            <w:r>
              <w:rPr>
                <w:sz w:val="17"/>
              </w:rPr>
              <w:t>25.705356</w:t>
            </w:r>
          </w:p>
        </w:tc>
        <w:tc>
          <w:tcPr>
            <w:tcW w:type="dxa" w:w="1872"/>
          </w:tcPr>
          <w:p>
            <w:r/>
          </w:p>
        </w:tc>
        <w:tc>
          <w:tcPr>
            <w:tcW w:type="dxa" w:w="1872"/>
          </w:tcPr>
          <w:p>
            <w:r/>
            <w:r>
              <w:rPr>
                <w:sz w:val="17"/>
              </w:rPr>
              <w:t>1519.6</w:t>
            </w:r>
          </w:p>
        </w:tc>
        <w:tc>
          <w:tcPr>
            <w:tcW w:type="dxa" w:w="1872"/>
          </w:tcPr>
          <w:p>
            <w:r/>
            <w:r>
              <w:rPr>
                <w:sz w:val="17"/>
              </w:rPr>
              <w:t>TPM vs linear CP10K-pseudobulk vs raw counts; human vs mouse -- not comparable</w:t>
            </w:r>
          </w:p>
        </w:tc>
      </w:tr>
      <w:tr>
        <w:tc>
          <w:tcPr>
            <w:tcW w:type="dxa" w:w="1872"/>
          </w:tcPr>
          <w:p>
            <w:r/>
            <w:r>
              <w:rPr>
                <w:sz w:val="17"/>
              </w:rPr>
              <w:t>PECAM1</w:t>
            </w:r>
          </w:p>
        </w:tc>
        <w:tc>
          <w:tcPr>
            <w:tcW w:type="dxa" w:w="1872"/>
          </w:tcPr>
          <w:p>
            <w:r/>
            <w:r>
              <w:rPr>
                <w:sz w:val="17"/>
              </w:rPr>
              <w:t>350.185872</w:t>
            </w:r>
          </w:p>
        </w:tc>
        <w:tc>
          <w:tcPr>
            <w:tcW w:type="dxa" w:w="1872"/>
          </w:tcPr>
          <w:p>
            <w:r/>
            <w:r>
              <w:rPr>
                <w:sz w:val="17"/>
              </w:rPr>
              <w:t>1236.68932</w:t>
            </w:r>
          </w:p>
        </w:tc>
        <w:tc>
          <w:tcPr>
            <w:tcW w:type="dxa" w:w="1872"/>
          </w:tcPr>
          <w:p>
            <w:r/>
            <w:r>
              <w:rPr>
                <w:sz w:val="17"/>
              </w:rPr>
              <w:t>24226.5</w:t>
            </w:r>
          </w:p>
        </w:tc>
        <w:tc>
          <w:tcPr>
            <w:tcW w:type="dxa" w:w="1872"/>
          </w:tcPr>
          <w:p>
            <w:r/>
            <w:r>
              <w:rPr>
                <w:sz w:val="17"/>
              </w:rPr>
              <w:t>TPM vs linear CP10K-pseudobulk vs raw counts; human vs mouse -- not comparable</w:t>
            </w:r>
          </w:p>
        </w:tc>
      </w:tr>
      <w:tr>
        <w:tc>
          <w:tcPr>
            <w:tcW w:type="dxa" w:w="1872"/>
          </w:tcPr>
          <w:p>
            <w:r/>
            <w:r>
              <w:rPr>
                <w:sz w:val="17"/>
              </w:rPr>
              <w:t>COL1A1</w:t>
            </w:r>
          </w:p>
        </w:tc>
        <w:tc>
          <w:tcPr>
            <w:tcW w:type="dxa" w:w="1872"/>
          </w:tcPr>
          <w:p>
            <w:r/>
            <w:r>
              <w:rPr>
                <w:sz w:val="17"/>
              </w:rPr>
              <w:t>374.837595</w:t>
            </w:r>
          </w:p>
        </w:tc>
        <w:tc>
          <w:tcPr>
            <w:tcW w:type="dxa" w:w="1872"/>
          </w:tcPr>
          <w:p>
            <w:r/>
            <w:r>
              <w:rPr>
                <w:sz w:val="17"/>
              </w:rPr>
              <w:t>20970.009709</w:t>
            </w:r>
          </w:p>
        </w:tc>
        <w:tc>
          <w:tcPr>
            <w:tcW w:type="dxa" w:w="1872"/>
          </w:tcPr>
          <w:p>
            <w:r/>
            <w:r>
              <w:rPr>
                <w:sz w:val="17"/>
              </w:rPr>
              <w:t>3038.4</w:t>
            </w:r>
          </w:p>
        </w:tc>
        <w:tc>
          <w:tcPr>
            <w:tcW w:type="dxa" w:w="1872"/>
          </w:tcPr>
          <w:p>
            <w:r/>
            <w:r>
              <w:rPr>
                <w:sz w:val="17"/>
              </w:rPr>
              <w:t>TPM vs linear CP10K-pseudobulk vs raw counts; human vs mouse -- not comparable</w:t>
            </w:r>
          </w:p>
        </w:tc>
      </w:tr>
      <w:tr>
        <w:tc>
          <w:tcPr>
            <w:tcW w:type="dxa" w:w="1872"/>
          </w:tcPr>
          <w:p>
            <w:r/>
            <w:r>
              <w:rPr>
                <w:sz w:val="17"/>
              </w:rPr>
              <w:t>ACTA2</w:t>
            </w:r>
          </w:p>
        </w:tc>
        <w:tc>
          <w:tcPr>
            <w:tcW w:type="dxa" w:w="1872"/>
          </w:tcPr>
          <w:p>
            <w:r/>
            <w:r>
              <w:rPr>
                <w:sz w:val="17"/>
              </w:rPr>
              <w:t>492.614129</w:t>
            </w:r>
          </w:p>
        </w:tc>
        <w:tc>
          <w:tcPr>
            <w:tcW w:type="dxa" w:w="1872"/>
          </w:tcPr>
          <w:p>
            <w:r/>
            <w:r>
              <w:rPr>
                <w:sz w:val="17"/>
              </w:rPr>
              <w:t>35195.407767</w:t>
            </w:r>
          </w:p>
        </w:tc>
        <w:tc>
          <w:tcPr>
            <w:tcW w:type="dxa" w:w="1872"/>
          </w:tcPr>
          <w:p>
            <w:r/>
            <w:r>
              <w:rPr>
                <w:sz w:val="17"/>
              </w:rPr>
              <w:t>6660.552</w:t>
            </w:r>
          </w:p>
        </w:tc>
        <w:tc>
          <w:tcPr>
            <w:tcW w:type="dxa" w:w="1872"/>
          </w:tcPr>
          <w:p>
            <w:r/>
            <w:r>
              <w:rPr>
                <w:sz w:val="17"/>
              </w:rPr>
              <w:t>TPM vs linear CP10K-pseudobulk vs raw counts; human vs mouse -- not comparable</w:t>
            </w:r>
          </w:p>
        </w:tc>
      </w:tr>
      <w:tr>
        <w:tc>
          <w:tcPr>
            <w:tcW w:type="dxa" w:w="1872"/>
          </w:tcPr>
          <w:p>
            <w:r/>
            <w:r>
              <w:rPr>
                <w:sz w:val="17"/>
              </w:rPr>
              <w:t>CDKN1A</w:t>
            </w:r>
          </w:p>
        </w:tc>
        <w:tc>
          <w:tcPr>
            <w:tcW w:type="dxa" w:w="1872"/>
          </w:tcPr>
          <w:p>
            <w:r/>
            <w:r>
              <w:rPr>
                <w:sz w:val="17"/>
              </w:rPr>
              <w:t>301.076699</w:t>
            </w:r>
          </w:p>
        </w:tc>
        <w:tc>
          <w:tcPr>
            <w:tcW w:type="dxa" w:w="1872"/>
          </w:tcPr>
          <w:p>
            <w:r/>
            <w:r>
              <w:rPr>
                <w:sz w:val="17"/>
              </w:rPr>
              <w:t>10327.038835</w:t>
            </w:r>
          </w:p>
        </w:tc>
        <w:tc>
          <w:tcPr>
            <w:tcW w:type="dxa" w:w="1872"/>
          </w:tcPr>
          <w:p>
            <w:r/>
            <w:r>
              <w:rPr>
                <w:sz w:val="17"/>
              </w:rPr>
              <w:t>2325.2</w:t>
            </w:r>
          </w:p>
        </w:tc>
        <w:tc>
          <w:tcPr>
            <w:tcW w:type="dxa" w:w="1872"/>
          </w:tcPr>
          <w:p>
            <w:r/>
            <w:r>
              <w:rPr>
                <w:sz w:val="17"/>
              </w:rPr>
              <w:t>TPM vs linear CP10K-pseudobulk vs raw counts; human vs mouse -- not comparable</w:t>
            </w:r>
          </w:p>
        </w:tc>
      </w:tr>
      <w:tr>
        <w:tc>
          <w:tcPr>
            <w:tcW w:type="dxa" w:w="1872"/>
          </w:tcPr>
          <w:p>
            <w:r/>
            <w:r>
              <w:rPr>
                <w:sz w:val="17"/>
              </w:rPr>
              <w:t>TGFB1</w:t>
            </w:r>
          </w:p>
        </w:tc>
        <w:tc>
          <w:tcPr>
            <w:tcW w:type="dxa" w:w="1872"/>
          </w:tcPr>
          <w:p>
            <w:r/>
            <w:r>
              <w:rPr>
                <w:sz w:val="17"/>
              </w:rPr>
              <w:t>136.778551</w:t>
            </w:r>
          </w:p>
        </w:tc>
        <w:tc>
          <w:tcPr>
            <w:tcW w:type="dxa" w:w="1872"/>
          </w:tcPr>
          <w:p>
            <w:r/>
          </w:p>
        </w:tc>
        <w:tc>
          <w:tcPr>
            <w:tcW w:type="dxa" w:w="1872"/>
          </w:tcPr>
          <w:p>
            <w:r/>
            <w:r>
              <w:rPr>
                <w:sz w:val="17"/>
              </w:rPr>
              <w:t>944.8</w:t>
            </w:r>
          </w:p>
        </w:tc>
        <w:tc>
          <w:tcPr>
            <w:tcW w:type="dxa" w:w="1872"/>
          </w:tcPr>
          <w:p>
            <w:r/>
            <w:r>
              <w:rPr>
                <w:sz w:val="17"/>
              </w:rPr>
              <w:t>TPM vs linear CP10K-pseudobulk vs raw counts; human vs mouse -- not comparable</w:t>
            </w:r>
          </w:p>
        </w:tc>
      </w:tr>
    </w:tbl>
    <w:p>
      <w:r>
        <w:rPr>
          <w:i/>
          <w:color w:val="444444"/>
          <w:sz w:val="17"/>
        </w:rPr>
        <w:t>5 further columns in the source file. Source: module4_native_levels_panel.tsv</w:t>
      </w:r>
    </w:p>
    <w:p>
      <w:pPr>
        <w:spacing w:after="140"/>
      </w:pPr>
      <w:r>
        <w:rPr>
          <w:sz w:val="21"/>
        </w:rPr>
        <w:t xml:space="preserve">One row carries the module title. SFTPC reads about 56 in the composition-weighted HuBMAP pseudobulk (linear CP10K), about 4,156 in GTEx lung mean TPM, about 1,286,872 in GSE150910 mean control counts, and about 204,863 in OSD-248 mean ground counts for mouse </w:t>
      </w:r>
      <w:r>
        <w:rPr>
          <w:rFonts w:ascii="Menlo" w:hAnsi="Menlo"/>
          <w:color w:val="1A3E6E"/>
          <w:sz w:val="19"/>
        </w:rPr>
        <w:t>Sftpc</w:t>
      </w:r>
      <w:r>
        <w:rPr>
          <w:sz w:val="21"/>
        </w:rPr>
        <w:t>. Four units and two species, with no shared scale: the spread across those columns is a units artifact, not biology. This panel is why the module compares within-resource log fold-change and pathway NES and never native levels.</w:t>
      </w:r>
    </w:p>
    <w:p>
      <w:pPr>
        <w:pStyle w:val="Heading4"/>
      </w:pPr>
      <w:r>
        <w:rPr>
          <w:color w:val="1F4E79"/>
        </w:rPr>
        <w:t>Contrast volcanoes</w:t>
      </w:r>
    </w:p>
    <w:p>
      <w:pPr>
        <w:jc w:val="center"/>
      </w:pPr>
      <w:r>
        <w:drawing>
          <wp:inline xmlns:a="http://schemas.openxmlformats.org/drawingml/2006/main" xmlns:pic="http://schemas.openxmlformats.org/drawingml/2006/picture">
            <wp:extent cx="5943600" cy="4940660"/>
            <wp:docPr id="2" name="Picture 2"/>
            <wp:cNvGraphicFramePr>
              <a:graphicFrameLocks noChangeAspect="1"/>
            </wp:cNvGraphicFramePr>
            <a:graphic>
              <a:graphicData uri="http://schemas.openxmlformats.org/drawingml/2006/picture">
                <pic:pic>
                  <pic:nvPicPr>
                    <pic:cNvPr id="0" name="module4_volcano_h_disease.png"/>
                    <pic:cNvPicPr/>
                  </pic:nvPicPr>
                  <pic:blipFill>
                    <a:blip r:embed="rId11"/>
                    <a:stretch>
                      <a:fillRect/>
                    </a:stretch>
                  </pic:blipFill>
                  <pic:spPr>
                    <a:xfrm>
                      <a:off x="0" y="0"/>
                      <a:ext cx="5943600" cy="4940660"/>
                    </a:xfrm>
                    <a:prstGeom prst="rect"/>
                  </pic:spPr>
                </pic:pic>
              </a:graphicData>
            </a:graphic>
          </wp:inline>
        </w:drawing>
      </w:r>
    </w:p>
    <w:p>
      <w:pPr>
        <w:jc w:val="center"/>
      </w:pPr>
      <w:r>
        <w:rPr>
          <w:i/>
          <w:color w:val="444444"/>
          <w:sz w:val="18"/>
        </w:rPr>
        <w:t>Volcano plot for H_DISEASE (IPF vs control)</w:t>
      </w:r>
    </w:p>
    <w:p>
      <w:pPr>
        <w:jc w:val="center"/>
      </w:pPr>
      <w:r>
        <w:drawing>
          <wp:inline xmlns:a="http://schemas.openxmlformats.org/drawingml/2006/main" xmlns:pic="http://schemas.openxmlformats.org/drawingml/2006/picture">
            <wp:extent cx="5943600" cy="4940660"/>
            <wp:docPr id="3" name="Picture 3"/>
            <wp:cNvGraphicFramePr>
              <a:graphicFrameLocks noChangeAspect="1"/>
            </wp:cNvGraphicFramePr>
            <a:graphic>
              <a:graphicData uri="http://schemas.openxmlformats.org/drawingml/2006/picture">
                <pic:pic>
                  <pic:nvPicPr>
                    <pic:cNvPr id="0" name="module4_volcano_h_aging_gtex.png"/>
                    <pic:cNvPicPr/>
                  </pic:nvPicPr>
                  <pic:blipFill>
                    <a:blip r:embed="rId12"/>
                    <a:stretch>
                      <a:fillRect/>
                    </a:stretch>
                  </pic:blipFill>
                  <pic:spPr>
                    <a:xfrm>
                      <a:off x="0" y="0"/>
                      <a:ext cx="5943600" cy="4940660"/>
                    </a:xfrm>
                    <a:prstGeom prst="rect"/>
                  </pic:spPr>
                </pic:pic>
              </a:graphicData>
            </a:graphic>
          </wp:inline>
        </w:drawing>
      </w:r>
    </w:p>
    <w:p>
      <w:pPr>
        <w:jc w:val="center"/>
      </w:pPr>
      <w:r>
        <w:rPr>
          <w:i/>
          <w:color w:val="444444"/>
          <w:sz w:val="18"/>
        </w:rPr>
        <w:t>Volcano plot for H_AGING_GTEX (older vs younger)</w:t>
      </w:r>
    </w:p>
    <w:p>
      <w:pPr>
        <w:jc w:val="center"/>
      </w:pPr>
      <w:r>
        <w:drawing>
          <wp:inline xmlns:a="http://schemas.openxmlformats.org/drawingml/2006/main" xmlns:pic="http://schemas.openxmlformats.org/drawingml/2006/picture">
            <wp:extent cx="5943600" cy="4917222"/>
            <wp:docPr id="4" name="Picture 4"/>
            <wp:cNvGraphicFramePr>
              <a:graphicFrameLocks noChangeAspect="1"/>
            </wp:cNvGraphicFramePr>
            <a:graphic>
              <a:graphicData uri="http://schemas.openxmlformats.org/drawingml/2006/picture">
                <pic:pic>
                  <pic:nvPicPr>
                    <pic:cNvPr id="0" name="module4_volcano_m_flight.png"/>
                    <pic:cNvPicPr/>
                  </pic:nvPicPr>
                  <pic:blipFill>
                    <a:blip r:embed="rId13"/>
                    <a:stretch>
                      <a:fillRect/>
                    </a:stretch>
                  </pic:blipFill>
                  <pic:spPr>
                    <a:xfrm>
                      <a:off x="0" y="0"/>
                      <a:ext cx="5943600" cy="4917222"/>
                    </a:xfrm>
                    <a:prstGeom prst="rect"/>
                  </pic:spPr>
                </pic:pic>
              </a:graphicData>
            </a:graphic>
          </wp:inline>
        </w:drawing>
      </w:r>
    </w:p>
    <w:p>
      <w:pPr>
        <w:jc w:val="center"/>
      </w:pPr>
      <w:r>
        <w:rPr>
          <w:i/>
          <w:color w:val="444444"/>
          <w:sz w:val="18"/>
        </w:rPr>
        <w:t>Volcano plot for M_FLIGHT (ISS-T flight vs ground control)</w:t>
      </w:r>
    </w:p>
    <w:p>
      <w:pPr>
        <w:jc w:val="center"/>
      </w:pPr>
      <w:r>
        <w:drawing>
          <wp:inline xmlns:a="http://schemas.openxmlformats.org/drawingml/2006/main" xmlns:pic="http://schemas.openxmlformats.org/drawingml/2006/picture">
            <wp:extent cx="5943600" cy="4935071"/>
            <wp:docPr id="5" name="Picture 5"/>
            <wp:cNvGraphicFramePr>
              <a:graphicFrameLocks noChangeAspect="1"/>
            </wp:cNvGraphicFramePr>
            <a:graphic>
              <a:graphicData uri="http://schemas.openxmlformats.org/drawingml/2006/picture">
                <pic:pic>
                  <pic:nvPicPr>
                    <pic:cNvPr id="0" name="module4_volcano_h_aging_hubmap.png"/>
                    <pic:cNvPicPr/>
                  </pic:nvPicPr>
                  <pic:blipFill>
                    <a:blip r:embed="rId14"/>
                    <a:stretch>
                      <a:fillRect/>
                    </a:stretch>
                  </pic:blipFill>
                  <pic:spPr>
                    <a:xfrm>
                      <a:off x="0" y="0"/>
                      <a:ext cx="5943600" cy="4935071"/>
                    </a:xfrm>
                    <a:prstGeom prst="rect"/>
                  </pic:spPr>
                </pic:pic>
              </a:graphicData>
            </a:graphic>
          </wp:inline>
        </w:drawing>
      </w:r>
    </w:p>
    <w:p>
      <w:pPr>
        <w:jc w:val="center"/>
      </w:pPr>
      <w:r>
        <w:rPr>
          <w:i/>
          <w:color w:val="444444"/>
          <w:sz w:val="18"/>
        </w:rPr>
        <w:t>Volcano plot for H_AGING_HUBMAP (older vs younger), the 2 vs 2 teaching illustration</w:t>
      </w:r>
    </w:p>
    <w:p>
      <w:pPr>
        <w:pStyle w:val="Heading4"/>
      </w:pPr>
      <w:r>
        <w:rPr>
          <w:color w:val="1F4E79"/>
        </w:rPr>
        <w:t>Global NES pairs (supporting)</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DCE6F1"/>
          </w:tcPr>
          <w:p>
            <w:r/>
            <w:r>
              <w:rPr>
                <w:b/>
                <w:sz w:val="15"/>
              </w:rPr>
              <w:t>contrast_x</w:t>
            </w:r>
          </w:p>
        </w:tc>
        <w:tc>
          <w:tcPr>
            <w:tcW w:type="dxa" w:w="1170"/>
            <w:shd w:val="clear" w:fill="DCE6F1"/>
          </w:tcPr>
          <w:p>
            <w:r/>
            <w:r>
              <w:rPr>
                <w:b/>
                <w:sz w:val="15"/>
              </w:rPr>
              <w:t>contrast_y</w:t>
            </w:r>
          </w:p>
        </w:tc>
        <w:tc>
          <w:tcPr>
            <w:tcW w:type="dxa" w:w="1170"/>
            <w:shd w:val="clear" w:fill="DCE6F1"/>
          </w:tcPr>
          <w:p>
            <w:r/>
            <w:r>
              <w:rPr>
                <w:b/>
                <w:sz w:val="15"/>
              </w:rPr>
              <w:t>frame</w:t>
            </w:r>
          </w:p>
        </w:tc>
        <w:tc>
          <w:tcPr>
            <w:tcW w:type="dxa" w:w="1170"/>
            <w:shd w:val="clear" w:fill="DCE6F1"/>
          </w:tcPr>
          <w:p>
            <w:r/>
            <w:r>
              <w:rPr>
                <w:b/>
                <w:sz w:val="15"/>
              </w:rPr>
              <w:t>n_shared_pathways</w:t>
            </w:r>
          </w:p>
        </w:tc>
        <w:tc>
          <w:tcPr>
            <w:tcW w:type="dxa" w:w="1170"/>
            <w:shd w:val="clear" w:fill="DCE6F1"/>
          </w:tcPr>
          <w:p>
            <w:r/>
            <w:r>
              <w:rPr>
                <w:b/>
                <w:sz w:val="15"/>
              </w:rPr>
              <w:t>spearman_rho</w:t>
            </w:r>
          </w:p>
        </w:tc>
        <w:tc>
          <w:tcPr>
            <w:tcW w:type="dxa" w:w="1170"/>
            <w:shd w:val="clear" w:fill="DCE6F1"/>
          </w:tcPr>
          <w:p>
            <w:r/>
            <w:r>
              <w:rPr>
                <w:b/>
                <w:sz w:val="15"/>
              </w:rPr>
              <w:t>sign_agreement</w:t>
            </w:r>
          </w:p>
        </w:tc>
        <w:tc>
          <w:tcPr>
            <w:tcW w:type="dxa" w:w="1170"/>
            <w:shd w:val="clear" w:fill="DCE6F1"/>
          </w:tcPr>
          <w:p>
            <w:r/>
            <w:r>
              <w:rPr>
                <w:b/>
                <w:sz w:val="15"/>
              </w:rPr>
              <w:t>spearman_p</w:t>
            </w:r>
          </w:p>
        </w:tc>
        <w:tc>
          <w:tcPr>
            <w:tcW w:type="dxa" w:w="1170"/>
            <w:shd w:val="clear" w:fill="DCE6F1"/>
          </w:tcPr>
          <w:p>
            <w:r/>
            <w:r>
              <w:rPr>
                <w:b/>
                <w:sz w:val="15"/>
              </w:rPr>
              <w:t>spearman_p_note</w:t>
            </w:r>
          </w:p>
        </w:tc>
      </w:tr>
      <w:tr>
        <w:tc>
          <w:tcPr>
            <w:tcW w:type="dxa" w:w="1170"/>
          </w:tcPr>
          <w:p>
            <w:r/>
            <w:r>
              <w:rPr>
                <w:sz w:val="15"/>
              </w:rPr>
              <w:t>H_DISEASE</w:t>
            </w:r>
          </w:p>
        </w:tc>
        <w:tc>
          <w:tcPr>
            <w:tcW w:type="dxa" w:w="1170"/>
          </w:tcPr>
          <w:p>
            <w:r/>
            <w:r>
              <w:rPr>
                <w:sz w:val="15"/>
              </w:rPr>
              <w:t>H_AGING_GTEX</w:t>
            </w:r>
          </w:p>
        </w:tc>
        <w:tc>
          <w:tcPr>
            <w:tcW w:type="dxa" w:w="1170"/>
          </w:tcPr>
          <w:p>
            <w:r/>
            <w:r>
              <w:rPr>
                <w:sz w:val="15"/>
              </w:rPr>
              <w:t>biology_best_case</w:t>
            </w:r>
          </w:p>
        </w:tc>
        <w:tc>
          <w:tcPr>
            <w:tcW w:type="dxa" w:w="1170"/>
          </w:tcPr>
          <w:p>
            <w:r/>
            <w:r>
              <w:rPr>
                <w:sz w:val="15"/>
              </w:rPr>
              <w:t>1185</w:t>
            </w:r>
          </w:p>
        </w:tc>
        <w:tc>
          <w:tcPr>
            <w:tcW w:type="dxa" w:w="1170"/>
          </w:tcPr>
          <w:p>
            <w:r/>
            <w:r>
              <w:rPr>
                <w:sz w:val="15"/>
              </w:rPr>
              <w:t>-0.197008</w:t>
            </w:r>
          </w:p>
        </w:tc>
        <w:tc>
          <w:tcPr>
            <w:tcW w:type="dxa" w:w="1170"/>
          </w:tcPr>
          <w:p>
            <w:r/>
            <w:r>
              <w:rPr>
                <w:sz w:val="15"/>
              </w:rPr>
              <w:t>0.395781</w:t>
            </w:r>
          </w:p>
        </w:tc>
        <w:tc>
          <w:tcPr>
            <w:tcW w:type="dxa" w:w="1170"/>
          </w:tcPr>
          <w:p>
            <w:r/>
            <w:r>
              <w:rPr>
                <w:sz w:val="15"/>
              </w:rPr>
              <w:t>7.82e-12</w:t>
            </w:r>
          </w:p>
        </w:tc>
        <w:tc>
          <w:tcPr>
            <w:tcW w:type="dxa" w:w="1170"/>
          </w:tcPr>
          <w:p>
            <w:r/>
            <w:r>
              <w:rPr>
                <w:sz w:val="15"/>
              </w:rPr>
              <w:t>gene-set overlap violates independence; spearman_p is not a valid evidence claim for the headline</w:t>
            </w:r>
          </w:p>
        </w:tc>
      </w:tr>
      <w:tr>
        <w:tc>
          <w:tcPr>
            <w:tcW w:type="dxa" w:w="1170"/>
          </w:tcPr>
          <w:p>
            <w:r/>
            <w:r>
              <w:rPr>
                <w:sz w:val="15"/>
              </w:rPr>
              <w:t>H_DISEASE</w:t>
            </w:r>
          </w:p>
        </w:tc>
        <w:tc>
          <w:tcPr>
            <w:tcW w:type="dxa" w:w="1170"/>
          </w:tcPr>
          <w:p>
            <w:r/>
            <w:r>
              <w:rPr>
                <w:sz w:val="15"/>
              </w:rPr>
              <w:t>M_FLIGHT</w:t>
            </w:r>
          </w:p>
        </w:tc>
        <w:tc>
          <w:tcPr>
            <w:tcW w:type="dxa" w:w="1170"/>
          </w:tcPr>
          <w:p>
            <w:r/>
            <w:r>
              <w:rPr>
                <w:sz w:val="15"/>
              </w:rPr>
              <w:t>cross_ecosystem</w:t>
            </w:r>
          </w:p>
        </w:tc>
        <w:tc>
          <w:tcPr>
            <w:tcW w:type="dxa" w:w="1170"/>
          </w:tcPr>
          <w:p>
            <w:r/>
            <w:r>
              <w:rPr>
                <w:sz w:val="15"/>
              </w:rPr>
              <w:t>1136</w:t>
            </w:r>
          </w:p>
        </w:tc>
        <w:tc>
          <w:tcPr>
            <w:tcW w:type="dxa" w:w="1170"/>
          </w:tcPr>
          <w:p>
            <w:r/>
            <w:r>
              <w:rPr>
                <w:sz w:val="15"/>
              </w:rPr>
              <w:t>-0.10913</w:t>
            </w:r>
          </w:p>
        </w:tc>
        <w:tc>
          <w:tcPr>
            <w:tcW w:type="dxa" w:w="1170"/>
          </w:tcPr>
          <w:p>
            <w:r/>
            <w:r>
              <w:rPr>
                <w:sz w:val="15"/>
              </w:rPr>
              <w:t>0.484155</w:t>
            </w:r>
          </w:p>
        </w:tc>
        <w:tc>
          <w:tcPr>
            <w:tcW w:type="dxa" w:w="1170"/>
          </w:tcPr>
          <w:p>
            <w:r/>
            <w:r>
              <w:rPr>
                <w:sz w:val="15"/>
              </w:rPr>
              <w:t>0.000229</w:t>
            </w:r>
          </w:p>
        </w:tc>
        <w:tc>
          <w:tcPr>
            <w:tcW w:type="dxa" w:w="1170"/>
          </w:tcPr>
          <w:p>
            <w:r/>
            <w:r>
              <w:rPr>
                <w:sz w:val="15"/>
              </w:rPr>
              <w:t>gene-set overlap violates independence; spearman_p is not a valid evidence claim for the headline</w:t>
            </w:r>
          </w:p>
        </w:tc>
      </w:tr>
      <w:tr>
        <w:tc>
          <w:tcPr>
            <w:tcW w:type="dxa" w:w="1170"/>
          </w:tcPr>
          <w:p>
            <w:r/>
            <w:r>
              <w:rPr>
                <w:sz w:val="15"/>
              </w:rPr>
              <w:t>H_AGING_GTEX</w:t>
            </w:r>
          </w:p>
        </w:tc>
        <w:tc>
          <w:tcPr>
            <w:tcW w:type="dxa" w:w="1170"/>
          </w:tcPr>
          <w:p>
            <w:r/>
            <w:r>
              <w:rPr>
                <w:sz w:val="15"/>
              </w:rPr>
              <w:t>M_FLIGHT</w:t>
            </w:r>
          </w:p>
        </w:tc>
        <w:tc>
          <w:tcPr>
            <w:tcW w:type="dxa" w:w="1170"/>
          </w:tcPr>
          <w:p>
            <w:r/>
            <w:r>
              <w:rPr>
                <w:sz w:val="15"/>
              </w:rPr>
              <w:t>cross_ecosystem</w:t>
            </w:r>
          </w:p>
        </w:tc>
        <w:tc>
          <w:tcPr>
            <w:tcW w:type="dxa" w:w="1170"/>
          </w:tcPr>
          <w:p>
            <w:r/>
            <w:r>
              <w:rPr>
                <w:sz w:val="15"/>
              </w:rPr>
              <w:t>1158</w:t>
            </w:r>
          </w:p>
        </w:tc>
        <w:tc>
          <w:tcPr>
            <w:tcW w:type="dxa" w:w="1170"/>
          </w:tcPr>
          <w:p>
            <w:r/>
            <w:r>
              <w:rPr>
                <w:sz w:val="15"/>
              </w:rPr>
              <w:t>-0.021858</w:t>
            </w:r>
          </w:p>
        </w:tc>
        <w:tc>
          <w:tcPr>
            <w:tcW w:type="dxa" w:w="1170"/>
          </w:tcPr>
          <w:p>
            <w:r/>
            <w:r>
              <w:rPr>
                <w:sz w:val="15"/>
              </w:rPr>
              <w:t>0.462867</w:t>
            </w:r>
          </w:p>
        </w:tc>
        <w:tc>
          <w:tcPr>
            <w:tcW w:type="dxa" w:w="1170"/>
          </w:tcPr>
          <w:p>
            <w:r/>
            <w:r>
              <w:rPr>
                <w:sz w:val="15"/>
              </w:rPr>
              <w:t>0.457419</w:t>
            </w:r>
          </w:p>
        </w:tc>
        <w:tc>
          <w:tcPr>
            <w:tcW w:type="dxa" w:w="1170"/>
          </w:tcPr>
          <w:p>
            <w:r/>
            <w:r>
              <w:rPr>
                <w:sz w:val="15"/>
              </w:rPr>
              <w:t>gene-set overlap violates independence; spearman_p is not a valid evidence claim for the headline</w:t>
            </w:r>
          </w:p>
        </w:tc>
      </w:tr>
      <w:tr>
        <w:tc>
          <w:tcPr>
            <w:tcW w:type="dxa" w:w="1170"/>
          </w:tcPr>
          <w:p>
            <w:r/>
            <w:r>
              <w:rPr>
                <w:sz w:val="15"/>
              </w:rPr>
              <w:t>H_AGING_HUBMAP</w:t>
            </w:r>
          </w:p>
        </w:tc>
        <w:tc>
          <w:tcPr>
            <w:tcW w:type="dxa" w:w="1170"/>
          </w:tcPr>
          <w:p>
            <w:r/>
            <w:r>
              <w:rPr>
                <w:sz w:val="15"/>
              </w:rPr>
              <w:t>H_AGING_GTEX</w:t>
            </w:r>
          </w:p>
        </w:tc>
        <w:tc>
          <w:tcPr>
            <w:tcW w:type="dxa" w:w="1170"/>
          </w:tcPr>
          <w:p>
            <w:r/>
            <w:r>
              <w:rPr>
                <w:sz w:val="15"/>
              </w:rPr>
              <w:t>method</w:t>
            </w:r>
          </w:p>
        </w:tc>
        <w:tc>
          <w:tcPr>
            <w:tcW w:type="dxa" w:w="1170"/>
          </w:tcPr>
          <w:p>
            <w:r/>
            <w:r>
              <w:rPr>
                <w:sz w:val="15"/>
              </w:rPr>
              <w:t>945</w:t>
            </w:r>
          </w:p>
        </w:tc>
        <w:tc>
          <w:tcPr>
            <w:tcW w:type="dxa" w:w="1170"/>
          </w:tcPr>
          <w:p>
            <w:r/>
            <w:r>
              <w:rPr>
                <w:sz w:val="15"/>
              </w:rPr>
              <w:t>0.190643</w:t>
            </w:r>
          </w:p>
        </w:tc>
        <w:tc>
          <w:tcPr>
            <w:tcW w:type="dxa" w:w="1170"/>
          </w:tcPr>
          <w:p>
            <w:r/>
            <w:r>
              <w:rPr>
                <w:sz w:val="15"/>
              </w:rPr>
              <w:t>0.582011</w:t>
            </w:r>
          </w:p>
        </w:tc>
        <w:tc>
          <w:tcPr>
            <w:tcW w:type="dxa" w:w="1170"/>
          </w:tcPr>
          <w:p>
            <w:r/>
            <w:r>
              <w:rPr>
                <w:sz w:val="15"/>
              </w:rPr>
              <w:t>3.48e-09</w:t>
            </w:r>
          </w:p>
        </w:tc>
        <w:tc>
          <w:tcPr>
            <w:tcW w:type="dxa" w:w="1170"/>
          </w:tcPr>
          <w:p>
            <w:r/>
            <w:r>
              <w:rPr>
                <w:sz w:val="15"/>
              </w:rPr>
              <w:t>gene-set overlap violates independence; spearman_p is not a valid evidence claim for the headline</w:t>
            </w:r>
          </w:p>
        </w:tc>
      </w:tr>
    </w:tbl>
    <w:p>
      <w:r>
        <w:rPr>
          <w:i/>
          <w:color w:val="444444"/>
          <w:sz w:val="17"/>
        </w:rPr>
        <w:t>Source: module4_nes_pair_summary.tsv</w:t>
      </w:r>
    </w:p>
    <w:p>
      <w:pPr>
        <w:jc w:val="center"/>
      </w:pPr>
      <w:r>
        <w:drawing>
          <wp:inline xmlns:a="http://schemas.openxmlformats.org/drawingml/2006/main" xmlns:pic="http://schemas.openxmlformats.org/drawingml/2006/picture">
            <wp:extent cx="5943600" cy="4984955"/>
            <wp:docPr id="6" name="Picture 6"/>
            <wp:cNvGraphicFramePr>
              <a:graphicFrameLocks noChangeAspect="1"/>
            </wp:cNvGraphicFramePr>
            <a:graphic>
              <a:graphicData uri="http://schemas.openxmlformats.org/drawingml/2006/picture">
                <pic:pic>
                  <pic:nvPicPr>
                    <pic:cNvPr id="0" name="module4_nes_scatter.png"/>
                    <pic:cNvPicPr/>
                  </pic:nvPicPr>
                  <pic:blipFill>
                    <a:blip r:embed="rId15"/>
                    <a:stretch>
                      <a:fillRect/>
                    </a:stretch>
                  </pic:blipFill>
                  <pic:spPr>
                    <a:xfrm>
                      <a:off x="0" y="0"/>
                      <a:ext cx="5943600" cy="4984955"/>
                    </a:xfrm>
                    <a:prstGeom prst="rect"/>
                  </pic:spPr>
                </pic:pic>
              </a:graphicData>
            </a:graphic>
          </wp:inline>
        </w:drawing>
      </w:r>
    </w:p>
    <w:p>
      <w:pPr>
        <w:jc w:val="center"/>
      </w:pPr>
      <w:r>
        <w:rPr>
          <w:i/>
          <w:color w:val="444444"/>
          <w:sz w:val="18"/>
        </w:rPr>
        <w:t>Headline NES panel: normalized enrichment scores for H_DISEASE versus H_AGING_GTEX, with selected pathway terms labeled</w:t>
      </w:r>
    </w:p>
    <w:p>
      <w:pPr>
        <w:spacing w:after="140"/>
      </w:pPr>
      <w:r>
        <w:rPr>
          <w:sz w:val="21"/>
        </w:rPr>
        <w:t xml:space="preserve">Open the panel above first. It is the canonical headline NES figure, </w:t>
      </w:r>
      <w:r>
        <w:rPr>
          <w:rFonts w:ascii="Menlo" w:hAnsi="Menlo"/>
          <w:color w:val="1A3E6E"/>
          <w:sz w:val="19"/>
        </w:rPr>
        <w:t>module4_nes_scatter.png</w:t>
      </w:r>
      <w:r>
        <w:rPr>
          <w:sz w:val="21"/>
        </w:rPr>
        <w:t xml:space="preserve">, and it carries the configured headline pair </w:t>
      </w:r>
      <w:r>
        <w:rPr>
          <w:rFonts w:ascii="Menlo" w:hAnsi="Menlo"/>
          <w:color w:val="1A3E6E"/>
          <w:sz w:val="19"/>
        </w:rPr>
        <w:t>H_DISEASE</w:t>
      </w:r>
      <w:r>
        <w:rPr>
          <w:sz w:val="21"/>
        </w:rPr>
        <w:t xml:space="preserve"> vs </w:t>
      </w:r>
      <w:r>
        <w:rPr>
          <w:rFonts w:ascii="Menlo" w:hAnsi="Menlo"/>
          <w:color w:val="1A3E6E"/>
          <w:sz w:val="19"/>
        </w:rPr>
        <w:t>H_AGING_GTEX</w:t>
      </w:r>
      <w:r>
        <w:rPr>
          <w:sz w:val="21"/>
        </w:rPr>
        <w:t>; the explicitly named per-pair file directly below holds the same content under its pair name.</w:t>
      </w:r>
    </w:p>
    <w:p>
      <w:pPr>
        <w:jc w:val="center"/>
      </w:pPr>
      <w:r>
        <w:drawing>
          <wp:inline xmlns:a="http://schemas.openxmlformats.org/drawingml/2006/main" xmlns:pic="http://schemas.openxmlformats.org/drawingml/2006/picture">
            <wp:extent cx="5943600" cy="5086295"/>
            <wp:docPr id="7" name="Picture 7"/>
            <wp:cNvGraphicFramePr>
              <a:graphicFrameLocks noChangeAspect="1"/>
            </wp:cNvGraphicFramePr>
            <a:graphic>
              <a:graphicData uri="http://schemas.openxmlformats.org/drawingml/2006/picture">
                <pic:pic>
                  <pic:nvPicPr>
                    <pic:cNvPr id="0" name="module4_nes_scatter_H_DISEASE_vs_H_AGING_GTEX.png"/>
                    <pic:cNvPicPr/>
                  </pic:nvPicPr>
                  <pic:blipFill>
                    <a:blip r:embed="rId16"/>
                    <a:stretch>
                      <a:fillRect/>
                    </a:stretch>
                  </pic:blipFill>
                  <pic:spPr>
                    <a:xfrm>
                      <a:off x="0" y="0"/>
                      <a:ext cx="5943600" cy="5086295"/>
                    </a:xfrm>
                    <a:prstGeom prst="rect"/>
                  </pic:spPr>
                </pic:pic>
              </a:graphicData>
            </a:graphic>
          </wp:inline>
        </w:drawing>
      </w:r>
    </w:p>
    <w:p>
      <w:pPr>
        <w:jc w:val="center"/>
      </w:pPr>
      <w:r>
        <w:rPr>
          <w:i/>
          <w:color w:val="444444"/>
          <w:sz w:val="18"/>
        </w:rPr>
        <w:t>NES scatter for H_DISEASE versus H_AGING_GTEX</w:t>
      </w:r>
    </w:p>
    <w:p>
      <w:pPr>
        <w:jc w:val="center"/>
      </w:pPr>
      <w:r>
        <w:drawing>
          <wp:inline xmlns:a="http://schemas.openxmlformats.org/drawingml/2006/main" xmlns:pic="http://schemas.openxmlformats.org/drawingml/2006/picture">
            <wp:extent cx="5943600" cy="5076466"/>
            <wp:docPr id="8" name="Picture 8"/>
            <wp:cNvGraphicFramePr>
              <a:graphicFrameLocks noChangeAspect="1"/>
            </wp:cNvGraphicFramePr>
            <a:graphic>
              <a:graphicData uri="http://schemas.openxmlformats.org/drawingml/2006/picture">
                <pic:pic>
                  <pic:nvPicPr>
                    <pic:cNvPr id="0" name="module4_nes_scatter_H_DISEASE_vs_M_FLIGHT.png"/>
                    <pic:cNvPicPr/>
                  </pic:nvPicPr>
                  <pic:blipFill>
                    <a:blip r:embed="rId17"/>
                    <a:stretch>
                      <a:fillRect/>
                    </a:stretch>
                  </pic:blipFill>
                  <pic:spPr>
                    <a:xfrm>
                      <a:off x="0" y="0"/>
                      <a:ext cx="5943600" cy="5076466"/>
                    </a:xfrm>
                    <a:prstGeom prst="rect"/>
                  </pic:spPr>
                </pic:pic>
              </a:graphicData>
            </a:graphic>
          </wp:inline>
        </w:drawing>
      </w:r>
    </w:p>
    <w:p>
      <w:pPr>
        <w:jc w:val="center"/>
      </w:pPr>
      <w:r>
        <w:rPr>
          <w:i/>
          <w:color w:val="444444"/>
          <w:sz w:val="18"/>
        </w:rPr>
        <w:t>NES scatter for H_DISEASE versus M_FLIGHT</w:t>
      </w:r>
    </w:p>
    <w:p>
      <w:pPr>
        <w:jc w:val="center"/>
      </w:pPr>
      <w:r>
        <w:drawing>
          <wp:inline xmlns:a="http://schemas.openxmlformats.org/drawingml/2006/main" xmlns:pic="http://schemas.openxmlformats.org/drawingml/2006/picture">
            <wp:extent cx="5943600" cy="5181600"/>
            <wp:docPr id="9" name="Picture 9"/>
            <wp:cNvGraphicFramePr>
              <a:graphicFrameLocks noChangeAspect="1"/>
            </wp:cNvGraphicFramePr>
            <a:graphic>
              <a:graphicData uri="http://schemas.openxmlformats.org/drawingml/2006/picture">
                <pic:pic>
                  <pic:nvPicPr>
                    <pic:cNvPr id="0" name="module4_nes_scatter_H_AGING_GTEX_vs_M_FLIGHT.png"/>
                    <pic:cNvPicPr/>
                  </pic:nvPicPr>
                  <pic:blipFill>
                    <a:blip r:embed="rId18"/>
                    <a:stretch>
                      <a:fillRect/>
                    </a:stretch>
                  </pic:blipFill>
                  <pic:spPr>
                    <a:xfrm>
                      <a:off x="0" y="0"/>
                      <a:ext cx="5943600" cy="5181600"/>
                    </a:xfrm>
                    <a:prstGeom prst="rect"/>
                  </pic:spPr>
                </pic:pic>
              </a:graphicData>
            </a:graphic>
          </wp:inline>
        </w:drawing>
      </w:r>
    </w:p>
    <w:p>
      <w:pPr>
        <w:jc w:val="center"/>
      </w:pPr>
      <w:r>
        <w:rPr>
          <w:i/>
          <w:color w:val="444444"/>
          <w:sz w:val="18"/>
        </w:rPr>
        <w:t>NES scatter for H_AGING_GTEX versus M_FLIGHT, the aging-flight pair</w:t>
      </w:r>
    </w:p>
    <w:p>
      <w:pPr>
        <w:jc w:val="center"/>
      </w:pPr>
      <w:r>
        <w:drawing>
          <wp:inline xmlns:a="http://schemas.openxmlformats.org/drawingml/2006/main" xmlns:pic="http://schemas.openxmlformats.org/drawingml/2006/picture">
            <wp:extent cx="5943600" cy="4980230"/>
            <wp:docPr id="10" name="Picture 10"/>
            <wp:cNvGraphicFramePr>
              <a:graphicFrameLocks noChangeAspect="1"/>
            </wp:cNvGraphicFramePr>
            <a:graphic>
              <a:graphicData uri="http://schemas.openxmlformats.org/drawingml/2006/picture">
                <pic:pic>
                  <pic:nvPicPr>
                    <pic:cNvPr id="0" name="module4_nes_scatter_H_AGING_HUBMAP_vs_H_AGING_GTEX.png"/>
                    <pic:cNvPicPr/>
                  </pic:nvPicPr>
                  <pic:blipFill>
                    <a:blip r:embed="rId19"/>
                    <a:stretch>
                      <a:fillRect/>
                    </a:stretch>
                  </pic:blipFill>
                  <pic:spPr>
                    <a:xfrm>
                      <a:off x="0" y="0"/>
                      <a:ext cx="5943600" cy="4980230"/>
                    </a:xfrm>
                    <a:prstGeom prst="rect"/>
                  </pic:spPr>
                </pic:pic>
              </a:graphicData>
            </a:graphic>
          </wp:inline>
        </w:drawing>
      </w:r>
    </w:p>
    <w:p>
      <w:pPr>
        <w:jc w:val="center"/>
      </w:pPr>
      <w:r>
        <w:rPr>
          <w:i/>
          <w:color w:val="444444"/>
          <w:sz w:val="18"/>
        </w:rPr>
        <w:t>NES scatter for H_AGING_HUBMAP versus H_AGING_GTEX, a method-frame pair rather than a biology pair</w:t>
      </w:r>
    </w:p>
    <w:p>
      <w:pPr>
        <w:spacing w:after="140"/>
      </w:pPr>
      <w:r>
        <w:rPr>
          <w:sz w:val="21"/>
        </w:rPr>
        <w:t xml:space="preserve">Biology pairs are near-null to negative on global Spearman. That is context, not the headline. Aging-flight is the flattest of the four on this axis, rho -0.022 over 1,158 shared sets, and it is still the only pair whose pathway concordance clears its permutation null; global correlation and mechanism concordance answer different questions. The fourth scatter is the </w:t>
      </w:r>
      <w:r>
        <w:rPr>
          <w:rFonts w:ascii="Menlo" w:hAnsi="Menlo"/>
          <w:color w:val="1A3E6E"/>
          <w:sz w:val="19"/>
        </w:rPr>
        <w:t>method</w:t>
      </w:r>
      <w:r>
        <w:rPr>
          <w:sz w:val="21"/>
        </w:rPr>
        <w:t xml:space="preserve"> frame pair (</w:t>
      </w:r>
      <w:r>
        <w:rPr>
          <w:rFonts w:ascii="Menlo" w:hAnsi="Menlo"/>
          <w:color w:val="1A3E6E"/>
          <w:sz w:val="19"/>
        </w:rPr>
        <w:t>H_AGING_HUBMAP</w:t>
      </w:r>
      <w:r>
        <w:rPr>
          <w:sz w:val="21"/>
        </w:rPr>
        <w:t xml:space="preserve"> vs </w:t>
      </w:r>
      <w:r>
        <w:rPr>
          <w:rFonts w:ascii="Menlo" w:hAnsi="Menlo"/>
          <w:color w:val="1A3E6E"/>
          <w:sz w:val="19"/>
        </w:rPr>
        <w:t>H_AGING_GTEX</w:t>
      </w:r>
      <w:r>
        <w:rPr>
          <w:sz w:val="21"/>
        </w:rPr>
        <w:t>, rho 0.191 over 945 shared sets), a pipeline check on the 2 vs 2 illustration rather than a biology result.</w:t>
      </w:r>
    </w:p>
    <w:p>
      <w:pPr>
        <w:spacing w:after="140"/>
      </w:pPr>
      <w:r>
        <w:rPr>
          <w:b/>
          <w:sz w:val="21"/>
        </w:rPr>
        <w:t>Gene-set library sensitivity.</w:t>
      </w:r>
    </w:p>
    <w:p>
      <w:pPr>
        <w:jc w:val="center"/>
      </w:pPr>
      <w:r>
        <w:drawing>
          <wp:inline xmlns:a="http://schemas.openxmlformats.org/drawingml/2006/main" xmlns:pic="http://schemas.openxmlformats.org/drawingml/2006/picture">
            <wp:extent cx="5943600" cy="3293656"/>
            <wp:docPr id="11" name="Picture 11"/>
            <wp:cNvGraphicFramePr>
              <a:graphicFrameLocks noChangeAspect="1"/>
            </wp:cNvGraphicFramePr>
            <a:graphic>
              <a:graphicData uri="http://schemas.openxmlformats.org/drawingml/2006/picture">
                <pic:pic>
                  <pic:nvPicPr>
                    <pic:cNvPr id="0" name="module4_nes_sensitivity.png"/>
                    <pic:cNvPicPr/>
                  </pic:nvPicPr>
                  <pic:blipFill>
                    <a:blip r:embed="rId20"/>
                    <a:stretch>
                      <a:fillRect/>
                    </a:stretch>
                  </pic:blipFill>
                  <pic:spPr>
                    <a:xfrm>
                      <a:off x="0" y="0"/>
                      <a:ext cx="5943600" cy="3293656"/>
                    </a:xfrm>
                    <a:prstGeom prst="rect"/>
                  </pic:spPr>
                </pic:pic>
              </a:graphicData>
            </a:graphic>
          </wp:inline>
        </w:drawing>
      </w:r>
    </w:p>
    <w:p>
      <w:pPr>
        <w:jc w:val="center"/>
      </w:pPr>
      <w:r>
        <w:rPr>
          <w:i/>
          <w:color w:val="444444"/>
          <w:sz w:val="18"/>
        </w:rPr>
        <w:t>Bar chart of Spearman rho for the disease-aging NES pair across five gene-set library slices</w:t>
      </w:r>
    </w:p>
    <w:p>
      <w:pPr>
        <w:spacing w:after="140"/>
      </w:pPr>
      <w:r>
        <w:rPr>
          <w:sz w:val="21"/>
        </w:rPr>
        <w:t xml:space="preserve">The headline coefficient moves with the library it is computed on. For </w:t>
      </w:r>
      <w:r>
        <w:rPr>
          <w:rFonts w:ascii="Menlo" w:hAnsi="Menlo"/>
          <w:color w:val="1A3E6E"/>
          <w:sz w:val="19"/>
        </w:rPr>
        <w:t>H_DISEASE</w:t>
      </w:r>
      <w:r>
        <w:rPr>
          <w:sz w:val="21"/>
        </w:rPr>
        <w:t xml:space="preserve"> vs </w:t>
      </w:r>
      <w:r>
        <w:rPr>
          <w:rFonts w:ascii="Menlo" w:hAnsi="Menlo"/>
          <w:color w:val="1A3E6E"/>
          <w:sz w:val="19"/>
        </w:rPr>
        <w:t>H_AGING_GTEX</w:t>
      </w:r>
      <w:r>
        <w:rPr>
          <w:sz w:val="21"/>
        </w:rPr>
        <w:t xml:space="preserve">, </w:t>
      </w:r>
      <w:r>
        <w:rPr>
          <w:rFonts w:ascii="Menlo" w:hAnsi="Menlo"/>
          <w:color w:val="1A3E6E"/>
          <w:sz w:val="19"/>
        </w:rPr>
        <w:t>module4_nes_sensitivity.tsv</w:t>
      </w:r>
      <w:r>
        <w:rPr>
          <w:sz w:val="21"/>
        </w:rPr>
        <w:t xml:space="preserve"> reports Spearman rho -0.197 on the headline Hallmark plus Reactome universe (n = 1,185), -0.078 once GO BP is added to make all three libraries (n = 3,740), and -0.027 on GO BP alone (n = 2,555); Reactome alone gives -0.199 (n = 1,135) and Hallmark alone gives -0.214 (n = 50). A coefficient that ranges from -0.214 to -0.027 depending on which annotation happens to be loaded is describing the annotation at least as much as the biology. That instability, not modesty about effect size, is why the global correlation is supporting context and the permutation-tested pathway concordance is the headline.</w:t>
      </w:r>
    </w:p>
    <w:p>
      <w:pPr>
        <w:pStyle w:val="Heading4"/>
      </w:pPr>
      <w:r>
        <w:rPr>
          <w:color w:val="1F4E79"/>
        </w:rPr>
        <w:t>Shared-mechanism concordance (headline)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DCE6F1"/>
          </w:tcPr>
          <w:p>
            <w:r/>
            <w:r>
              <w:rPr>
                <w:b/>
                <w:sz w:val="15"/>
              </w:rPr>
              <w:t>set_id</w:t>
            </w:r>
          </w:p>
        </w:tc>
        <w:tc>
          <w:tcPr>
            <w:tcW w:type="dxa" w:w="1337"/>
            <w:shd w:val="clear" w:fill="DCE6F1"/>
          </w:tcPr>
          <w:p>
            <w:r/>
            <w:r>
              <w:rPr>
                <w:b/>
                <w:sz w:val="15"/>
              </w:rPr>
              <w:t>n_mechanisms_total</w:t>
            </w:r>
          </w:p>
        </w:tc>
        <w:tc>
          <w:tcPr>
            <w:tcW w:type="dxa" w:w="1337"/>
            <w:shd w:val="clear" w:fill="DCE6F1"/>
          </w:tcPr>
          <w:p>
            <w:r/>
            <w:r>
              <w:rPr>
                <w:b/>
                <w:sz w:val="15"/>
              </w:rPr>
              <w:t>n_mechanisms_unflagged</w:t>
            </w:r>
          </w:p>
        </w:tc>
        <w:tc>
          <w:tcPr>
            <w:tcW w:type="dxa" w:w="1337"/>
            <w:shd w:val="clear" w:fill="DCE6F1"/>
          </w:tcPr>
          <w:p>
            <w:r/>
            <w:r>
              <w:rPr>
                <w:b/>
                <w:sz w:val="15"/>
              </w:rPr>
              <w:t>n_concordant_pathways</w:t>
            </w:r>
          </w:p>
        </w:tc>
        <w:tc>
          <w:tcPr>
            <w:tcW w:type="dxa" w:w="1337"/>
            <w:shd w:val="clear" w:fill="DCE6F1"/>
          </w:tcPr>
          <w:p>
            <w:r/>
            <w:r>
              <w:rPr>
                <w:b/>
                <w:sz w:val="15"/>
              </w:rPr>
              <w:t>n_concordant_unflagged</w:t>
            </w:r>
          </w:p>
        </w:tc>
        <w:tc>
          <w:tcPr>
            <w:tcW w:type="dxa" w:w="1337"/>
            <w:shd w:val="clear" w:fill="DCE6F1"/>
          </w:tcPr>
          <w:p>
            <w:r/>
            <w:r>
              <w:rPr>
                <w:b/>
                <w:sz w:val="15"/>
              </w:rPr>
              <w:t>perm_mean</w:t>
            </w:r>
          </w:p>
        </w:tc>
        <w:tc>
          <w:tcPr>
            <w:tcW w:type="dxa" w:w="1337"/>
            <w:shd w:val="clear" w:fill="DCE6F1"/>
          </w:tcPr>
          <w:p>
            <w:r/>
            <w:r>
              <w:rPr>
                <w:b/>
                <w:sz w:val="15"/>
              </w:rPr>
              <w:t>perm_p_ge_obs</w:t>
            </w:r>
          </w:p>
        </w:tc>
      </w:tr>
      <w:tr>
        <w:tc>
          <w:tcPr>
            <w:tcW w:type="dxa" w:w="1337"/>
          </w:tcPr>
          <w:p>
            <w:r/>
            <w:r>
              <w:rPr>
                <w:sz w:val="15"/>
              </w:rPr>
              <w:t>disease_aging</w:t>
            </w:r>
          </w:p>
        </w:tc>
        <w:tc>
          <w:tcPr>
            <w:tcW w:type="dxa" w:w="1337"/>
          </w:tcPr>
          <w:p>
            <w:r/>
            <w:r>
              <w:rPr>
                <w:sz w:val="15"/>
              </w:rPr>
              <w:t>5</w:t>
            </w:r>
          </w:p>
        </w:tc>
        <w:tc>
          <w:tcPr>
            <w:tcW w:type="dxa" w:w="1337"/>
          </w:tcPr>
          <w:p>
            <w:r/>
            <w:r>
              <w:rPr>
                <w:sz w:val="15"/>
              </w:rPr>
              <w:t>5</w:t>
            </w:r>
          </w:p>
        </w:tc>
        <w:tc>
          <w:tcPr>
            <w:tcW w:type="dxa" w:w="1337"/>
          </w:tcPr>
          <w:p>
            <w:r/>
            <w:r>
              <w:rPr>
                <w:sz w:val="15"/>
              </w:rPr>
              <w:t>5</w:t>
            </w:r>
          </w:p>
        </w:tc>
        <w:tc>
          <w:tcPr>
            <w:tcW w:type="dxa" w:w="1337"/>
          </w:tcPr>
          <w:p>
            <w:r/>
            <w:r>
              <w:rPr>
                <w:sz w:val="15"/>
              </w:rPr>
              <w:t>5</w:t>
            </w:r>
          </w:p>
        </w:tc>
        <w:tc>
          <w:tcPr>
            <w:tcW w:type="dxa" w:w="1337"/>
          </w:tcPr>
          <w:p>
            <w:r/>
            <w:r>
              <w:rPr>
                <w:sz w:val="15"/>
              </w:rPr>
              <w:t>3.0075</w:t>
            </w:r>
          </w:p>
        </w:tc>
        <w:tc>
          <w:tcPr>
            <w:tcW w:type="dxa" w:w="1337"/>
          </w:tcPr>
          <w:p>
            <w:r/>
            <w:r>
              <w:rPr>
                <w:sz w:val="15"/>
              </w:rPr>
              <w:t>0.169</w:t>
            </w:r>
          </w:p>
        </w:tc>
      </w:tr>
      <w:tr>
        <w:tc>
          <w:tcPr>
            <w:tcW w:type="dxa" w:w="1337"/>
          </w:tcPr>
          <w:p>
            <w:r/>
            <w:r>
              <w:rPr>
                <w:sz w:val="15"/>
              </w:rPr>
              <w:t>disease_flight</w:t>
            </w:r>
          </w:p>
        </w:tc>
        <w:tc>
          <w:tcPr>
            <w:tcW w:type="dxa" w:w="1337"/>
          </w:tcPr>
          <w:p>
            <w:r/>
            <w:r>
              <w:rPr>
                <w:sz w:val="15"/>
              </w:rPr>
              <w:t>0</w:t>
            </w:r>
          </w:p>
        </w:tc>
        <w:tc>
          <w:tcPr>
            <w:tcW w:type="dxa" w:w="1337"/>
          </w:tcPr>
          <w:p>
            <w:r/>
            <w:r>
              <w:rPr>
                <w:sz w:val="15"/>
              </w:rPr>
              <w:t>0</w:t>
            </w:r>
          </w:p>
        </w:tc>
        <w:tc>
          <w:tcPr>
            <w:tcW w:type="dxa" w:w="1337"/>
          </w:tcPr>
          <w:p>
            <w:r/>
            <w:r>
              <w:rPr>
                <w:sz w:val="15"/>
              </w:rPr>
              <w:t>0</w:t>
            </w:r>
          </w:p>
        </w:tc>
        <w:tc>
          <w:tcPr>
            <w:tcW w:type="dxa" w:w="1337"/>
          </w:tcPr>
          <w:p>
            <w:r/>
            <w:r>
              <w:rPr>
                <w:sz w:val="15"/>
              </w:rPr>
              <w:t>0</w:t>
            </w:r>
          </w:p>
        </w:tc>
        <w:tc>
          <w:tcPr>
            <w:tcW w:type="dxa" w:w="1337"/>
          </w:tcPr>
          <w:p>
            <w:r/>
            <w:r>
              <w:rPr>
                <w:sz w:val="15"/>
              </w:rPr>
              <w:t>0.42</w:t>
            </w:r>
          </w:p>
        </w:tc>
        <w:tc>
          <w:tcPr>
            <w:tcW w:type="dxa" w:w="1337"/>
          </w:tcPr>
          <w:p>
            <w:r/>
            <w:r>
              <w:rPr>
                <w:sz w:val="15"/>
              </w:rPr>
              <w:t>1.0</w:t>
            </w:r>
          </w:p>
        </w:tc>
      </w:tr>
      <w:tr>
        <w:tc>
          <w:tcPr>
            <w:tcW w:type="dxa" w:w="1337"/>
          </w:tcPr>
          <w:p>
            <w:r/>
            <w:r>
              <w:rPr>
                <w:sz w:val="15"/>
              </w:rPr>
              <w:t>aging_flight</w:t>
            </w:r>
          </w:p>
        </w:tc>
        <w:tc>
          <w:tcPr>
            <w:tcW w:type="dxa" w:w="1337"/>
          </w:tcPr>
          <w:p>
            <w:r/>
            <w:r>
              <w:rPr>
                <w:sz w:val="15"/>
              </w:rPr>
              <w:t>5</w:t>
            </w:r>
          </w:p>
        </w:tc>
        <w:tc>
          <w:tcPr>
            <w:tcW w:type="dxa" w:w="1337"/>
          </w:tcPr>
          <w:p>
            <w:r/>
            <w:r>
              <w:rPr>
                <w:sz w:val="15"/>
              </w:rPr>
              <w:t>3</w:t>
            </w:r>
          </w:p>
        </w:tc>
        <w:tc>
          <w:tcPr>
            <w:tcW w:type="dxa" w:w="1337"/>
          </w:tcPr>
          <w:p>
            <w:r/>
            <w:r>
              <w:rPr>
                <w:sz w:val="15"/>
              </w:rPr>
              <w:t>6</w:t>
            </w:r>
          </w:p>
        </w:tc>
        <w:tc>
          <w:tcPr>
            <w:tcW w:type="dxa" w:w="1337"/>
          </w:tcPr>
          <w:p>
            <w:r/>
            <w:r>
              <w:rPr>
                <w:sz w:val="15"/>
              </w:rPr>
              <w:t>3</w:t>
            </w:r>
          </w:p>
        </w:tc>
        <w:tc>
          <w:tcPr>
            <w:tcW w:type="dxa" w:w="1337"/>
          </w:tcPr>
          <w:p>
            <w:r/>
            <w:r>
              <w:rPr>
                <w:sz w:val="15"/>
              </w:rPr>
              <w:t>2.483</w:t>
            </w:r>
          </w:p>
        </w:tc>
        <w:tc>
          <w:tcPr>
            <w:tcW w:type="dxa" w:w="1337"/>
          </w:tcPr>
          <w:p>
            <w:r/>
            <w:r>
              <w:rPr>
                <w:sz w:val="15"/>
              </w:rPr>
              <w:t>0.0255</w:t>
            </w:r>
          </w:p>
        </w:tc>
      </w:tr>
      <w:tr>
        <w:tc>
          <w:tcPr>
            <w:tcW w:type="dxa" w:w="1337"/>
          </w:tcPr>
          <w:p>
            <w:r/>
            <w:r>
              <w:rPr>
                <w:sz w:val="15"/>
              </w:rPr>
              <w:t>three_way</w:t>
            </w:r>
          </w:p>
        </w:tc>
        <w:tc>
          <w:tcPr>
            <w:tcW w:type="dxa" w:w="1337"/>
          </w:tcPr>
          <w:p>
            <w:r/>
            <w:r>
              <w:rPr>
                <w:sz w:val="15"/>
              </w:rPr>
              <w:t>0</w:t>
            </w:r>
          </w:p>
        </w:tc>
        <w:tc>
          <w:tcPr>
            <w:tcW w:type="dxa" w:w="1337"/>
          </w:tcPr>
          <w:p>
            <w:r/>
            <w:r>
              <w:rPr>
                <w:sz w:val="15"/>
              </w:rPr>
              <w:t>0</w:t>
            </w:r>
          </w:p>
        </w:tc>
        <w:tc>
          <w:tcPr>
            <w:tcW w:type="dxa" w:w="1337"/>
          </w:tcPr>
          <w:p>
            <w:r/>
            <w:r>
              <w:rPr>
                <w:sz w:val="15"/>
              </w:rPr>
              <w:t>0</w:t>
            </w:r>
          </w:p>
        </w:tc>
        <w:tc>
          <w:tcPr>
            <w:tcW w:type="dxa" w:w="1337"/>
          </w:tcPr>
          <w:p>
            <w:r/>
            <w:r>
              <w:rPr>
                <w:sz w:val="15"/>
              </w:rPr>
              <w:t>0</w:t>
            </w:r>
          </w:p>
        </w:tc>
        <w:tc>
          <w:tcPr>
            <w:tcW w:type="dxa" w:w="1337"/>
          </w:tcPr>
          <w:p>
            <w:r/>
            <w:r>
              <w:rPr>
                <w:sz w:val="15"/>
              </w:rPr>
              <w:t>0.0345</w:t>
            </w:r>
          </w:p>
        </w:tc>
        <w:tc>
          <w:tcPr>
            <w:tcW w:type="dxa" w:w="1337"/>
          </w:tcPr>
          <w:p>
            <w:r/>
            <w:r>
              <w:rPr>
                <w:sz w:val="15"/>
              </w:rPr>
              <w:t>1.0</w:t>
            </w:r>
          </w:p>
        </w:tc>
      </w:tr>
    </w:tbl>
    <w:p>
      <w:r>
        <w:rPr>
          <w:i/>
          <w:color w:val="444444"/>
          <w:sz w:val="17"/>
        </w:rPr>
        <w:t>Source: module4_mechanism_summary.tsv</w:t>
      </w:r>
    </w:p>
    <w:p>
      <w:pPr>
        <w:spacing w:after="140"/>
      </w:pPr>
      <w:r>
        <w:rPr>
          <w:sz w:val="21"/>
        </w:rPr>
        <w:t xml:space="preserve">The full null table </w:t>
      </w:r>
      <w:r>
        <w:rPr>
          <w:rFonts w:ascii="Menlo" w:hAnsi="Menlo"/>
          <w:color w:val="1A3E6E"/>
          <w:sz w:val="19"/>
        </w:rPr>
        <w:t>module4_concordance_null.tsv</w:t>
      </w:r>
      <w:r>
        <w:rPr>
          <w:sz w:val="21"/>
        </w:rPr>
        <w:t xml:space="preserve"> carries 27 columns and does not fit a portrait page. The compact view below keeps the nine needed to read the close; the analytic null columns (</w:t>
      </w:r>
      <w:r>
        <w:rPr>
          <w:rFonts w:ascii="Menlo" w:hAnsi="Menlo"/>
          <w:color w:val="1A3E6E"/>
          <w:sz w:val="19"/>
        </w:rPr>
        <w:t>E_both_pass</w:t>
      </w:r>
      <w:r>
        <w:rPr>
          <w:sz w:val="21"/>
        </w:rPr>
        <w:t xml:space="preserve">, </w:t>
      </w:r>
      <w:r>
        <w:rPr>
          <w:rFonts w:ascii="Menlo" w:hAnsi="Menlo"/>
          <w:color w:val="1A3E6E"/>
          <w:sz w:val="19"/>
        </w:rPr>
        <w:t>P_agree</w:t>
      </w:r>
      <w:r>
        <w:rPr>
          <w:sz w:val="21"/>
        </w:rPr>
        <w:t xml:space="preserve">, </w:t>
      </w:r>
      <w:r>
        <w:rPr>
          <w:rFonts w:ascii="Menlo" w:hAnsi="Menlo"/>
          <w:color w:val="1A3E6E"/>
          <w:sz w:val="19"/>
        </w:rPr>
        <w:t>E_concordant</w:t>
      </w:r>
      <w:r>
        <w:rPr>
          <w:sz w:val="21"/>
        </w:rPr>
        <w:t xml:space="preserve">, </w:t>
      </w:r>
      <w:r>
        <w:rPr>
          <w:rFonts w:ascii="Menlo" w:hAnsi="Menlo"/>
          <w:color w:val="1A3E6E"/>
          <w:sz w:val="19"/>
        </w:rPr>
        <w:t>analytic_ratio_obs_over_E</w:t>
      </w:r>
      <w:r>
        <w:rPr>
          <w:sz w:val="21"/>
        </w:rPr>
        <w:t>), the unflagged and q&lt;0.05 concordant counts, the permutation spread (</w:t>
      </w:r>
      <w:r>
        <w:rPr>
          <w:rFonts w:ascii="Menlo" w:hAnsi="Menlo"/>
          <w:color w:val="1A3E6E"/>
          <w:sz w:val="19"/>
        </w:rPr>
        <w:t>perm_median</w:t>
      </w:r>
      <w:r>
        <w:rPr>
          <w:sz w:val="21"/>
        </w:rPr>
        <w:t xml:space="preserve">, </w:t>
      </w:r>
      <w:r>
        <w:rPr>
          <w:rFonts w:ascii="Menlo" w:hAnsi="Menlo"/>
          <w:color w:val="1A3E6E"/>
          <w:sz w:val="19"/>
        </w:rPr>
        <w:t>perm_sd</w:t>
      </w:r>
      <w:r>
        <w:rPr>
          <w:sz w:val="21"/>
        </w:rPr>
        <w:t xml:space="preserve">, </w:t>
      </w:r>
      <w:r>
        <w:rPr>
          <w:rFonts w:ascii="Menlo" w:hAnsi="Menlo"/>
          <w:color w:val="1A3E6E"/>
          <w:sz w:val="19"/>
        </w:rPr>
        <w:t>perm_ratio_obs_over_mean</w:t>
      </w:r>
      <w:r>
        <w:rPr>
          <w:sz w:val="21"/>
        </w:rPr>
        <w:t xml:space="preserve">, </w:t>
      </w:r>
      <w:r>
        <w:rPr>
          <w:rFonts w:ascii="Menlo" w:hAnsi="Menlo"/>
          <w:color w:val="1A3E6E"/>
          <w:sz w:val="19"/>
        </w:rPr>
        <w:t>n_permutations</w:t>
      </w:r>
      <w:r>
        <w:rPr>
          <w:sz w:val="21"/>
        </w:rPr>
        <w:t>), the threshold stamps (</w:t>
      </w:r>
      <w:r>
        <w:rPr>
          <w:rFonts w:ascii="Menlo" w:hAnsi="Menlo"/>
          <w:color w:val="1A3E6E"/>
          <w:sz w:val="19"/>
        </w:rPr>
        <w:t>fdr_q</w:t>
      </w:r>
      <w:r>
        <w:rPr>
          <w:sz w:val="21"/>
        </w:rPr>
        <w:t xml:space="preserve">, </w:t>
      </w:r>
      <w:r>
        <w:rPr>
          <w:rFonts w:ascii="Menlo" w:hAnsi="Menlo"/>
          <w:color w:val="1A3E6E"/>
          <w:sz w:val="19"/>
        </w:rPr>
        <w:t>nes_abs_min</w:t>
      </w:r>
      <w:r>
        <w:rPr>
          <w:sz w:val="21"/>
        </w:rPr>
        <w:t>), and the third-contrast columns (</w:t>
      </w:r>
      <w:r>
        <w:rPr>
          <w:rFonts w:ascii="Menlo" w:hAnsi="Menlo"/>
          <w:color w:val="1A3E6E"/>
          <w:sz w:val="19"/>
        </w:rPr>
        <w:t>contrast_c</w:t>
      </w:r>
      <w:r>
        <w:rPr>
          <w:sz w:val="21"/>
        </w:rPr>
        <w:t xml:space="preserve">, </w:t>
      </w:r>
      <w:r>
        <w:rPr>
          <w:rFonts w:ascii="Menlo" w:hAnsi="Menlo"/>
          <w:color w:val="1A3E6E"/>
          <w:sz w:val="19"/>
        </w:rPr>
        <w:t>k_c</w:t>
      </w:r>
      <w:r>
        <w:rPr>
          <w:sz w:val="21"/>
        </w:rPr>
        <w:t xml:space="preserve">, </w:t>
      </w:r>
      <w:r>
        <w:rPr>
          <w:rFonts w:ascii="Menlo" w:hAnsi="Menlo"/>
          <w:color w:val="1A3E6E"/>
          <w:sz w:val="19"/>
        </w:rPr>
        <w:t>p_c_up</w:t>
      </w:r>
      <w:r>
        <w:rPr>
          <w:sz w:val="21"/>
        </w:rPr>
        <w:t>) used by the three-way row stay in the TSV.</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fill="DCE6F1"/>
          </w:tcPr>
          <w:p>
            <w:r/>
            <w:r>
              <w:rPr>
                <w:b/>
                <w:sz w:val="15"/>
              </w:rPr>
              <w:t>set_id</w:t>
            </w:r>
          </w:p>
        </w:tc>
        <w:tc>
          <w:tcPr>
            <w:tcW w:type="dxa" w:w="1040"/>
            <w:shd w:val="clear" w:fill="DCE6F1"/>
          </w:tcPr>
          <w:p>
            <w:r/>
            <w:r>
              <w:rPr>
                <w:b/>
                <w:sz w:val="15"/>
              </w:rPr>
              <w:t>N_shared_pathways</w:t>
            </w:r>
          </w:p>
        </w:tc>
        <w:tc>
          <w:tcPr>
            <w:tcW w:type="dxa" w:w="1040"/>
            <w:shd w:val="clear" w:fill="DCE6F1"/>
          </w:tcPr>
          <w:p>
            <w:r/>
            <w:r>
              <w:rPr>
                <w:b/>
                <w:sz w:val="15"/>
              </w:rPr>
              <w:t>k_a</w:t>
            </w:r>
          </w:p>
        </w:tc>
        <w:tc>
          <w:tcPr>
            <w:tcW w:type="dxa" w:w="1040"/>
            <w:shd w:val="clear" w:fill="DCE6F1"/>
          </w:tcPr>
          <w:p>
            <w:r/>
            <w:r>
              <w:rPr>
                <w:b/>
                <w:sz w:val="15"/>
              </w:rPr>
              <w:t>k_b</w:t>
            </w:r>
          </w:p>
        </w:tc>
        <w:tc>
          <w:tcPr>
            <w:tcW w:type="dxa" w:w="1040"/>
            <w:shd w:val="clear" w:fill="DCE6F1"/>
          </w:tcPr>
          <w:p>
            <w:r/>
            <w:r>
              <w:rPr>
                <w:b/>
                <w:sz w:val="15"/>
              </w:rPr>
              <w:t>p_a_up</w:t>
            </w:r>
          </w:p>
        </w:tc>
        <w:tc>
          <w:tcPr>
            <w:tcW w:type="dxa" w:w="1040"/>
            <w:shd w:val="clear" w:fill="DCE6F1"/>
          </w:tcPr>
          <w:p>
            <w:r/>
            <w:r>
              <w:rPr>
                <w:b/>
                <w:sz w:val="15"/>
              </w:rPr>
              <w:t>p_b_up</w:t>
            </w:r>
          </w:p>
        </w:tc>
        <w:tc>
          <w:tcPr>
            <w:tcW w:type="dxa" w:w="1040"/>
            <w:shd w:val="clear" w:fill="DCE6F1"/>
          </w:tcPr>
          <w:p>
            <w:r/>
            <w:r>
              <w:rPr>
                <w:b/>
                <w:sz w:val="15"/>
              </w:rPr>
              <w:t>observed_concordant</w:t>
            </w:r>
          </w:p>
        </w:tc>
        <w:tc>
          <w:tcPr>
            <w:tcW w:type="dxa" w:w="1040"/>
            <w:shd w:val="clear" w:fill="DCE6F1"/>
          </w:tcPr>
          <w:p>
            <w:r/>
            <w:r>
              <w:rPr>
                <w:b/>
                <w:sz w:val="15"/>
              </w:rPr>
              <w:t>perm_mean</w:t>
            </w:r>
          </w:p>
        </w:tc>
        <w:tc>
          <w:tcPr>
            <w:tcW w:type="dxa" w:w="1040"/>
            <w:shd w:val="clear" w:fill="DCE6F1"/>
          </w:tcPr>
          <w:p>
            <w:r/>
            <w:r>
              <w:rPr>
                <w:b/>
                <w:sz w:val="15"/>
              </w:rPr>
              <w:t>perm_p_ge_obs</w:t>
            </w:r>
          </w:p>
        </w:tc>
      </w:tr>
      <w:tr>
        <w:tc>
          <w:tcPr>
            <w:tcW w:type="dxa" w:w="1040"/>
          </w:tcPr>
          <w:p>
            <w:r/>
            <w:r>
              <w:rPr>
                <w:sz w:val="15"/>
              </w:rPr>
              <w:t>disease_aging</w:t>
            </w:r>
          </w:p>
        </w:tc>
        <w:tc>
          <w:tcPr>
            <w:tcW w:type="dxa" w:w="1040"/>
          </w:tcPr>
          <w:p>
            <w:r/>
            <w:r>
              <w:rPr>
                <w:sz w:val="15"/>
              </w:rPr>
              <w:t>1185</w:t>
            </w:r>
          </w:p>
        </w:tc>
        <w:tc>
          <w:tcPr>
            <w:tcW w:type="dxa" w:w="1040"/>
          </w:tcPr>
          <w:p>
            <w:r/>
            <w:r>
              <w:rPr>
                <w:sz w:val="15"/>
              </w:rPr>
              <w:t>45</w:t>
            </w:r>
          </w:p>
        </w:tc>
        <w:tc>
          <w:tcPr>
            <w:tcW w:type="dxa" w:w="1040"/>
          </w:tcPr>
          <w:p>
            <w:r/>
            <w:r>
              <w:rPr>
                <w:sz w:val="15"/>
              </w:rPr>
              <w:t>160</w:t>
            </w:r>
          </w:p>
        </w:tc>
        <w:tc>
          <w:tcPr>
            <w:tcW w:type="dxa" w:w="1040"/>
          </w:tcPr>
          <w:p>
            <w:r/>
            <w:r>
              <w:rPr>
                <w:sz w:val="15"/>
              </w:rPr>
              <w:t>0.644</w:t>
            </w:r>
          </w:p>
        </w:tc>
        <w:tc>
          <w:tcPr>
            <w:tcW w:type="dxa" w:w="1040"/>
          </w:tcPr>
          <w:p>
            <w:r/>
            <w:r>
              <w:rPr>
                <w:sz w:val="15"/>
              </w:rPr>
              <w:t>0.456</w:t>
            </w:r>
          </w:p>
        </w:tc>
        <w:tc>
          <w:tcPr>
            <w:tcW w:type="dxa" w:w="1040"/>
          </w:tcPr>
          <w:p>
            <w:r/>
            <w:r>
              <w:rPr>
                <w:sz w:val="15"/>
              </w:rPr>
              <w:t>5</w:t>
            </w:r>
          </w:p>
        </w:tc>
        <w:tc>
          <w:tcPr>
            <w:tcW w:type="dxa" w:w="1040"/>
          </w:tcPr>
          <w:p>
            <w:r/>
            <w:r>
              <w:rPr>
                <w:sz w:val="15"/>
              </w:rPr>
              <w:t>3.01</w:t>
            </w:r>
          </w:p>
        </w:tc>
        <w:tc>
          <w:tcPr>
            <w:tcW w:type="dxa" w:w="1040"/>
          </w:tcPr>
          <w:p>
            <w:r/>
            <w:r>
              <w:rPr>
                <w:sz w:val="15"/>
              </w:rPr>
              <w:t>0.169</w:t>
            </w:r>
          </w:p>
        </w:tc>
      </w:tr>
      <w:tr>
        <w:tc>
          <w:tcPr>
            <w:tcW w:type="dxa" w:w="1040"/>
          </w:tcPr>
          <w:p>
            <w:r/>
            <w:r>
              <w:rPr>
                <w:sz w:val="15"/>
              </w:rPr>
              <w:t>disease_flight</w:t>
            </w:r>
          </w:p>
        </w:tc>
        <w:tc>
          <w:tcPr>
            <w:tcW w:type="dxa" w:w="1040"/>
          </w:tcPr>
          <w:p>
            <w:r/>
            <w:r>
              <w:rPr>
                <w:sz w:val="15"/>
              </w:rPr>
              <w:t>1136</w:t>
            </w:r>
          </w:p>
        </w:tc>
        <w:tc>
          <w:tcPr>
            <w:tcW w:type="dxa" w:w="1040"/>
          </w:tcPr>
          <w:p>
            <w:r/>
            <w:r>
              <w:rPr>
                <w:sz w:val="15"/>
              </w:rPr>
              <w:t>38</w:t>
            </w:r>
          </w:p>
        </w:tc>
        <w:tc>
          <w:tcPr>
            <w:tcW w:type="dxa" w:w="1040"/>
          </w:tcPr>
          <w:p>
            <w:r/>
            <w:r>
              <w:rPr>
                <w:sz w:val="15"/>
              </w:rPr>
              <w:t>32</w:t>
            </w:r>
          </w:p>
        </w:tc>
        <w:tc>
          <w:tcPr>
            <w:tcW w:type="dxa" w:w="1040"/>
          </w:tcPr>
          <w:p>
            <w:r/>
            <w:r>
              <w:rPr>
                <w:sz w:val="15"/>
              </w:rPr>
              <w:t>0.605</w:t>
            </w:r>
          </w:p>
        </w:tc>
        <w:tc>
          <w:tcPr>
            <w:tcW w:type="dxa" w:w="1040"/>
          </w:tcPr>
          <w:p>
            <w:r/>
            <w:r>
              <w:rPr>
                <w:sz w:val="15"/>
              </w:rPr>
              <w:t>0.000</w:t>
            </w:r>
          </w:p>
        </w:tc>
        <w:tc>
          <w:tcPr>
            <w:tcW w:type="dxa" w:w="1040"/>
          </w:tcPr>
          <w:p>
            <w:r/>
            <w:r>
              <w:rPr>
                <w:sz w:val="15"/>
              </w:rPr>
              <w:t>0</w:t>
            </w:r>
          </w:p>
        </w:tc>
        <w:tc>
          <w:tcPr>
            <w:tcW w:type="dxa" w:w="1040"/>
          </w:tcPr>
          <w:p>
            <w:r/>
            <w:r>
              <w:rPr>
                <w:sz w:val="15"/>
              </w:rPr>
              <w:t>0.42</w:t>
            </w:r>
          </w:p>
        </w:tc>
        <w:tc>
          <w:tcPr>
            <w:tcW w:type="dxa" w:w="1040"/>
          </w:tcPr>
          <w:p>
            <w:r/>
            <w:r>
              <w:rPr>
                <w:sz w:val="15"/>
              </w:rPr>
              <w:t>1.000</w:t>
            </w:r>
          </w:p>
        </w:tc>
      </w:tr>
      <w:tr>
        <w:tc>
          <w:tcPr>
            <w:tcW w:type="dxa" w:w="1040"/>
          </w:tcPr>
          <w:p>
            <w:r/>
            <w:r>
              <w:rPr>
                <w:sz w:val="15"/>
              </w:rPr>
              <w:t>aging_flight</w:t>
            </w:r>
          </w:p>
        </w:tc>
        <w:tc>
          <w:tcPr>
            <w:tcW w:type="dxa" w:w="1040"/>
          </w:tcPr>
          <w:p>
            <w:r/>
            <w:r>
              <w:rPr>
                <w:sz w:val="15"/>
              </w:rPr>
              <w:t>1158</w:t>
            </w:r>
          </w:p>
        </w:tc>
        <w:tc>
          <w:tcPr>
            <w:tcW w:type="dxa" w:w="1040"/>
          </w:tcPr>
          <w:p>
            <w:r/>
            <w:r>
              <w:rPr>
                <w:sz w:val="15"/>
              </w:rPr>
              <w:t>168</w:t>
            </w:r>
          </w:p>
        </w:tc>
        <w:tc>
          <w:tcPr>
            <w:tcW w:type="dxa" w:w="1040"/>
          </w:tcPr>
          <w:p>
            <w:r/>
            <w:r>
              <w:rPr>
                <w:sz w:val="15"/>
              </w:rPr>
              <w:t>34</w:t>
            </w:r>
          </w:p>
        </w:tc>
        <w:tc>
          <w:tcPr>
            <w:tcW w:type="dxa" w:w="1040"/>
          </w:tcPr>
          <w:p>
            <w:r/>
            <w:r>
              <w:rPr>
                <w:sz w:val="15"/>
              </w:rPr>
              <w:t>0.494</w:t>
            </w:r>
          </w:p>
        </w:tc>
        <w:tc>
          <w:tcPr>
            <w:tcW w:type="dxa" w:w="1040"/>
          </w:tcPr>
          <w:p>
            <w:r/>
            <w:r>
              <w:rPr>
                <w:sz w:val="15"/>
              </w:rPr>
              <w:t>0.000</w:t>
            </w:r>
          </w:p>
        </w:tc>
        <w:tc>
          <w:tcPr>
            <w:tcW w:type="dxa" w:w="1040"/>
          </w:tcPr>
          <w:p>
            <w:r/>
            <w:r>
              <w:rPr>
                <w:sz w:val="15"/>
              </w:rPr>
              <w:t>6</w:t>
            </w:r>
          </w:p>
        </w:tc>
        <w:tc>
          <w:tcPr>
            <w:tcW w:type="dxa" w:w="1040"/>
          </w:tcPr>
          <w:p>
            <w:r/>
            <w:r>
              <w:rPr>
                <w:sz w:val="15"/>
              </w:rPr>
              <w:t>2.48</w:t>
            </w:r>
          </w:p>
        </w:tc>
        <w:tc>
          <w:tcPr>
            <w:tcW w:type="dxa" w:w="1040"/>
          </w:tcPr>
          <w:p>
            <w:r/>
            <w:r>
              <w:rPr>
                <w:sz w:val="15"/>
              </w:rPr>
              <w:t>0.026</w:t>
            </w:r>
          </w:p>
        </w:tc>
      </w:tr>
      <w:tr>
        <w:tc>
          <w:tcPr>
            <w:tcW w:type="dxa" w:w="1040"/>
          </w:tcPr>
          <w:p>
            <w:r/>
            <w:r>
              <w:rPr>
                <w:sz w:val="15"/>
              </w:rPr>
              <w:t>three_way</w:t>
            </w:r>
          </w:p>
        </w:tc>
        <w:tc>
          <w:tcPr>
            <w:tcW w:type="dxa" w:w="1040"/>
          </w:tcPr>
          <w:p>
            <w:r/>
            <w:r>
              <w:rPr>
                <w:sz w:val="15"/>
              </w:rPr>
              <w:t>1135</w:t>
            </w:r>
          </w:p>
        </w:tc>
        <w:tc>
          <w:tcPr>
            <w:tcW w:type="dxa" w:w="1040"/>
          </w:tcPr>
          <w:p>
            <w:r/>
            <w:r>
              <w:rPr>
                <w:sz w:val="15"/>
              </w:rPr>
              <w:t>38</w:t>
            </w:r>
          </w:p>
        </w:tc>
        <w:tc>
          <w:tcPr>
            <w:tcW w:type="dxa" w:w="1040"/>
          </w:tcPr>
          <w:p>
            <w:r/>
            <w:r>
              <w:rPr>
                <w:sz w:val="15"/>
              </w:rPr>
              <w:t>155</w:t>
            </w:r>
          </w:p>
        </w:tc>
        <w:tc>
          <w:tcPr>
            <w:tcW w:type="dxa" w:w="1040"/>
          </w:tcPr>
          <w:p>
            <w:r/>
            <w:r>
              <w:rPr>
                <w:sz w:val="15"/>
              </w:rPr>
              <w:t>0.605</w:t>
            </w:r>
          </w:p>
        </w:tc>
        <w:tc>
          <w:tcPr>
            <w:tcW w:type="dxa" w:w="1040"/>
          </w:tcPr>
          <w:p>
            <w:r/>
            <w:r>
              <w:rPr>
                <w:sz w:val="15"/>
              </w:rPr>
              <w:t>0.458</w:t>
            </w:r>
          </w:p>
        </w:tc>
        <w:tc>
          <w:tcPr>
            <w:tcW w:type="dxa" w:w="1040"/>
          </w:tcPr>
          <w:p>
            <w:r/>
            <w:r>
              <w:rPr>
                <w:sz w:val="15"/>
              </w:rPr>
              <w:t>0</w:t>
            </w:r>
          </w:p>
        </w:tc>
        <w:tc>
          <w:tcPr>
            <w:tcW w:type="dxa" w:w="1040"/>
          </w:tcPr>
          <w:p>
            <w:r/>
            <w:r>
              <w:rPr>
                <w:sz w:val="15"/>
              </w:rPr>
              <w:t>0.03</w:t>
            </w:r>
          </w:p>
        </w:tc>
        <w:tc>
          <w:tcPr>
            <w:tcW w:type="dxa" w:w="1040"/>
          </w:tcPr>
          <w:p>
            <w:r/>
            <w:r>
              <w:rPr>
                <w:sz w:val="15"/>
              </w:rPr>
              <w:t>1.000</w:t>
            </w:r>
          </w:p>
        </w:tc>
      </w:tr>
    </w:tbl>
    <w:p>
      <w:pPr>
        <w:spacing w:after="140"/>
      </w:pPr>
      <w:r>
        <w:rPr>
          <w:sz w:val="21"/>
        </w:rPr>
        <w:t>Passer counts (</w:t>
      </w:r>
      <w:r>
        <w:rPr>
          <w:rFonts w:ascii="Menlo" w:hAnsi="Menlo"/>
          <w:color w:val="1A3E6E"/>
          <w:sz w:val="19"/>
        </w:rPr>
        <w:t>k_a</w:t>
      </w:r>
      <w:r>
        <w:rPr>
          <w:sz w:val="21"/>
        </w:rPr>
        <w:t xml:space="preserve">, </w:t>
      </w:r>
      <w:r>
        <w:rPr>
          <w:rFonts w:ascii="Menlo" w:hAnsi="Menlo"/>
          <w:color w:val="1A3E6E"/>
          <w:sz w:val="19"/>
        </w:rPr>
        <w:t>k_b</w:t>
      </w:r>
      <w:r>
        <w:rPr>
          <w:sz w:val="21"/>
        </w:rPr>
        <w:t xml:space="preserve">) are computed inside each row's own shared-pathway universe, so the same contrast can show different k across rows. On the three-way row </w:t>
      </w:r>
      <w:r>
        <w:rPr>
          <w:rFonts w:ascii="Menlo" w:hAnsi="Menlo"/>
          <w:color w:val="1A3E6E"/>
          <w:sz w:val="19"/>
        </w:rPr>
        <w:t>k_a</w:t>
      </w:r>
      <w:r>
        <w:rPr>
          <w:sz w:val="21"/>
        </w:rPr>
        <w:t xml:space="preserve"> and </w:t>
      </w:r>
      <w:r>
        <w:rPr>
          <w:rFonts w:ascii="Menlo" w:hAnsi="Menlo"/>
          <w:color w:val="1A3E6E"/>
          <w:sz w:val="19"/>
        </w:rPr>
        <w:t>k_b</w:t>
      </w:r>
      <w:r>
        <w:rPr>
          <w:sz w:val="21"/>
        </w:rPr>
        <w:t xml:space="preserve"> are </w:t>
      </w:r>
      <w:r>
        <w:rPr>
          <w:rFonts w:ascii="Menlo" w:hAnsi="Menlo"/>
          <w:color w:val="1A3E6E"/>
          <w:sz w:val="19"/>
        </w:rPr>
        <w:t>H_DISEASE</w:t>
      </w:r>
      <w:r>
        <w:rPr>
          <w:sz w:val="21"/>
        </w:rPr>
        <w:t xml:space="preserve"> and </w:t>
      </w:r>
      <w:r>
        <w:rPr>
          <w:rFonts w:ascii="Menlo" w:hAnsi="Menlo"/>
          <w:color w:val="1A3E6E"/>
          <w:sz w:val="19"/>
        </w:rPr>
        <w:t>H_AGING_GTEX</w:t>
      </w:r>
      <w:r>
        <w:rPr>
          <w:sz w:val="21"/>
        </w:rPr>
        <w:t xml:space="preserve">; flight sits in the </w:t>
      </w:r>
      <w:r>
        <w:rPr>
          <w:rFonts w:ascii="Menlo" w:hAnsi="Menlo"/>
          <w:color w:val="1A3E6E"/>
          <w:sz w:val="19"/>
        </w:rPr>
        <w:t>k_c</w:t>
      </w:r>
      <w:r>
        <w:rPr>
          <w:sz w:val="21"/>
        </w:rPr>
        <w:t xml:space="preserve"> and </w:t>
      </w:r>
      <w:r>
        <w:rPr>
          <w:rFonts w:ascii="Menlo" w:hAnsi="Menlo"/>
          <w:color w:val="1A3E6E"/>
          <w:sz w:val="19"/>
        </w:rPr>
        <w:t>p_c_up</w:t>
      </w:r>
      <w:r>
        <w:rPr>
          <w:sz w:val="21"/>
        </w:rPr>
        <w:t xml:space="preserve"> columns of the TSV.</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fill="DCE6F1"/>
          </w:tcPr>
          <w:p>
            <w:r/>
            <w:r>
              <w:rPr>
                <w:b/>
                <w:sz w:val="15"/>
              </w:rPr>
              <w:t>pair_id</w:t>
            </w:r>
          </w:p>
        </w:tc>
        <w:tc>
          <w:tcPr>
            <w:tcW w:type="dxa" w:w="1040"/>
            <w:shd w:val="clear" w:fill="DCE6F1"/>
          </w:tcPr>
          <w:p>
            <w:r/>
            <w:r>
              <w:rPr>
                <w:b/>
                <w:sz w:val="15"/>
              </w:rPr>
              <w:t>Term</w:t>
            </w:r>
          </w:p>
        </w:tc>
        <w:tc>
          <w:tcPr>
            <w:tcW w:type="dxa" w:w="1040"/>
            <w:shd w:val="clear" w:fill="DCE6F1"/>
          </w:tcPr>
          <w:p>
            <w:r/>
            <w:r>
              <w:rPr>
                <w:b/>
                <w:sz w:val="15"/>
              </w:rPr>
              <w:t>NES_a</w:t>
            </w:r>
          </w:p>
        </w:tc>
        <w:tc>
          <w:tcPr>
            <w:tcW w:type="dxa" w:w="1040"/>
            <w:shd w:val="clear" w:fill="DCE6F1"/>
          </w:tcPr>
          <w:p>
            <w:r/>
            <w:r>
              <w:rPr>
                <w:b/>
                <w:sz w:val="15"/>
              </w:rPr>
              <w:t>NES_b</w:t>
            </w:r>
          </w:p>
        </w:tc>
        <w:tc>
          <w:tcPr>
            <w:tcW w:type="dxa" w:w="1040"/>
            <w:shd w:val="clear" w:fill="DCE6F1"/>
          </w:tcPr>
          <w:p>
            <w:r/>
            <w:r>
              <w:rPr>
                <w:b/>
                <w:sz w:val="15"/>
              </w:rPr>
              <w:t>FDR_a</w:t>
            </w:r>
          </w:p>
        </w:tc>
        <w:tc>
          <w:tcPr>
            <w:tcW w:type="dxa" w:w="1040"/>
            <w:shd w:val="clear" w:fill="DCE6F1"/>
          </w:tcPr>
          <w:p>
            <w:r/>
            <w:r>
              <w:rPr>
                <w:b/>
                <w:sz w:val="15"/>
              </w:rPr>
              <w:t>FDR_b</w:t>
            </w:r>
          </w:p>
        </w:tc>
        <w:tc>
          <w:tcPr>
            <w:tcW w:type="dxa" w:w="1040"/>
            <w:shd w:val="clear" w:fill="DCE6F1"/>
          </w:tcPr>
          <w:p>
            <w:r/>
            <w:r>
              <w:rPr>
                <w:b/>
                <w:sz w:val="15"/>
              </w:rPr>
              <w:t>direction</w:t>
            </w:r>
          </w:p>
        </w:tc>
        <w:tc>
          <w:tcPr>
            <w:tcW w:type="dxa" w:w="1040"/>
            <w:shd w:val="clear" w:fill="DCE6F1"/>
          </w:tcPr>
          <w:p>
            <w:r/>
            <w:r>
              <w:rPr>
                <w:b/>
                <w:sz w:val="15"/>
              </w:rPr>
              <w:t>le_jaccard</w:t>
            </w:r>
          </w:p>
        </w:tc>
        <w:tc>
          <w:tcPr>
            <w:tcW w:type="dxa" w:w="1040"/>
            <w:shd w:val="clear" w:fill="DCE6F1"/>
          </w:tcPr>
          <w:p>
            <w:r/>
            <w:r>
              <w:rPr>
                <w:b/>
                <w:sz w:val="15"/>
              </w:rPr>
              <w:t>suspect_flag</w:t>
            </w:r>
          </w:p>
        </w:tc>
      </w:tr>
      <w:tr>
        <w:tc>
          <w:tcPr>
            <w:tcW w:type="dxa" w:w="1040"/>
          </w:tcPr>
          <w:p>
            <w:r/>
            <w:r>
              <w:rPr>
                <w:sz w:val="15"/>
              </w:rPr>
              <w:t>disease_aging</w:t>
            </w:r>
          </w:p>
        </w:tc>
        <w:tc>
          <w:tcPr>
            <w:tcW w:type="dxa" w:w="1040"/>
          </w:tcPr>
          <w:p>
            <w:r/>
            <w:r>
              <w:rPr>
                <w:sz w:val="15"/>
              </w:rPr>
              <w:t>Cholesterol Biosynthesis R-HSA-191273</w:t>
            </w:r>
          </w:p>
        </w:tc>
        <w:tc>
          <w:tcPr>
            <w:tcW w:type="dxa" w:w="1040"/>
          </w:tcPr>
          <w:p>
            <w:r/>
            <w:r>
              <w:rPr>
                <w:sz w:val="15"/>
              </w:rPr>
              <w:t>-2.021249</w:t>
            </w:r>
          </w:p>
        </w:tc>
        <w:tc>
          <w:tcPr>
            <w:tcW w:type="dxa" w:w="1040"/>
          </w:tcPr>
          <w:p>
            <w:r/>
            <w:r>
              <w:rPr>
                <w:sz w:val="15"/>
              </w:rPr>
              <w:t>-1.957994</w:t>
            </w:r>
          </w:p>
        </w:tc>
        <w:tc>
          <w:tcPr>
            <w:tcW w:type="dxa" w:w="1040"/>
          </w:tcPr>
          <w:p>
            <w:r/>
            <w:r>
              <w:rPr>
                <w:sz w:val="15"/>
              </w:rPr>
              <w:t>0.012417</w:t>
            </w:r>
          </w:p>
        </w:tc>
        <w:tc>
          <w:tcPr>
            <w:tcW w:type="dxa" w:w="1040"/>
          </w:tcPr>
          <w:p>
            <w:r/>
            <w:r>
              <w:rPr>
                <w:sz w:val="15"/>
              </w:rPr>
              <w:t>0.00959</w:t>
            </w:r>
          </w:p>
        </w:tc>
        <w:tc>
          <w:tcPr>
            <w:tcW w:type="dxa" w:w="1040"/>
          </w:tcPr>
          <w:p>
            <w:r/>
            <w:r>
              <w:rPr>
                <w:sz w:val="15"/>
              </w:rPr>
              <w:t>down</w:t>
            </w:r>
          </w:p>
        </w:tc>
        <w:tc>
          <w:tcPr>
            <w:tcW w:type="dxa" w:w="1040"/>
          </w:tcPr>
          <w:p>
            <w:r/>
            <w:r>
              <w:rPr>
                <w:sz w:val="15"/>
              </w:rPr>
              <w:t>0.47619</w:t>
            </w:r>
          </w:p>
        </w:tc>
        <w:tc>
          <w:tcPr>
            <w:tcW w:type="dxa" w:w="1040"/>
          </w:tcPr>
          <w:p>
            <w:r/>
            <w:r>
              <w:rPr>
                <w:sz w:val="15"/>
              </w:rPr>
              <w:t>False</w:t>
            </w:r>
          </w:p>
        </w:tc>
      </w:tr>
      <w:tr>
        <w:tc>
          <w:tcPr>
            <w:tcW w:type="dxa" w:w="1040"/>
          </w:tcPr>
          <w:p>
            <w:r/>
            <w:r>
              <w:rPr>
                <w:sz w:val="15"/>
              </w:rPr>
              <w:t>disease_aging</w:t>
            </w:r>
          </w:p>
        </w:tc>
        <w:tc>
          <w:tcPr>
            <w:tcW w:type="dxa" w:w="1040"/>
          </w:tcPr>
          <w:p>
            <w:r/>
            <w:r>
              <w:rPr>
                <w:sz w:val="15"/>
              </w:rPr>
              <w:t>Keratinization R-HSA-6805567</w:t>
            </w:r>
          </w:p>
        </w:tc>
        <w:tc>
          <w:tcPr>
            <w:tcW w:type="dxa" w:w="1040"/>
          </w:tcPr>
          <w:p>
            <w:r/>
            <w:r>
              <w:rPr>
                <w:sz w:val="15"/>
              </w:rPr>
              <w:t>2.004068</w:t>
            </w:r>
          </w:p>
        </w:tc>
        <w:tc>
          <w:tcPr>
            <w:tcW w:type="dxa" w:w="1040"/>
          </w:tcPr>
          <w:p>
            <w:r/>
            <w:r>
              <w:rPr>
                <w:sz w:val="15"/>
              </w:rPr>
              <w:t>2.407191</w:t>
            </w:r>
          </w:p>
        </w:tc>
        <w:tc>
          <w:tcPr>
            <w:tcW w:type="dxa" w:w="1040"/>
          </w:tcPr>
          <w:p>
            <w:r/>
            <w:r>
              <w:rPr>
                <w:sz w:val="15"/>
              </w:rPr>
              <w:t>0.0</w:t>
            </w:r>
          </w:p>
        </w:tc>
        <w:tc>
          <w:tcPr>
            <w:tcW w:type="dxa" w:w="1040"/>
          </w:tcPr>
          <w:p>
            <w:r/>
            <w:r>
              <w:rPr>
                <w:sz w:val="15"/>
              </w:rPr>
              <w:t>0.0</w:t>
            </w:r>
          </w:p>
        </w:tc>
        <w:tc>
          <w:tcPr>
            <w:tcW w:type="dxa" w:w="1040"/>
          </w:tcPr>
          <w:p>
            <w:r/>
            <w:r>
              <w:rPr>
                <w:sz w:val="15"/>
              </w:rPr>
              <w:t>up</w:t>
            </w:r>
          </w:p>
        </w:tc>
        <w:tc>
          <w:tcPr>
            <w:tcW w:type="dxa" w:w="1040"/>
          </w:tcPr>
          <w:p>
            <w:r/>
            <w:r>
              <w:rPr>
                <w:sz w:val="15"/>
              </w:rPr>
              <w:t>0.214286</w:t>
            </w:r>
          </w:p>
        </w:tc>
        <w:tc>
          <w:tcPr>
            <w:tcW w:type="dxa" w:w="1040"/>
          </w:tcPr>
          <w:p>
            <w:r/>
            <w:r>
              <w:rPr>
                <w:sz w:val="15"/>
              </w:rPr>
              <w:t>False</w:t>
            </w:r>
          </w:p>
        </w:tc>
      </w:tr>
      <w:tr>
        <w:tc>
          <w:tcPr>
            <w:tcW w:type="dxa" w:w="1040"/>
          </w:tcPr>
          <w:p>
            <w:r/>
            <w:r>
              <w:rPr>
                <w:sz w:val="15"/>
              </w:rPr>
              <w:t>disease_aging</w:t>
            </w:r>
          </w:p>
        </w:tc>
        <w:tc>
          <w:tcPr>
            <w:tcW w:type="dxa" w:w="1040"/>
          </w:tcPr>
          <w:p>
            <w:r/>
            <w:r>
              <w:rPr>
                <w:sz w:val="15"/>
              </w:rPr>
              <w:t>Activation Of Gene Expression By SREBF (SREBP) R-HSA-2426168</w:t>
            </w:r>
          </w:p>
        </w:tc>
        <w:tc>
          <w:tcPr>
            <w:tcW w:type="dxa" w:w="1040"/>
          </w:tcPr>
          <w:p>
            <w:r/>
            <w:r>
              <w:rPr>
                <w:sz w:val="15"/>
              </w:rPr>
              <w:t>-1.878254</w:t>
            </w:r>
          </w:p>
        </w:tc>
        <w:tc>
          <w:tcPr>
            <w:tcW w:type="dxa" w:w="1040"/>
          </w:tcPr>
          <w:p>
            <w:r/>
            <w:r>
              <w:rPr>
                <w:sz w:val="15"/>
              </w:rPr>
              <w:t>-2.006322</w:t>
            </w:r>
          </w:p>
        </w:tc>
        <w:tc>
          <w:tcPr>
            <w:tcW w:type="dxa" w:w="1040"/>
          </w:tcPr>
          <w:p>
            <w:r/>
            <w:r>
              <w:rPr>
                <w:sz w:val="15"/>
              </w:rPr>
              <w:t>0.124168</w:t>
            </w:r>
          </w:p>
        </w:tc>
        <w:tc>
          <w:tcPr>
            <w:tcW w:type="dxa" w:w="1040"/>
          </w:tcPr>
          <w:p>
            <w:r/>
            <w:r>
              <w:rPr>
                <w:sz w:val="15"/>
              </w:rPr>
              <w:t>0.004359</w:t>
            </w:r>
          </w:p>
        </w:tc>
        <w:tc>
          <w:tcPr>
            <w:tcW w:type="dxa" w:w="1040"/>
          </w:tcPr>
          <w:p>
            <w:r/>
            <w:r>
              <w:rPr>
                <w:sz w:val="15"/>
              </w:rPr>
              <w:t>down</w:t>
            </w:r>
          </w:p>
        </w:tc>
        <w:tc>
          <w:tcPr>
            <w:tcW w:type="dxa" w:w="1040"/>
          </w:tcPr>
          <w:p>
            <w:r/>
            <w:r>
              <w:rPr>
                <w:sz w:val="15"/>
              </w:rPr>
              <w:t>0.3125</w:t>
            </w:r>
          </w:p>
        </w:tc>
        <w:tc>
          <w:tcPr>
            <w:tcW w:type="dxa" w:w="1040"/>
          </w:tcPr>
          <w:p>
            <w:r/>
            <w:r>
              <w:rPr>
                <w:sz w:val="15"/>
              </w:rPr>
              <w:t>False</w:t>
            </w:r>
          </w:p>
        </w:tc>
      </w:tr>
      <w:tr>
        <w:tc>
          <w:tcPr>
            <w:tcW w:type="dxa" w:w="1040"/>
          </w:tcPr>
          <w:p>
            <w:r/>
            <w:r>
              <w:rPr>
                <w:sz w:val="15"/>
              </w:rPr>
              <w:t>disease_aging</w:t>
            </w:r>
          </w:p>
        </w:tc>
        <w:tc>
          <w:tcPr>
            <w:tcW w:type="dxa" w:w="1040"/>
          </w:tcPr>
          <w:p>
            <w:r/>
            <w:r>
              <w:rPr>
                <w:sz w:val="15"/>
              </w:rPr>
              <w:t>Epithelial Mesenchymal Transition</w:t>
            </w:r>
          </w:p>
        </w:tc>
        <w:tc>
          <w:tcPr>
            <w:tcW w:type="dxa" w:w="1040"/>
          </w:tcPr>
          <w:p>
            <w:r/>
            <w:r>
              <w:rPr>
                <w:sz w:val="15"/>
              </w:rPr>
              <w:t>1.706697</w:t>
            </w:r>
          </w:p>
        </w:tc>
        <w:tc>
          <w:tcPr>
            <w:tcW w:type="dxa" w:w="1040"/>
          </w:tcPr>
          <w:p>
            <w:r/>
            <w:r>
              <w:rPr>
                <w:sz w:val="15"/>
              </w:rPr>
              <w:t>2.589803</w:t>
            </w:r>
          </w:p>
        </w:tc>
        <w:tc>
          <w:tcPr>
            <w:tcW w:type="dxa" w:w="1040"/>
          </w:tcPr>
          <w:p>
            <w:r/>
            <w:r>
              <w:rPr>
                <w:sz w:val="15"/>
              </w:rPr>
              <w:t>0.013321</w:t>
            </w:r>
          </w:p>
        </w:tc>
        <w:tc>
          <w:tcPr>
            <w:tcW w:type="dxa" w:w="1040"/>
          </w:tcPr>
          <w:p>
            <w:r/>
            <w:r>
              <w:rPr>
                <w:sz w:val="15"/>
              </w:rPr>
              <w:t>0.0</w:t>
            </w:r>
          </w:p>
        </w:tc>
        <w:tc>
          <w:tcPr>
            <w:tcW w:type="dxa" w:w="1040"/>
          </w:tcPr>
          <w:p>
            <w:r/>
            <w:r>
              <w:rPr>
                <w:sz w:val="15"/>
              </w:rPr>
              <w:t>up</w:t>
            </w:r>
          </w:p>
        </w:tc>
        <w:tc>
          <w:tcPr>
            <w:tcW w:type="dxa" w:w="1040"/>
          </w:tcPr>
          <w:p>
            <w:r/>
            <w:r>
              <w:rPr>
                <w:sz w:val="15"/>
              </w:rPr>
              <w:t>0.344595</w:t>
            </w:r>
          </w:p>
        </w:tc>
        <w:tc>
          <w:tcPr>
            <w:tcW w:type="dxa" w:w="1040"/>
          </w:tcPr>
          <w:p>
            <w:r/>
            <w:r>
              <w:rPr>
                <w:sz w:val="15"/>
              </w:rPr>
              <w:t>False</w:t>
            </w:r>
          </w:p>
        </w:tc>
      </w:tr>
      <w:tr>
        <w:tc>
          <w:tcPr>
            <w:tcW w:type="dxa" w:w="1040"/>
          </w:tcPr>
          <w:p>
            <w:r/>
            <w:r>
              <w:rPr>
                <w:sz w:val="15"/>
              </w:rPr>
              <w:t>disease_aging</w:t>
            </w:r>
          </w:p>
        </w:tc>
        <w:tc>
          <w:tcPr>
            <w:tcW w:type="dxa" w:w="1040"/>
          </w:tcPr>
          <w:p>
            <w:r/>
            <w:r>
              <w:rPr>
                <w:sz w:val="15"/>
              </w:rPr>
              <w:t>Extracellular Matrix Organization R-HSA-1474244</w:t>
            </w:r>
          </w:p>
        </w:tc>
        <w:tc>
          <w:tcPr>
            <w:tcW w:type="dxa" w:w="1040"/>
          </w:tcPr>
          <w:p>
            <w:r/>
            <w:r>
              <w:rPr>
                <w:sz w:val="15"/>
              </w:rPr>
              <w:t>1.701873</w:t>
            </w:r>
          </w:p>
        </w:tc>
        <w:tc>
          <w:tcPr>
            <w:tcW w:type="dxa" w:w="1040"/>
          </w:tcPr>
          <w:p>
            <w:r/>
            <w:r>
              <w:rPr>
                <w:sz w:val="15"/>
              </w:rPr>
              <w:t>1.786559</w:t>
            </w:r>
          </w:p>
        </w:tc>
        <w:tc>
          <w:tcPr>
            <w:tcW w:type="dxa" w:w="1040"/>
          </w:tcPr>
          <w:p>
            <w:r/>
            <w:r>
              <w:rPr>
                <w:sz w:val="15"/>
              </w:rPr>
              <w:t>0.036193</w:t>
            </w:r>
          </w:p>
        </w:tc>
        <w:tc>
          <w:tcPr>
            <w:tcW w:type="dxa" w:w="1040"/>
          </w:tcPr>
          <w:p>
            <w:r/>
            <w:r>
              <w:rPr>
                <w:sz w:val="15"/>
              </w:rPr>
              <w:t>0.035369</w:t>
            </w:r>
          </w:p>
        </w:tc>
        <w:tc>
          <w:tcPr>
            <w:tcW w:type="dxa" w:w="1040"/>
          </w:tcPr>
          <w:p>
            <w:r/>
            <w:r>
              <w:rPr>
                <w:sz w:val="15"/>
              </w:rPr>
              <w:t>up</w:t>
            </w:r>
          </w:p>
        </w:tc>
        <w:tc>
          <w:tcPr>
            <w:tcW w:type="dxa" w:w="1040"/>
          </w:tcPr>
          <w:p>
            <w:r/>
            <w:r>
              <w:rPr>
                <w:sz w:val="15"/>
              </w:rPr>
              <w:t>0.267442</w:t>
            </w:r>
          </w:p>
        </w:tc>
        <w:tc>
          <w:tcPr>
            <w:tcW w:type="dxa" w:w="1040"/>
          </w:tcPr>
          <w:p>
            <w:r/>
            <w:r>
              <w:rPr>
                <w:sz w:val="15"/>
              </w:rPr>
              <w:t>False</w:t>
            </w:r>
          </w:p>
        </w:tc>
      </w:tr>
      <w:tr>
        <w:tc>
          <w:tcPr>
            <w:tcW w:type="dxa" w:w="1040"/>
          </w:tcPr>
          <w:p>
            <w:r/>
            <w:r>
              <w:rPr>
                <w:sz w:val="15"/>
              </w:rPr>
              <w:t>aging_flight</w:t>
            </w:r>
          </w:p>
        </w:tc>
        <w:tc>
          <w:tcPr>
            <w:tcW w:type="dxa" w:w="1040"/>
          </w:tcPr>
          <w:p>
            <w:r/>
            <w:r>
              <w:rPr>
                <w:sz w:val="15"/>
              </w:rPr>
              <w:t>Myc Targets V2</w:t>
            </w:r>
          </w:p>
        </w:tc>
        <w:tc>
          <w:tcPr>
            <w:tcW w:type="dxa" w:w="1040"/>
          </w:tcPr>
          <w:p>
            <w:r/>
            <w:r>
              <w:rPr>
                <w:sz w:val="15"/>
              </w:rPr>
              <w:t>-1.848522</w:t>
            </w:r>
          </w:p>
        </w:tc>
        <w:tc>
          <w:tcPr>
            <w:tcW w:type="dxa" w:w="1040"/>
          </w:tcPr>
          <w:p>
            <w:r/>
            <w:r>
              <w:rPr>
                <w:sz w:val="15"/>
              </w:rPr>
              <w:t>-1.559738</w:t>
            </w:r>
          </w:p>
        </w:tc>
        <w:tc>
          <w:tcPr>
            <w:tcW w:type="dxa" w:w="1040"/>
          </w:tcPr>
          <w:p>
            <w:r/>
            <w:r>
              <w:rPr>
                <w:sz w:val="15"/>
              </w:rPr>
              <w:t>0.0</w:t>
            </w:r>
          </w:p>
        </w:tc>
        <w:tc>
          <w:tcPr>
            <w:tcW w:type="dxa" w:w="1040"/>
          </w:tcPr>
          <w:p>
            <w:r/>
            <w:r>
              <w:rPr>
                <w:sz w:val="15"/>
              </w:rPr>
              <w:t>0.049132</w:t>
            </w:r>
          </w:p>
        </w:tc>
        <w:tc>
          <w:tcPr>
            <w:tcW w:type="dxa" w:w="1040"/>
          </w:tcPr>
          <w:p>
            <w:r/>
            <w:r>
              <w:rPr>
                <w:sz w:val="15"/>
              </w:rPr>
              <w:t>down</w:t>
            </w:r>
          </w:p>
        </w:tc>
        <w:tc>
          <w:tcPr>
            <w:tcW w:type="dxa" w:w="1040"/>
          </w:tcPr>
          <w:p>
            <w:r/>
            <w:r>
              <w:rPr>
                <w:sz w:val="15"/>
              </w:rPr>
              <w:t>0.346939</w:t>
            </w:r>
          </w:p>
        </w:tc>
        <w:tc>
          <w:tcPr>
            <w:tcW w:type="dxa" w:w="1040"/>
          </w:tcPr>
          <w:p>
            <w:r/>
            <w:r>
              <w:rPr>
                <w:sz w:val="15"/>
              </w:rPr>
              <w:t>False</w:t>
            </w:r>
          </w:p>
        </w:tc>
      </w:tr>
      <w:tr>
        <w:tc>
          <w:tcPr>
            <w:tcW w:type="dxa" w:w="1040"/>
          </w:tcPr>
          <w:p>
            <w:r/>
            <w:r>
              <w:rPr>
                <w:sz w:val="15"/>
              </w:rPr>
              <w:t>aging_flight</w:t>
            </w:r>
          </w:p>
        </w:tc>
        <w:tc>
          <w:tcPr>
            <w:tcW w:type="dxa" w:w="1040"/>
          </w:tcPr>
          <w:p>
            <w:r/>
            <w:r>
              <w:rPr>
                <w:sz w:val="15"/>
              </w:rPr>
              <w:t>Oxidative Phosphorylation</w:t>
            </w:r>
          </w:p>
        </w:tc>
        <w:tc>
          <w:tcPr>
            <w:tcW w:type="dxa" w:w="1040"/>
          </w:tcPr>
          <w:p>
            <w:r/>
            <w:r>
              <w:rPr>
                <w:sz w:val="15"/>
              </w:rPr>
              <w:t>-1.835324</w:t>
            </w:r>
          </w:p>
        </w:tc>
        <w:tc>
          <w:tcPr>
            <w:tcW w:type="dxa" w:w="1040"/>
          </w:tcPr>
          <w:p>
            <w:r/>
            <w:r>
              <w:rPr>
                <w:sz w:val="15"/>
              </w:rPr>
              <w:t>-1.915239</w:t>
            </w:r>
          </w:p>
        </w:tc>
        <w:tc>
          <w:tcPr>
            <w:tcW w:type="dxa" w:w="1040"/>
          </w:tcPr>
          <w:p>
            <w:r/>
            <w:r>
              <w:rPr>
                <w:sz w:val="15"/>
              </w:rPr>
              <w:t>0.0</w:t>
            </w:r>
          </w:p>
        </w:tc>
        <w:tc>
          <w:tcPr>
            <w:tcW w:type="dxa" w:w="1040"/>
          </w:tcPr>
          <w:p>
            <w:r/>
            <w:r>
              <w:rPr>
                <w:sz w:val="15"/>
              </w:rPr>
              <w:t>0.0</w:t>
            </w:r>
          </w:p>
        </w:tc>
        <w:tc>
          <w:tcPr>
            <w:tcW w:type="dxa" w:w="1040"/>
          </w:tcPr>
          <w:p>
            <w:r/>
            <w:r>
              <w:rPr>
                <w:sz w:val="15"/>
              </w:rPr>
              <w:t>down</w:t>
            </w:r>
          </w:p>
        </w:tc>
        <w:tc>
          <w:tcPr>
            <w:tcW w:type="dxa" w:w="1040"/>
          </w:tcPr>
          <w:p>
            <w:r/>
            <w:r>
              <w:rPr>
                <w:sz w:val="15"/>
              </w:rPr>
              <w:t>0.469512</w:t>
            </w:r>
          </w:p>
        </w:tc>
        <w:tc>
          <w:tcPr>
            <w:tcW w:type="dxa" w:w="1040"/>
          </w:tcPr>
          <w:p>
            <w:r/>
            <w:r>
              <w:rPr>
                <w:sz w:val="15"/>
              </w:rPr>
              <w:t>True</w:t>
            </w:r>
          </w:p>
        </w:tc>
      </w:tr>
      <w:tr>
        <w:tc>
          <w:tcPr>
            <w:tcW w:type="dxa" w:w="1040"/>
          </w:tcPr>
          <w:p>
            <w:r/>
            <w:r>
              <w:rPr>
                <w:sz w:val="15"/>
              </w:rPr>
              <w:t>aging_flight</w:t>
            </w:r>
          </w:p>
        </w:tc>
        <w:tc>
          <w:tcPr>
            <w:tcW w:type="dxa" w:w="1040"/>
          </w:tcPr>
          <w:p>
            <w:r/>
            <w:r>
              <w:rPr>
                <w:sz w:val="15"/>
              </w:rPr>
              <w:t>Mitochondrial Fatty Acid Beta-Oxidation R-HSA-77289</w:t>
            </w:r>
          </w:p>
        </w:tc>
        <w:tc>
          <w:tcPr>
            <w:tcW w:type="dxa" w:w="1040"/>
          </w:tcPr>
          <w:p>
            <w:r/>
            <w:r>
              <w:rPr>
                <w:sz w:val="15"/>
              </w:rPr>
              <w:t>-1.743523</w:t>
            </w:r>
          </w:p>
        </w:tc>
        <w:tc>
          <w:tcPr>
            <w:tcW w:type="dxa" w:w="1040"/>
          </w:tcPr>
          <w:p>
            <w:r/>
            <w:r>
              <w:rPr>
                <w:sz w:val="15"/>
              </w:rPr>
              <w:t>-1.810352</w:t>
            </w:r>
          </w:p>
        </w:tc>
        <w:tc>
          <w:tcPr>
            <w:tcW w:type="dxa" w:w="1040"/>
          </w:tcPr>
          <w:p>
            <w:r/>
            <w:r>
              <w:rPr>
                <w:sz w:val="15"/>
              </w:rPr>
              <w:t>0.044174</w:t>
            </w:r>
          </w:p>
        </w:tc>
        <w:tc>
          <w:tcPr>
            <w:tcW w:type="dxa" w:w="1040"/>
          </w:tcPr>
          <w:p>
            <w:r/>
            <w:r>
              <w:rPr>
                <w:sz w:val="15"/>
              </w:rPr>
              <w:t>0.069165</w:t>
            </w:r>
          </w:p>
        </w:tc>
        <w:tc>
          <w:tcPr>
            <w:tcW w:type="dxa" w:w="1040"/>
          </w:tcPr>
          <w:p>
            <w:r/>
            <w:r>
              <w:rPr>
                <w:sz w:val="15"/>
              </w:rPr>
              <w:t>down</w:t>
            </w:r>
          </w:p>
        </w:tc>
        <w:tc>
          <w:tcPr>
            <w:tcW w:type="dxa" w:w="1040"/>
          </w:tcPr>
          <w:p>
            <w:r/>
            <w:r>
              <w:rPr>
                <w:sz w:val="15"/>
              </w:rPr>
              <w:t>0.423077</w:t>
            </w:r>
          </w:p>
        </w:tc>
        <w:tc>
          <w:tcPr>
            <w:tcW w:type="dxa" w:w="1040"/>
          </w:tcPr>
          <w:p>
            <w:r/>
            <w:r>
              <w:rPr>
                <w:sz w:val="15"/>
              </w:rPr>
              <w:t>False</w:t>
            </w:r>
          </w:p>
        </w:tc>
      </w:tr>
      <w:tr>
        <w:tc>
          <w:tcPr>
            <w:tcW w:type="dxa" w:w="1040"/>
          </w:tcPr>
          <w:p>
            <w:r/>
            <w:r>
              <w:rPr>
                <w:sz w:val="15"/>
              </w:rPr>
              <w:t>aging_flight</w:t>
            </w:r>
          </w:p>
        </w:tc>
        <w:tc>
          <w:tcPr>
            <w:tcW w:type="dxa" w:w="1040"/>
          </w:tcPr>
          <w:p>
            <w:r/>
            <w:r>
              <w:rPr>
                <w:sz w:val="15"/>
              </w:rPr>
              <w:t>Respiratory Electron Transport R-HSA-611105</w:t>
            </w:r>
          </w:p>
        </w:tc>
        <w:tc>
          <w:tcPr>
            <w:tcW w:type="dxa" w:w="1040"/>
          </w:tcPr>
          <w:p>
            <w:r/>
            <w:r>
              <w:rPr>
                <w:sz w:val="15"/>
              </w:rPr>
              <w:t>-1.6002</w:t>
            </w:r>
          </w:p>
        </w:tc>
        <w:tc>
          <w:tcPr>
            <w:tcW w:type="dxa" w:w="1040"/>
          </w:tcPr>
          <w:p>
            <w:r/>
            <w:r>
              <w:rPr>
                <w:sz w:val="15"/>
              </w:rPr>
              <w:t>-1.628869</w:t>
            </w:r>
          </w:p>
        </w:tc>
        <w:tc>
          <w:tcPr>
            <w:tcW w:type="dxa" w:w="1040"/>
          </w:tcPr>
          <w:p>
            <w:r/>
            <w:r>
              <w:rPr>
                <w:sz w:val="15"/>
              </w:rPr>
              <w:t>0.107809</w:t>
            </w:r>
          </w:p>
        </w:tc>
        <w:tc>
          <w:tcPr>
            <w:tcW w:type="dxa" w:w="1040"/>
          </w:tcPr>
          <w:p>
            <w:r/>
            <w:r>
              <w:rPr>
                <w:sz w:val="15"/>
              </w:rPr>
              <w:t>0.179397</w:t>
            </w:r>
          </w:p>
        </w:tc>
        <w:tc>
          <w:tcPr>
            <w:tcW w:type="dxa" w:w="1040"/>
          </w:tcPr>
          <w:p>
            <w:r/>
            <w:r>
              <w:rPr>
                <w:sz w:val="15"/>
              </w:rPr>
              <w:t>down</w:t>
            </w:r>
          </w:p>
        </w:tc>
        <w:tc>
          <w:tcPr>
            <w:tcW w:type="dxa" w:w="1040"/>
          </w:tcPr>
          <w:p>
            <w:r/>
            <w:r>
              <w:rPr>
                <w:sz w:val="15"/>
              </w:rPr>
              <w:t>0.454545</w:t>
            </w:r>
          </w:p>
        </w:tc>
        <w:tc>
          <w:tcPr>
            <w:tcW w:type="dxa" w:w="1040"/>
          </w:tcPr>
          <w:p>
            <w:r/>
            <w:r>
              <w:rPr>
                <w:sz w:val="15"/>
              </w:rPr>
              <w:t>True</w:t>
            </w:r>
          </w:p>
        </w:tc>
      </w:tr>
      <w:tr>
        <w:tc>
          <w:tcPr>
            <w:tcW w:type="dxa" w:w="1040"/>
          </w:tcPr>
          <w:p>
            <w:r/>
            <w:r>
              <w:rPr>
                <w:sz w:val="15"/>
              </w:rPr>
              <w:t>aging_flight</w:t>
            </w:r>
          </w:p>
        </w:tc>
        <w:tc>
          <w:tcPr>
            <w:tcW w:type="dxa" w:w="1040"/>
          </w:tcPr>
          <w:p>
            <w:r/>
            <w:r>
              <w:rPr>
                <w:sz w:val="15"/>
              </w:rPr>
              <w:t>Mitochondrial Protein Import R-HSA-1268020</w:t>
            </w:r>
          </w:p>
        </w:tc>
        <w:tc>
          <w:tcPr>
            <w:tcW w:type="dxa" w:w="1040"/>
          </w:tcPr>
          <w:p>
            <w:r/>
            <w:r>
              <w:rPr>
                <w:sz w:val="15"/>
              </w:rPr>
              <w:t>-1.559344</w:t>
            </w:r>
          </w:p>
        </w:tc>
        <w:tc>
          <w:tcPr>
            <w:tcW w:type="dxa" w:w="1040"/>
          </w:tcPr>
          <w:p>
            <w:r/>
            <w:r>
              <w:rPr>
                <w:sz w:val="15"/>
              </w:rPr>
              <w:t>-1.85967</w:t>
            </w:r>
          </w:p>
        </w:tc>
        <w:tc>
          <w:tcPr>
            <w:tcW w:type="dxa" w:w="1040"/>
          </w:tcPr>
          <w:p>
            <w:r/>
            <w:r>
              <w:rPr>
                <w:sz w:val="15"/>
              </w:rPr>
              <w:t>0.121895</w:t>
            </w:r>
          </w:p>
        </w:tc>
        <w:tc>
          <w:tcPr>
            <w:tcW w:type="dxa" w:w="1040"/>
          </w:tcPr>
          <w:p>
            <w:r/>
            <w:r>
              <w:rPr>
                <w:sz w:val="15"/>
              </w:rPr>
              <w:t>0.059439</w:t>
            </w:r>
          </w:p>
        </w:tc>
        <w:tc>
          <w:tcPr>
            <w:tcW w:type="dxa" w:w="1040"/>
          </w:tcPr>
          <w:p>
            <w:r/>
            <w:r>
              <w:rPr>
                <w:sz w:val="15"/>
              </w:rPr>
              <w:t>down</w:t>
            </w:r>
          </w:p>
        </w:tc>
        <w:tc>
          <w:tcPr>
            <w:tcW w:type="dxa" w:w="1040"/>
          </w:tcPr>
          <w:p>
            <w:r/>
            <w:r>
              <w:rPr>
                <w:sz w:val="15"/>
              </w:rPr>
              <w:t>0.480769</w:t>
            </w:r>
          </w:p>
        </w:tc>
        <w:tc>
          <w:tcPr>
            <w:tcW w:type="dxa" w:w="1040"/>
          </w:tcPr>
          <w:p>
            <w:r/>
            <w:r>
              <w:rPr>
                <w:sz w:val="15"/>
              </w:rPr>
              <w:t>False</w:t>
            </w:r>
          </w:p>
        </w:tc>
      </w:tr>
      <w:tr>
        <w:tc>
          <w:tcPr>
            <w:tcW w:type="dxa" w:w="1040"/>
          </w:tcPr>
          <w:p>
            <w:r/>
            <w:r>
              <w:rPr>
                <w:sz w:val="15"/>
              </w:rPr>
              <w:t>aging_flight</w:t>
            </w:r>
          </w:p>
        </w:tc>
        <w:tc>
          <w:tcPr>
            <w:tcW w:type="dxa" w:w="1040"/>
          </w:tcPr>
          <w:p>
            <w:r/>
            <w:r>
              <w:rPr>
                <w:sz w:val="15"/>
              </w:rPr>
              <w:t>Respiratory Electron Transport, ATP Synthesis By Chemiosmotic Coupling, Heat Production By Uncoupling Proteins R-HSA-163200</w:t>
            </w:r>
          </w:p>
        </w:tc>
        <w:tc>
          <w:tcPr>
            <w:tcW w:type="dxa" w:w="1040"/>
          </w:tcPr>
          <w:p>
            <w:r/>
            <w:r>
              <w:rPr>
                <w:sz w:val="15"/>
              </w:rPr>
              <w:t>-1.513786</w:t>
            </w:r>
          </w:p>
        </w:tc>
        <w:tc>
          <w:tcPr>
            <w:tcW w:type="dxa" w:w="1040"/>
          </w:tcPr>
          <w:p>
            <w:r/>
            <w:r>
              <w:rPr>
                <w:sz w:val="15"/>
              </w:rPr>
              <w:t>-1.716195</w:t>
            </w:r>
          </w:p>
        </w:tc>
        <w:tc>
          <w:tcPr>
            <w:tcW w:type="dxa" w:w="1040"/>
          </w:tcPr>
          <w:p>
            <w:r/>
            <w:r>
              <w:rPr>
                <w:sz w:val="15"/>
              </w:rPr>
              <w:t>0.147571</w:t>
            </w:r>
          </w:p>
        </w:tc>
        <w:tc>
          <w:tcPr>
            <w:tcW w:type="dxa" w:w="1040"/>
          </w:tcPr>
          <w:p>
            <w:r/>
            <w:r>
              <w:rPr>
                <w:sz w:val="15"/>
              </w:rPr>
              <w:t>0.155622</w:t>
            </w:r>
          </w:p>
        </w:tc>
        <w:tc>
          <w:tcPr>
            <w:tcW w:type="dxa" w:w="1040"/>
          </w:tcPr>
          <w:p>
            <w:r/>
            <w:r>
              <w:rPr>
                <w:sz w:val="15"/>
              </w:rPr>
              <w:t>down</w:t>
            </w:r>
          </w:p>
        </w:tc>
        <w:tc>
          <w:tcPr>
            <w:tcW w:type="dxa" w:w="1040"/>
          </w:tcPr>
          <w:p>
            <w:r/>
            <w:r>
              <w:rPr>
                <w:sz w:val="15"/>
              </w:rPr>
              <w:t>0.425532</w:t>
            </w:r>
          </w:p>
        </w:tc>
        <w:tc>
          <w:tcPr>
            <w:tcW w:type="dxa" w:w="1040"/>
          </w:tcPr>
          <w:p>
            <w:r/>
            <w:r>
              <w:rPr>
                <w:sz w:val="15"/>
              </w:rPr>
              <w:t>True</w:t>
            </w:r>
          </w:p>
        </w:tc>
      </w:tr>
    </w:tbl>
    <w:p>
      <w:r>
        <w:rPr>
          <w:i/>
          <w:color w:val="444444"/>
          <w:sz w:val="17"/>
        </w:rPr>
        <w:t>14 further columns in the source file. Source: module4_concordant_pathways.tsv</w:t>
      </w:r>
    </w:p>
    <w:p>
      <w:pPr>
        <w:spacing w:after="140"/>
      </w:pPr>
      <w:r>
        <w:rPr>
          <w:rFonts w:ascii="Menlo" w:hAnsi="Menlo"/>
          <w:color w:val="1A3E6E"/>
          <w:sz w:val="19"/>
        </w:rPr>
        <w:t>module4_concordant_pathways.tsv</w:t>
      </w:r>
      <w:r>
        <w:rPr>
          <w:sz w:val="21"/>
        </w:rPr>
        <w:t xml:space="preserve"> is the only artifact that names the pathways the close discusses. All 11 concordant rows are shown, 5 for disease-aging and 6 for aging-flight, with per-contrast NES and FDR, direction, tier, the q&lt;0.05-in-both flag, the suspect flag, and the leading-edge Jaccard and intersection genes.</w:t>
      </w:r>
    </w:p>
    <w:p>
      <w:pPr>
        <w:spacing w:after="140"/>
      </w:pPr>
      <w:r>
        <w:rPr>
          <w:b/>
          <w:sz w:val="21"/>
        </w:rPr>
        <w:t>How to read the close.</w:t>
      </w:r>
    </w:p>
    <w:p>
      <w:pPr>
        <w:pStyle w:val="ListBullet"/>
        <w:spacing w:after="40"/>
      </w:pPr>
      <w:r>
        <w:rPr>
          <w:b/>
          <w:sz w:val="21"/>
        </w:rPr>
        <w:t>Disease-aging:</w:t>
      </w:r>
      <w:r>
        <w:rPr>
          <w:sz w:val="21"/>
        </w:rPr>
        <w:t xml:space="preserve"> </w:t>
      </w:r>
      <w:r>
        <w:rPr>
          <w:b/>
          <w:sz w:val="21"/>
        </w:rPr>
        <w:t>five separate concordant pathways</w:t>
      </w:r>
      <w:r>
        <w:rPr>
          <w:sz w:val="21"/>
        </w:rPr>
        <w:t xml:space="preserve">, grouped only by direction. Down: cholesterol biosynthesis, SREBF activation. Up: EMT, ECM organization, keratinization. Leading-edge clustering at Jaccard 0.5 merged none of them, so they are reported as five and not as blocks. The set is </w:t>
      </w:r>
      <w:r>
        <w:rPr>
          <w:b/>
          <w:sz w:val="21"/>
        </w:rPr>
        <w:t>not above chance</w:t>
      </w:r>
      <w:r>
        <w:rPr>
          <w:sz w:val="21"/>
        </w:rPr>
        <w:t>: 5 observed against a permutation null mean of 3.0, p 0.169. It does not survive as a shared-mechanism claim. Four of the five also pass q&lt;0.05 in both contrasts; SREBF activation does not.</w:t>
      </w:r>
    </w:p>
    <w:p>
      <w:pPr>
        <w:pStyle w:val="ListBullet"/>
        <w:spacing w:after="40"/>
      </w:pPr>
      <w:r>
        <w:rPr>
          <w:b/>
          <w:sz w:val="21"/>
        </w:rPr>
        <w:t>ECM correction:</w:t>
      </w:r>
      <w:r>
        <w:rPr>
          <w:sz w:val="21"/>
        </w:rPr>
        <w:t xml:space="preserve"> global correlation invited an "ECM opposite" story; the pathway screen shows ECM terms passing </w:t>
      </w:r>
      <w:r>
        <w:rPr>
          <w:b/>
          <w:sz w:val="21"/>
        </w:rPr>
        <w:t>up in both</w:t>
      </w:r>
      <w:r>
        <w:rPr>
          <w:sz w:val="21"/>
        </w:rPr>
        <w:t xml:space="preserve"> IPF and aging. That is why the coefficient is not the headline.</w:t>
      </w:r>
    </w:p>
    <w:p>
      <w:pPr>
        <w:pStyle w:val="ListBullet"/>
        <w:spacing w:after="40"/>
      </w:pPr>
      <w:r>
        <w:rPr>
          <w:b/>
          <w:sz w:val="21"/>
        </w:rPr>
        <w:t>Flight pairs:</w:t>
      </w:r>
      <w:r>
        <w:rPr>
          <w:sz w:val="21"/>
        </w:rPr>
        <w:t xml:space="preserve"> pathway passers are unanimously down (</w:t>
      </w:r>
      <w:r>
        <w:rPr>
          <w:rFonts w:ascii="Menlo" w:hAnsi="Menlo"/>
          <w:color w:val="1A3E6E"/>
          <w:sz w:val="19"/>
        </w:rPr>
        <w:t>p_up = 0</w:t>
      </w:r>
      <w:r>
        <w:rPr>
          <w:sz w:val="21"/>
        </w:rPr>
        <w:t xml:space="preserve">). Treat disease-flight and three-way as </w:t>
      </w:r>
      <w:r>
        <w:rPr>
          <w:b/>
          <w:sz w:val="21"/>
        </w:rPr>
        <w:t>uninterpretable, not null</w:t>
      </w:r>
      <w:r>
        <w:rPr>
          <w:sz w:val="21"/>
        </w:rPr>
        <w:t>, while that polarity holds. Spike-in size-factor and globin accounts were tested and rejected.</w:t>
      </w:r>
    </w:p>
    <w:p>
      <w:pPr>
        <w:pStyle w:val="ListBullet"/>
        <w:spacing w:after="40"/>
      </w:pPr>
      <w:r>
        <w:rPr>
          <w:b/>
          <w:sz w:val="21"/>
        </w:rPr>
        <w:t>Aging-flight:</w:t>
      </w:r>
      <w:r>
        <w:rPr>
          <w:sz w:val="21"/>
        </w:rPr>
        <w:t xml:space="preserve"> </w:t>
      </w:r>
      <w:r>
        <w:rPr>
          <w:b/>
          <w:sz w:val="21"/>
        </w:rPr>
        <w:t>six concordant pathways, five after clustering</w:t>
      </w:r>
      <w:r>
        <w:rPr>
          <w:sz w:val="21"/>
        </w:rPr>
        <w:t xml:space="preserve"> merged the two Respiratory Electron Transport terms. Oxidative phosphorylation, mitochondrial fatty-acid beta-oxidation and mitochondrial protein import stay distinct. Myc Targets V2 is adjacent and reported separately. The six together exceed the permutation null, 6 observed against 2.48, p 0.026, and this is the only set that does. Three of the six carry a suspect flag (oxidative phosphorylation and both Respiratory Electron Transport terms), so the result stays suspect on composition and circadian grounds.</w:t>
      </w:r>
    </w:p>
    <w:p>
      <w:pPr>
        <w:pStyle w:val="ListBullet"/>
        <w:spacing w:after="40"/>
      </w:pPr>
      <w:r>
        <w:rPr>
          <w:b/>
          <w:sz w:val="21"/>
        </w:rPr>
        <w:t>HuBMAP aging:</w:t>
      </w:r>
      <w:r>
        <w:rPr>
          <w:sz w:val="21"/>
        </w:rPr>
        <w:t xml:space="preserve"> 2 vs 2 illustration; gene-level padj &lt; 0.05 count can be zero.</w:t>
      </w:r>
    </w:p>
    <w:p>
      <w:pPr>
        <w:pStyle w:val="Heading1"/>
      </w:pPr>
      <w:r>
        <w:rPr>
          <w:color w:val="1F4E79"/>
        </w:rPr>
        <w:t>5. Interpretation</w:t>
      </w:r>
    </w:p>
    <w:p>
      <w:pPr>
        <w:spacing w:after="140"/>
      </w:pPr>
      <w:r>
        <w:rPr>
          <w:sz w:val="21"/>
        </w:rPr>
        <w:t>Module 4's teaching point is epistemic: cross-ecosystem comparison is a contrast-level problem, not a matrix merge. Methods assets can pass while biology pairs stay near-null or uninterpretable.</w:t>
      </w:r>
    </w:p>
    <w:p>
      <w:pPr>
        <w:spacing w:after="140"/>
      </w:pPr>
      <w:r>
        <w:rPr>
          <w:b/>
          <w:sz w:val="21"/>
        </w:rPr>
        <w:t>What the results support.</w:t>
      </w:r>
    </w:p>
    <w:p>
      <w:pPr>
        <w:pStyle w:val="ListBullet"/>
        <w:spacing w:after="40"/>
      </w:pPr>
      <w:r>
        <w:rPr>
          <w:sz w:val="21"/>
        </w:rPr>
        <w:t>Calibration (ERCC, GeneLab, bridge) can succeed independently of concordance claims.</w:t>
      </w:r>
    </w:p>
    <w:p>
      <w:pPr>
        <w:pStyle w:val="ListBullet"/>
        <w:spacing w:after="40"/>
      </w:pPr>
      <w:r>
        <w:rPr>
          <w:sz w:val="21"/>
        </w:rPr>
        <w:t>Shared-mechanism tables with permutation p-values are the correct headline objects.</w:t>
      </w:r>
    </w:p>
    <w:p>
      <w:pPr>
        <w:pStyle w:val="ListBullet"/>
        <w:spacing w:after="40"/>
      </w:pPr>
      <w:r>
        <w:rPr>
          <w:sz w:val="21"/>
        </w:rPr>
        <w:t>Several popular overclaims (shared fibrotic flight program; ECM opposition from rho; one aging-IPF mechanism) are contradicted by the committed tables.</w:t>
      </w:r>
    </w:p>
    <w:p>
      <w:pPr>
        <w:spacing w:after="140"/>
      </w:pPr>
      <w:r>
        <w:rPr>
          <w:sz w:val="21"/>
        </w:rPr>
        <w:t>Two of these results are easy to overstate, and the distance between what the tables show and what a reader will assume is where the interpretation has to be careful.</w:t>
      </w:r>
    </w:p>
    <w:p>
      <w:pPr>
        <w:spacing w:after="140"/>
      </w:pPr>
      <w:r>
        <w:rPr>
          <w:sz w:val="21"/>
        </w:rPr>
        <w:t xml:space="preserve">For </w:t>
      </w:r>
      <w:r>
        <w:rPr>
          <w:b/>
          <w:sz w:val="21"/>
        </w:rPr>
        <w:t>disease and aging</w:t>
      </w:r>
      <w:r>
        <w:rPr>
          <w:sz w:val="21"/>
        </w:rPr>
        <w:t>, the tables show a small set of same-sign pathway hits spanning sterol and remodeling programs, and permutation testing does not place that set above chance. The supported claim is therefore a labeled hypothesis rather than a validated shared mechanism. Neither "IPF recapitulates aging" nor "aging recapitulates fibrosis" follows from these tables alone, and the accelerated-aging framing that motivates the comparison is what makes those readings tempting enough to need stating explicitly.</w:t>
      </w:r>
    </w:p>
    <w:p>
      <w:pPr>
        <w:spacing w:after="140"/>
      </w:pPr>
      <w:r>
        <w:rPr>
          <w:sz w:val="21"/>
        </w:rPr>
        <w:t xml:space="preserve">For </w:t>
      </w:r>
      <w:r>
        <w:rPr>
          <w:b/>
          <w:sz w:val="21"/>
        </w:rPr>
        <w:t>flight</w:t>
      </w:r>
      <w:r>
        <w:rPr>
          <w:sz w:val="21"/>
        </w:rPr>
        <w:t xml:space="preserve">, every pathway passer moves in the same direction. Until that polarity is explained, any cross-ecosystem concordance involving flight is uninterpretable rather than null. That distinction matters in both directions: "no shared pathways" is not available as a positive biological finding while </w:t>
      </w:r>
      <w:r>
        <w:rPr>
          <w:rFonts w:ascii="Menlo" w:hAnsi="Menlo"/>
          <w:color w:val="1A3E6E"/>
          <w:sz w:val="19"/>
        </w:rPr>
        <w:t>p_up = 0</w:t>
      </w:r>
      <w:r>
        <w:rPr>
          <w:sz w:val="21"/>
        </w:rPr>
        <w:t xml:space="preserve"> dominates the passer set, because an unexplained artifact and a true absence of shared signal are not the same result.</w:t>
      </w:r>
    </w:p>
    <w:p>
      <w:pPr>
        <w:pStyle w:val="Heading1"/>
      </w:pPr>
      <w:r>
        <w:rPr>
          <w:color w:val="1F4E79"/>
        </w:rPr>
        <w:t>6. Extending this analysis</w:t>
      </w:r>
    </w:p>
    <w:p>
      <w:pPr>
        <w:pStyle w:val="ListBullet"/>
        <w:spacing w:after="40"/>
      </w:pPr>
      <w:r>
        <w:rPr>
          <w:b/>
          <w:sz w:val="21"/>
        </w:rPr>
        <w:t>Resolve the unanimous flight polarity first.</w:t>
      </w:r>
      <w:r>
        <w:rPr>
          <w:sz w:val="21"/>
        </w:rPr>
        <w:t xml:space="preserve"> </w:t>
      </w:r>
      <w:r>
        <w:rPr>
          <w:rFonts w:ascii="Menlo" w:hAnsi="Menlo"/>
          <w:color w:val="1A3E6E"/>
          <w:sz w:val="19"/>
        </w:rPr>
        <w:t>p_up = 0</w:t>
      </w:r>
      <w:r>
        <w:rPr>
          <w:sz w:val="21"/>
        </w:rPr>
        <w:t xml:space="preserve"> across </w:t>
      </w:r>
      <w:r>
        <w:rPr>
          <w:rFonts w:ascii="Menlo" w:hAnsi="Menlo"/>
          <w:color w:val="1A3E6E"/>
          <w:sz w:val="19"/>
        </w:rPr>
        <w:t>M_FLIGHT</w:t>
      </w:r>
      <w:r>
        <w:rPr>
          <w:sz w:val="21"/>
        </w:rPr>
        <w:t xml:space="preserve"> pathway passers is the one result that stalls every flight-involving pair, and the spike-in size-factor and globin accounts are already excluded. A follow-up should test the remaining candidates directly: library composition by arm (</w:t>
      </w:r>
      <w:r>
        <w:rPr>
          <w:rFonts w:ascii="Menlo" w:hAnsi="Menlo"/>
          <w:color w:val="1A3E6E"/>
          <w:sz w:val="19"/>
        </w:rPr>
        <w:t>module4_library_composition_by_arm.tsv</w:t>
      </w:r>
      <w:r>
        <w:rPr>
          <w:sz w:val="21"/>
        </w:rPr>
        <w:t xml:space="preserve"> is already exported), RNA integrity through the RIN sensitivity contrast, and collection-time and circadian confounding, with replication in a second independent flight dataset. Until one of those explains the polarity, disease-flight and three-way stay uninterpretable rather than null.</w:t>
      </w:r>
    </w:p>
    <w:p>
      <w:pPr>
        <w:pStyle w:val="ListBullet"/>
        <w:spacing w:after="40"/>
      </w:pPr>
      <w:r>
        <w:rPr>
          <w:b/>
          <w:sz w:val="21"/>
        </w:rPr>
        <w:t>Combining native levels needs a shared quantification, not a rescaling.</w:t>
      </w:r>
      <w:r>
        <w:rPr>
          <w:sz w:val="21"/>
        </w:rPr>
        <w:t xml:space="preserve"> Any claim that merges levels across these resources would require raw reads reprocessed through one pipeline, one annotation and one unit, in one species. That work is outside this package, and the native-levels panel in Results shows what the merge would be papering over.</w:t>
      </w:r>
    </w:p>
    <w:p>
      <w:pPr>
        <w:pStyle w:val="ListBullet"/>
        <w:spacing w:after="40"/>
      </w:pPr>
      <w:r>
        <w:rPr>
          <w:b/>
          <w:sz w:val="21"/>
        </w:rPr>
        <w:t>A powered HuBMAP aging statement needs a powered cohort.</w:t>
      </w:r>
      <w:r>
        <w:rPr>
          <w:sz w:val="21"/>
        </w:rPr>
        <w:t xml:space="preserve"> </w:t>
      </w:r>
      <w:r>
        <w:rPr>
          <w:rFonts w:ascii="Menlo" w:hAnsi="Menlo"/>
          <w:color w:val="1A3E6E"/>
          <w:sz w:val="19"/>
        </w:rPr>
        <w:t>H_AGING_HUBMAP</w:t>
      </w:r>
      <w:r>
        <w:rPr>
          <w:sz w:val="21"/>
        </w:rPr>
        <w:t xml:space="preserve"> is a 2 vs 2 illustration whose gene-level padj &lt; 0.05 count can be zero; supporting an aging claim from HuBMAP would need donor arms sized like the GTEx brackets and non-overlapping age ranges, since the teaching donors sit inside the GTEx middle brackets. Treat the current contrast as a method check.</w:t>
      </w:r>
    </w:p>
    <w:p>
      <w:pPr>
        <w:pStyle w:val="ListBullet"/>
        <w:spacing w:after="40"/>
      </w:pPr>
      <w:r>
        <w:rPr>
          <w:b/>
          <w:sz w:val="21"/>
        </w:rPr>
        <w:t>Lifting disease-aging above chance needs more signal or a narrower universe.</w:t>
      </w:r>
      <w:r>
        <w:rPr>
          <w:sz w:val="21"/>
        </w:rPr>
        <w:t xml:space="preserve"> On this run 5 observed against a permutation null mean of 3.0 gives p 0.169. A stronger analysis would raise per-contrast passer counts (deeper cohorts, more prerank permutations than the current 100) or pre-register a narrower pathway universe so the null is not diluted by 1,185 shared sets. Reporting the five as a labeled hypothesis is what the current numbers support.</w:t>
      </w:r>
    </w:p>
    <w:p>
      <w:pPr>
        <w:pStyle w:val="ListBullet"/>
        <w:spacing w:after="40"/>
      </w:pPr>
      <w:r>
        <w:rPr>
          <w:b/>
          <w:sz w:val="21"/>
        </w:rPr>
        <w:t>Clearing the suspect flag on aging-flight needs controls, not a smaller p.</w:t>
      </w:r>
      <w:r>
        <w:rPr>
          <w:sz w:val="21"/>
        </w:rPr>
        <w:t xml:space="preserve"> Three of the six concordant pathways are flagged (oxidative phosphorylation and both Respiratory Electron Transport terms). p 0.026 does not address whether those terms track cell-composition shifts or circadian state; matched composition estimates and collection-time metadata on both sides would.</w:t>
      </w:r>
    </w:p>
    <w:p>
      <w:pPr>
        <w:pStyle w:val="ListBullet"/>
        <w:spacing w:after="40"/>
      </w:pPr>
      <w:r>
        <w:rPr>
          <w:b/>
          <w:sz w:val="21"/>
        </w:rPr>
        <w:t>Stabilizing the global coefficient needs a fixed annotation.</w:t>
      </w:r>
      <w:r>
        <w:rPr>
          <w:sz w:val="21"/>
        </w:rPr>
        <w:t xml:space="preserve"> The disease-aging rho ranges from -0.214 to -0.027 across gene-set slices, so any future use of a global NES correlation as evidence should pre-commit to one library and report the sensitivity panel alongside it.</w:t>
      </w:r>
    </w:p>
    <w:p>
      <w:pPr>
        <w:spacing w:after="140"/>
      </w:pPr>
      <w:r>
        <w:rPr>
          <w:b/>
          <w:sz w:val="21"/>
        </w:rPr>
        <w:t>Forward link.</w:t>
      </w:r>
      <w:r>
        <w:rPr>
          <w:sz w:val="21"/>
        </w:rPr>
        <w:t xml:space="preserve"> Module 5 (no notebook) is a scientific communication assessment on these outputs, authored separately for the course package.</w:t>
      </w:r>
    </w:p>
    <w:p>
      <w:pPr>
        <w:pStyle w:val="Heading1"/>
      </w:pPr>
      <w:r>
        <w:rPr>
          <w:color w:val="1F4E79"/>
        </w:rPr>
        <w:t>7. Open questions</w:t>
      </w:r>
    </w:p>
    <w:p>
      <w:pPr>
        <w:pStyle w:val="ListNumber"/>
        <w:spacing w:after="40"/>
      </w:pPr>
      <w:r>
        <w:rPr>
          <w:sz w:val="21"/>
        </w:rPr>
        <w:t>If methods calibration succeeds and biology concordance stays weak, what claim is still licensed?</w:t>
      </w:r>
    </w:p>
    <w:p>
      <w:pPr>
        <w:pStyle w:val="ListNumber"/>
        <w:spacing w:after="40"/>
      </w:pPr>
      <w:r>
        <w:rPr>
          <w:sz w:val="21"/>
        </w:rPr>
        <w:t>Why is global NES Spearman the wrong headline for shared mechanisms?</w:t>
      </w:r>
    </w:p>
    <w:p>
      <w:pPr>
        <w:pStyle w:val="ListNumber"/>
        <w:spacing w:after="40"/>
      </w:pPr>
      <w:r>
        <w:rPr>
          <w:sz w:val="21"/>
        </w:rPr>
        <w:t>Disease-aging gives five separate pathways, not above chance. What would promote that from hypothesis to claim?</w:t>
      </w:r>
    </w:p>
    <w:p>
      <w:pPr>
        <w:pStyle w:val="ListNumber"/>
        <w:spacing w:after="40"/>
      </w:pPr>
      <w:r>
        <w:rPr>
          <w:sz w:val="21"/>
        </w:rPr>
        <w:t>Flight pathway passers are all down after ERCC and globin checks failed to explain it. What confound remains on the table?</w:t>
      </w:r>
    </w:p>
    <w:p>
      <w:pPr>
        <w:pStyle w:val="ListNumber"/>
        <w:spacing w:after="40"/>
      </w:pPr>
      <w:r>
        <w:rPr>
          <w:sz w:val="21"/>
        </w:rPr>
        <w:t>Why keep flagged OxPhos / RET terms in the aging-flight set instead of dropping them?</w:t>
      </w:r>
    </w:p>
    <w:p>
      <w:pPr>
        <w:pStyle w:val="ListNumber"/>
        <w:spacing w:after="40"/>
      </w:pPr>
      <w:r>
        <w:rPr>
          <w:sz w:val="21"/>
        </w:rPr>
        <w:t>What does an empty three-way intersection mean for "spaceflight as accelerated aging" rhetoric?</w:t>
      </w:r>
    </w:p>
    <w:p>
      <w:pPr>
        <w:pStyle w:val="ListNumber"/>
        <w:spacing w:after="40"/>
      </w:pPr>
      <w:r>
        <w:rPr>
          <w:sz w:val="21"/>
        </w:rPr>
        <w:t>HuBMAP aging has zero genes at padj &lt; 0.05. How should a learner read its NES passers?</w:t>
      </w:r>
    </w:p>
    <w:p>
      <w:pPr>
        <w:pStyle w:val="ListNumber"/>
        <w:spacing w:after="40"/>
      </w:pPr>
      <w:r>
        <w:rPr>
          <w:sz w:val="21"/>
        </w:rPr>
        <w:t xml:space="preserve">When should </w:t>
      </w:r>
      <w:r>
        <w:rPr>
          <w:rFonts w:ascii="Menlo" w:hAnsi="Menlo"/>
          <w:color w:val="1A3E6E"/>
          <w:sz w:val="19"/>
        </w:rPr>
        <w:t>module4.sensitivity.enabled</w:t>
      </w:r>
      <w:r>
        <w:rPr>
          <w:sz w:val="21"/>
        </w:rPr>
        <w:t xml:space="preserve"> be turned on, and what does it cost?</w:t>
      </w:r>
    </w:p>
    <w:p>
      <w:r>
        <w:br w:type="page"/>
      </w:r>
    </w:p>
    <w:p>
      <w:pPr>
        <w:pStyle w:val="Heading1"/>
      </w:pPr>
      <w:r>
        <w:rPr>
          <w:color w:val="1F4E79"/>
        </w:rPr>
        <w:t>Appendix A: Analysis parameters</w:t>
      </w:r>
    </w:p>
    <w:p>
      <w:pPr>
        <w:spacing w:after="140"/>
      </w:pPr>
      <w:r>
        <w:rPr>
          <w:sz w:val="21"/>
        </w:rPr>
        <w:t xml:space="preserve">Live values under </w:t>
      </w:r>
      <w:r>
        <w:rPr>
          <w:rFonts w:ascii="Menlo" w:hAnsi="Menlo"/>
          <w:color w:val="1A3E6E"/>
          <w:sz w:val="19"/>
        </w:rPr>
        <w:t>module4</w:t>
      </w:r>
      <w:r>
        <w:rPr>
          <w:sz w:val="21"/>
        </w:rPr>
        <w:t xml:space="preserve"> in </w:t>
      </w:r>
      <w:r>
        <w:rPr>
          <w:rFonts w:ascii="Menlo" w:hAnsi="Menlo"/>
          <w:color w:val="1A3E6E"/>
          <w:sz w:val="19"/>
        </w:rPr>
        <w:t>config/paths.yaml</w:t>
      </w:r>
      <w:r>
        <w:rPr>
          <w:sz w:val="21"/>
        </w:rPr>
        <w:t>. Section numbers match the Methods subsections.</w:t>
      </w:r>
    </w:p>
    <w:p>
      <w:pPr>
        <w:pStyle w:val="Heading4"/>
      </w:pPr>
      <w:r>
        <w:rPr>
          <w:color w:val="1F4E79"/>
        </w:rPr>
        <w:t>1. Within-resource DE (pydeseq2)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r/>
            <w:r>
              <w:rPr>
                <w:b/>
                <w:sz w:val="17"/>
              </w:rPr>
              <w:t>Config key</w:t>
            </w:r>
          </w:p>
        </w:tc>
        <w:tc>
          <w:tcPr>
            <w:tcW w:type="dxa" w:w="1872"/>
            <w:shd w:val="clear" w:fill="DCE6F1"/>
          </w:tcPr>
          <w:p>
            <w:r/>
            <w:r>
              <w:rPr>
                <w:b/>
                <w:sz w:val="17"/>
              </w:rPr>
              <w:t>Default</w:t>
            </w:r>
          </w:p>
        </w:tc>
        <w:tc>
          <w:tcPr>
            <w:tcW w:type="dxa" w:w="1872"/>
            <w:shd w:val="clear" w:fill="DCE6F1"/>
          </w:tcPr>
          <w:p>
            <w:r/>
            <w:r>
              <w:rPr>
                <w:b/>
                <w:sz w:val="17"/>
              </w:rPr>
              <w:t>Definition</w:t>
            </w:r>
          </w:p>
        </w:tc>
        <w:tc>
          <w:tcPr>
            <w:tcW w:type="dxa" w:w="1872"/>
            <w:shd w:val="clear" w:fill="DCE6F1"/>
          </w:tcPr>
          <w:p>
            <w:r/>
            <w:r>
              <w:rPr>
                <w:b/>
                <w:sz w:val="17"/>
              </w:rPr>
              <w:t>If modified</w:t>
            </w:r>
          </w:p>
        </w:tc>
        <w:tc>
          <w:tcPr>
            <w:tcW w:type="dxa" w:w="1872"/>
            <w:shd w:val="clear" w:fill="DCE6F1"/>
          </w:tcPr>
          <w:p>
            <w:r/>
            <w:r>
              <w:rPr>
                <w:b/>
                <w:sz w:val="17"/>
              </w:rPr>
              <w:t>Impact on results</w:t>
            </w:r>
          </w:p>
        </w:tc>
      </w:tr>
      <w:tr>
        <w:tc>
          <w:tcPr>
            <w:tcW w:type="dxa" w:w="1872"/>
          </w:tcPr>
          <w:p>
            <w:r/>
            <w:r>
              <w:rPr>
                <w:rFonts w:ascii="Menlo" w:hAnsi="Menlo"/>
                <w:color w:val="1A3E6E"/>
                <w:sz w:val="15"/>
              </w:rPr>
              <w:t>module4.thresholds.de_min_count_sum</w:t>
            </w:r>
          </w:p>
        </w:tc>
        <w:tc>
          <w:tcPr>
            <w:tcW w:type="dxa" w:w="1872"/>
          </w:tcPr>
          <w:p>
            <w:r/>
            <w:r>
              <w:rPr>
                <w:rFonts w:ascii="Menlo" w:hAnsi="Menlo"/>
                <w:color w:val="1A3E6E"/>
                <w:sz w:val="15"/>
              </w:rPr>
              <w:t>10</w:t>
            </w:r>
          </w:p>
        </w:tc>
        <w:tc>
          <w:tcPr>
            <w:tcW w:type="dxa" w:w="1872"/>
          </w:tcPr>
          <w:p>
            <w:r/>
            <w:r>
              <w:rPr>
                <w:sz w:val="17"/>
              </w:rPr>
              <w:t>Min count sum to keep a gene</w:t>
            </w:r>
          </w:p>
        </w:tc>
        <w:tc>
          <w:tcPr>
            <w:tcW w:type="dxa" w:w="1872"/>
          </w:tcPr>
          <w:p>
            <w:r/>
            <w:r>
              <w:rPr>
                <w:sz w:val="17"/>
              </w:rPr>
              <w:t>Raise</w:t>
            </w:r>
          </w:p>
        </w:tc>
        <w:tc>
          <w:tcPr>
            <w:tcW w:type="dxa" w:w="1872"/>
          </w:tcPr>
          <w:p>
            <w:r/>
            <w:r>
              <w:rPr>
                <w:sz w:val="17"/>
              </w:rPr>
              <w:t>Fewer genes in each DE table</w:t>
            </w:r>
          </w:p>
        </w:tc>
      </w:tr>
      <w:tr>
        <w:tc>
          <w:tcPr>
            <w:tcW w:type="dxa" w:w="1872"/>
          </w:tcPr>
          <w:p>
            <w:r/>
            <w:r>
              <w:rPr>
                <w:rFonts w:ascii="Menlo" w:hAnsi="Menlo"/>
                <w:color w:val="1A3E6E"/>
                <w:sz w:val="15"/>
              </w:rPr>
              <w:t>module4.geo.include_diagnoses</w:t>
            </w:r>
          </w:p>
        </w:tc>
        <w:tc>
          <w:tcPr>
            <w:tcW w:type="dxa" w:w="1872"/>
          </w:tcPr>
          <w:p>
            <w:r/>
            <w:r>
              <w:rPr>
                <w:rFonts w:ascii="Menlo" w:hAnsi="Menlo"/>
                <w:color w:val="1A3E6E"/>
                <w:sz w:val="15"/>
              </w:rPr>
              <w:t>[ipf, control]</w:t>
            </w:r>
          </w:p>
        </w:tc>
        <w:tc>
          <w:tcPr>
            <w:tcW w:type="dxa" w:w="1872"/>
          </w:tcPr>
          <w:p>
            <w:r/>
            <w:r>
              <w:rPr>
                <w:sz w:val="17"/>
              </w:rPr>
              <w:t>GSE150910 diagnoses kept</w:t>
            </w:r>
          </w:p>
        </w:tc>
        <w:tc>
          <w:tcPr>
            <w:tcW w:type="dxa" w:w="1872"/>
          </w:tcPr>
          <w:p>
            <w:r/>
            <w:r>
              <w:rPr>
                <w:sz w:val="17"/>
              </w:rPr>
              <w:t>Add diagnoses</w:t>
            </w:r>
          </w:p>
        </w:tc>
        <w:tc>
          <w:tcPr>
            <w:tcW w:type="dxa" w:w="1872"/>
          </w:tcPr>
          <w:p>
            <w:r/>
            <w:r>
              <w:rPr>
                <w:sz w:val="17"/>
              </w:rPr>
              <w:t>Redefines disease cohort</w:t>
            </w:r>
          </w:p>
        </w:tc>
      </w:tr>
      <w:tr>
        <w:tc>
          <w:tcPr>
            <w:tcW w:type="dxa" w:w="1872"/>
          </w:tcPr>
          <w:p>
            <w:r/>
            <w:r>
              <w:rPr>
                <w:rFonts w:ascii="Menlo" w:hAnsi="Menlo"/>
                <w:color w:val="1A3E6E"/>
                <w:sz w:val="15"/>
              </w:rPr>
              <w:t>module4.gtex.young_age_brackets</w:t>
            </w:r>
          </w:p>
        </w:tc>
        <w:tc>
          <w:tcPr>
            <w:tcW w:type="dxa" w:w="1872"/>
          </w:tcPr>
          <w:p>
            <w:r/>
            <w:r>
              <w:rPr>
                <w:rFonts w:ascii="Menlo" w:hAnsi="Menlo"/>
                <w:color w:val="1A3E6E"/>
                <w:sz w:val="15"/>
              </w:rPr>
              <w:t>["20-29","30-39"]</w:t>
            </w:r>
          </w:p>
        </w:tc>
        <w:tc>
          <w:tcPr>
            <w:tcW w:type="dxa" w:w="1872"/>
          </w:tcPr>
          <w:p>
            <w:r/>
            <w:r>
              <w:rPr>
                <w:sz w:val="17"/>
              </w:rPr>
              <w:t>Young arm brackets</w:t>
            </w:r>
          </w:p>
        </w:tc>
        <w:tc>
          <w:tcPr>
            <w:tcW w:type="dxa" w:w="1872"/>
          </w:tcPr>
          <w:p>
            <w:r/>
            <w:r>
              <w:rPr>
                <w:sz w:val="17"/>
              </w:rPr>
              <w:t>Narrow/widen</w:t>
            </w:r>
          </w:p>
        </w:tc>
        <w:tc>
          <w:tcPr>
            <w:tcW w:type="dxa" w:w="1872"/>
          </w:tcPr>
          <w:p>
            <w:r/>
            <w:r>
              <w:rPr>
                <w:sz w:val="17"/>
              </w:rPr>
              <w:t xml:space="preserve">Redefines </w:t>
            </w:r>
            <w:r>
              <w:rPr>
                <w:rFonts w:ascii="Menlo" w:hAnsi="Menlo"/>
                <w:color w:val="1A3E6E"/>
                <w:sz w:val="15"/>
              </w:rPr>
              <w:t>H_AGING_GTEX</w:t>
            </w:r>
          </w:p>
        </w:tc>
      </w:tr>
      <w:tr>
        <w:tc>
          <w:tcPr>
            <w:tcW w:type="dxa" w:w="1872"/>
          </w:tcPr>
          <w:p>
            <w:r/>
            <w:r>
              <w:rPr>
                <w:rFonts w:ascii="Menlo" w:hAnsi="Menlo"/>
                <w:color w:val="1A3E6E"/>
                <w:sz w:val="15"/>
              </w:rPr>
              <w:t>module4.gtex.old_age_brackets</w:t>
            </w:r>
          </w:p>
        </w:tc>
        <w:tc>
          <w:tcPr>
            <w:tcW w:type="dxa" w:w="1872"/>
          </w:tcPr>
          <w:p>
            <w:r/>
            <w:r>
              <w:rPr>
                <w:rFonts w:ascii="Menlo" w:hAnsi="Menlo"/>
                <w:color w:val="1A3E6E"/>
                <w:sz w:val="15"/>
              </w:rPr>
              <w:t>["60-69","70-79"]</w:t>
            </w:r>
          </w:p>
        </w:tc>
        <w:tc>
          <w:tcPr>
            <w:tcW w:type="dxa" w:w="1872"/>
          </w:tcPr>
          <w:p>
            <w:r/>
            <w:r>
              <w:rPr>
                <w:sz w:val="17"/>
              </w:rPr>
              <w:t>Old arm brackets</w:t>
            </w:r>
          </w:p>
        </w:tc>
        <w:tc>
          <w:tcPr>
            <w:tcW w:type="dxa" w:w="1872"/>
          </w:tcPr>
          <w:p>
            <w:r/>
            <w:r>
              <w:rPr>
                <w:sz w:val="17"/>
              </w:rPr>
              <w:t>Narrow/widen</w:t>
            </w:r>
          </w:p>
        </w:tc>
        <w:tc>
          <w:tcPr>
            <w:tcW w:type="dxa" w:w="1872"/>
          </w:tcPr>
          <w:p>
            <w:r/>
            <w:r>
              <w:rPr>
                <w:sz w:val="17"/>
              </w:rPr>
              <w:t>Same</w:t>
            </w:r>
          </w:p>
        </w:tc>
      </w:tr>
      <w:tr>
        <w:tc>
          <w:tcPr>
            <w:tcW w:type="dxa" w:w="1872"/>
          </w:tcPr>
          <w:p>
            <w:r/>
            <w:r>
              <w:rPr>
                <w:rFonts w:ascii="Menlo" w:hAnsi="Menlo"/>
                <w:color w:val="1A3E6E"/>
                <w:sz w:val="15"/>
              </w:rPr>
              <w:t>module4.gtex.one_sample_per_subject</w:t>
            </w:r>
          </w:p>
        </w:tc>
        <w:tc>
          <w:tcPr>
            <w:tcW w:type="dxa" w:w="1872"/>
          </w:tcPr>
          <w:p>
            <w:r/>
            <w:r>
              <w:rPr>
                <w:rFonts w:ascii="Menlo" w:hAnsi="Menlo"/>
                <w:color w:val="1A3E6E"/>
                <w:sz w:val="15"/>
              </w:rPr>
              <w:t>true</w:t>
            </w:r>
          </w:p>
        </w:tc>
        <w:tc>
          <w:tcPr>
            <w:tcW w:type="dxa" w:w="1872"/>
          </w:tcPr>
          <w:p>
            <w:r/>
            <w:r>
              <w:rPr>
                <w:sz w:val="17"/>
              </w:rPr>
              <w:t>One lung sample per subject</w:t>
            </w:r>
          </w:p>
        </w:tc>
        <w:tc>
          <w:tcPr>
            <w:tcW w:type="dxa" w:w="1872"/>
          </w:tcPr>
          <w:p>
            <w:r/>
            <w:r>
              <w:rPr>
                <w:sz w:val="17"/>
              </w:rPr>
              <w:t xml:space="preserve">Set </w:t>
            </w:r>
            <w:r>
              <w:rPr>
                <w:rFonts w:ascii="Menlo" w:hAnsi="Menlo"/>
                <w:color w:val="1A3E6E"/>
                <w:sz w:val="15"/>
              </w:rPr>
              <w:t>false</w:t>
            </w:r>
          </w:p>
        </w:tc>
        <w:tc>
          <w:tcPr>
            <w:tcW w:type="dxa" w:w="1872"/>
          </w:tcPr>
          <w:p>
            <w:r/>
            <w:r>
              <w:rPr>
                <w:sz w:val="17"/>
              </w:rPr>
              <w:t>Pseudo-replication</w:t>
            </w:r>
          </w:p>
        </w:tc>
      </w:tr>
      <w:tr>
        <w:tc>
          <w:tcPr>
            <w:tcW w:type="dxa" w:w="1872"/>
          </w:tcPr>
          <w:p>
            <w:r/>
            <w:r>
              <w:rPr>
                <w:rFonts w:ascii="Menlo" w:hAnsi="Menlo"/>
                <w:color w:val="1A3E6E"/>
                <w:sz w:val="15"/>
              </w:rPr>
              <w:t>module4.gtex.max_subjects_per_arm</w:t>
            </w:r>
          </w:p>
        </w:tc>
        <w:tc>
          <w:tcPr>
            <w:tcW w:type="dxa" w:w="1872"/>
          </w:tcPr>
          <w:p>
            <w:r/>
            <w:r>
              <w:rPr>
                <w:rFonts w:ascii="Menlo" w:hAnsi="Menlo"/>
                <w:color w:val="1A3E6E"/>
                <w:sz w:val="15"/>
              </w:rPr>
              <w:t>40</w:t>
            </w:r>
          </w:p>
        </w:tc>
        <w:tc>
          <w:tcPr>
            <w:tcW w:type="dxa" w:w="1872"/>
          </w:tcPr>
          <w:p>
            <w:r/>
            <w:r>
              <w:rPr>
                <w:sz w:val="17"/>
              </w:rPr>
              <w:t>Cap per arm for runtime</w:t>
            </w:r>
          </w:p>
        </w:tc>
        <w:tc>
          <w:tcPr>
            <w:tcW w:type="dxa" w:w="1872"/>
          </w:tcPr>
          <w:p>
            <w:r/>
            <w:r>
              <w:rPr>
                <w:sz w:val="17"/>
              </w:rPr>
              <w:t>Raise</w:t>
            </w:r>
          </w:p>
        </w:tc>
        <w:tc>
          <w:tcPr>
            <w:tcW w:type="dxa" w:w="1872"/>
          </w:tcPr>
          <w:p>
            <w:r/>
            <w:r>
              <w:rPr>
                <w:sz w:val="17"/>
              </w:rPr>
              <w:t>More power; longer DE</w:t>
            </w:r>
          </w:p>
        </w:tc>
      </w:tr>
      <w:tr>
        <w:tc>
          <w:tcPr>
            <w:tcW w:type="dxa" w:w="1872"/>
          </w:tcPr>
          <w:p>
            <w:r/>
            <w:r>
              <w:rPr>
                <w:rFonts w:ascii="Menlo" w:hAnsi="Menlo"/>
                <w:color w:val="1A3E6E"/>
                <w:sz w:val="15"/>
              </w:rPr>
              <w:t>module4.gtex.random_seed</w:t>
            </w:r>
          </w:p>
        </w:tc>
        <w:tc>
          <w:tcPr>
            <w:tcW w:type="dxa" w:w="1872"/>
          </w:tcPr>
          <w:p>
            <w:r/>
            <w:r>
              <w:rPr>
                <w:rFonts w:ascii="Menlo" w:hAnsi="Menlo"/>
                <w:color w:val="1A3E6E"/>
                <w:sz w:val="15"/>
              </w:rPr>
              <w:t>0</w:t>
            </w:r>
          </w:p>
        </w:tc>
        <w:tc>
          <w:tcPr>
            <w:tcW w:type="dxa" w:w="1872"/>
          </w:tcPr>
          <w:p>
            <w:r/>
            <w:r>
              <w:rPr>
                <w:sz w:val="17"/>
              </w:rPr>
              <w:t>Subject subsample seed</w:t>
            </w:r>
          </w:p>
        </w:tc>
        <w:tc>
          <w:tcPr>
            <w:tcW w:type="dxa" w:w="1872"/>
          </w:tcPr>
          <w:p>
            <w:r/>
            <w:r>
              <w:rPr>
                <w:sz w:val="17"/>
              </w:rPr>
              <w:t>Change</w:t>
            </w:r>
          </w:p>
        </w:tc>
        <w:tc>
          <w:tcPr>
            <w:tcW w:type="dxa" w:w="1872"/>
          </w:tcPr>
          <w:p>
            <w:r/>
            <w:r>
              <w:rPr>
                <w:sz w:val="17"/>
              </w:rPr>
              <w:t>Different GTEx draws</w:t>
            </w:r>
          </w:p>
        </w:tc>
      </w:tr>
      <w:tr>
        <w:tc>
          <w:tcPr>
            <w:tcW w:type="dxa" w:w="1872"/>
          </w:tcPr>
          <w:p>
            <w:r/>
            <w:r>
              <w:rPr>
                <w:rFonts w:ascii="Menlo" w:hAnsi="Menlo"/>
                <w:color w:val="1A3E6E"/>
                <w:sz w:val="15"/>
              </w:rPr>
              <w:t>module4.hubmap_aging.older_donors</w:t>
            </w:r>
          </w:p>
        </w:tc>
        <w:tc>
          <w:tcPr>
            <w:tcW w:type="dxa" w:w="1872"/>
          </w:tcPr>
          <w:p>
            <w:r/>
            <w:r>
              <w:rPr>
                <w:rFonts w:ascii="Menlo" w:hAnsi="Menlo"/>
                <w:color w:val="1A3E6E"/>
                <w:sz w:val="15"/>
              </w:rPr>
              <w:t>[Donor_3, Donor_4]</w:t>
            </w:r>
          </w:p>
        </w:tc>
        <w:tc>
          <w:tcPr>
            <w:tcW w:type="dxa" w:w="1872"/>
          </w:tcPr>
          <w:p>
            <w:r/>
            <w:r>
              <w:rPr>
                <w:sz w:val="17"/>
              </w:rPr>
              <w:t>Older illustration arm</w:t>
            </w:r>
          </w:p>
        </w:tc>
        <w:tc>
          <w:tcPr>
            <w:tcW w:type="dxa" w:w="1872"/>
          </w:tcPr>
          <w:p>
            <w:r/>
            <w:r>
              <w:rPr>
                <w:sz w:val="17"/>
              </w:rPr>
              <w:t>Swap donors</w:t>
            </w:r>
          </w:p>
        </w:tc>
        <w:tc>
          <w:tcPr>
            <w:tcW w:type="dxa" w:w="1872"/>
          </w:tcPr>
          <w:p>
            <w:r/>
            <w:r>
              <w:rPr>
                <w:sz w:val="17"/>
              </w:rPr>
              <w:t>Tiny-n DE identity changes</w:t>
            </w:r>
          </w:p>
        </w:tc>
      </w:tr>
      <w:tr>
        <w:tc>
          <w:tcPr>
            <w:tcW w:type="dxa" w:w="1872"/>
          </w:tcPr>
          <w:p>
            <w:r/>
            <w:r>
              <w:rPr>
                <w:rFonts w:ascii="Menlo" w:hAnsi="Menlo"/>
                <w:color w:val="1A3E6E"/>
                <w:sz w:val="15"/>
              </w:rPr>
              <w:t>module4.hubmap_aging.younger_donors</w:t>
            </w:r>
          </w:p>
        </w:tc>
        <w:tc>
          <w:tcPr>
            <w:tcW w:type="dxa" w:w="1872"/>
          </w:tcPr>
          <w:p>
            <w:r/>
            <w:r>
              <w:rPr>
                <w:rFonts w:ascii="Menlo" w:hAnsi="Menlo"/>
                <w:color w:val="1A3E6E"/>
                <w:sz w:val="15"/>
              </w:rPr>
              <w:t>[Donor_1, Donor_2]</w:t>
            </w:r>
          </w:p>
        </w:tc>
        <w:tc>
          <w:tcPr>
            <w:tcW w:type="dxa" w:w="1872"/>
          </w:tcPr>
          <w:p>
            <w:r/>
            <w:r>
              <w:rPr>
                <w:sz w:val="17"/>
              </w:rPr>
              <w:t>Younger illustration arm</w:t>
            </w:r>
          </w:p>
        </w:tc>
        <w:tc>
          <w:tcPr>
            <w:tcW w:type="dxa" w:w="1872"/>
          </w:tcPr>
          <w:p>
            <w:r/>
            <w:r>
              <w:rPr>
                <w:sz w:val="17"/>
              </w:rPr>
              <w:t>Swap donors</w:t>
            </w:r>
          </w:p>
        </w:tc>
        <w:tc>
          <w:tcPr>
            <w:tcW w:type="dxa" w:w="1872"/>
          </w:tcPr>
          <w:p>
            <w:r/>
            <w:r>
              <w:rPr>
                <w:sz w:val="17"/>
              </w:rPr>
              <w:t>Same</w:t>
            </w:r>
          </w:p>
        </w:tc>
      </w:tr>
      <w:tr>
        <w:tc>
          <w:tcPr>
            <w:tcW w:type="dxa" w:w="1872"/>
          </w:tcPr>
          <w:p>
            <w:r/>
            <w:r>
              <w:rPr>
                <w:rFonts w:ascii="Menlo" w:hAnsi="Menlo"/>
                <w:color w:val="1A3E6E"/>
                <w:sz w:val="15"/>
              </w:rPr>
              <w:t>module4.osd248.*</w:t>
            </w:r>
            <w:r>
              <w:rPr>
                <w:sz w:val="17"/>
              </w:rPr>
              <w:t xml:space="preserve"> sample filters</w:t>
            </w:r>
          </w:p>
        </w:tc>
        <w:tc>
          <w:tcPr>
            <w:tcW w:type="dxa" w:w="1872"/>
          </w:tcPr>
          <w:p>
            <w:r/>
            <w:r>
              <w:rPr>
                <w:sz w:val="17"/>
              </w:rPr>
              <w:t>ISS-T carcass ~60d; no LAR/baseline</w:t>
            </w:r>
          </w:p>
        </w:tc>
        <w:tc>
          <w:tcPr>
            <w:tcW w:type="dxa" w:w="1872"/>
          </w:tcPr>
          <w:p>
            <w:r/>
            <w:r>
              <w:rPr>
                <w:sz w:val="17"/>
              </w:rPr>
              <w:t>Flight cohort definition</w:t>
            </w:r>
          </w:p>
        </w:tc>
        <w:tc>
          <w:tcPr>
            <w:tcW w:type="dxa" w:w="1872"/>
          </w:tcPr>
          <w:p>
            <w:r/>
            <w:r>
              <w:rPr>
                <w:sz w:val="17"/>
              </w:rPr>
              <w:t>Loosen filters</w:t>
            </w:r>
          </w:p>
        </w:tc>
        <w:tc>
          <w:tcPr>
            <w:tcW w:type="dxa" w:w="1872"/>
          </w:tcPr>
          <w:p>
            <w:r/>
            <w:r>
              <w:rPr>
                <w:sz w:val="17"/>
              </w:rPr>
              <w:t xml:space="preserve">Different </w:t>
            </w:r>
            <w:r>
              <w:rPr>
                <w:rFonts w:ascii="Menlo" w:hAnsi="Menlo"/>
                <w:color w:val="1A3E6E"/>
                <w:sz w:val="15"/>
              </w:rPr>
              <w:t>M_FLIGHT</w:t>
            </w:r>
            <w:r>
              <w:rPr>
                <w:sz w:val="17"/>
              </w:rPr>
              <w:t xml:space="preserve"> n</w:t>
            </w:r>
          </w:p>
        </w:tc>
      </w:tr>
    </w:tbl>
    <w:p>
      <w:pPr>
        <w:pStyle w:val="Heading4"/>
      </w:pPr>
      <w:r>
        <w:rPr>
          <w:color w:val="1F4E79"/>
        </w:rPr>
        <w:t>2. Calibration of the flight contrast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r/>
            <w:r>
              <w:rPr>
                <w:b/>
                <w:sz w:val="17"/>
              </w:rPr>
              <w:t>Config key</w:t>
            </w:r>
          </w:p>
        </w:tc>
        <w:tc>
          <w:tcPr>
            <w:tcW w:type="dxa" w:w="1872"/>
            <w:shd w:val="clear" w:fill="DCE6F1"/>
          </w:tcPr>
          <w:p>
            <w:r/>
            <w:r>
              <w:rPr>
                <w:b/>
                <w:sz w:val="17"/>
              </w:rPr>
              <w:t>Default</w:t>
            </w:r>
          </w:p>
        </w:tc>
        <w:tc>
          <w:tcPr>
            <w:tcW w:type="dxa" w:w="1872"/>
            <w:shd w:val="clear" w:fill="DCE6F1"/>
          </w:tcPr>
          <w:p>
            <w:r/>
            <w:r>
              <w:rPr>
                <w:b/>
                <w:sz w:val="17"/>
              </w:rPr>
              <w:t>Definition</w:t>
            </w:r>
          </w:p>
        </w:tc>
        <w:tc>
          <w:tcPr>
            <w:tcW w:type="dxa" w:w="1872"/>
            <w:shd w:val="clear" w:fill="DCE6F1"/>
          </w:tcPr>
          <w:p>
            <w:r/>
            <w:r>
              <w:rPr>
                <w:b/>
                <w:sz w:val="17"/>
              </w:rPr>
              <w:t>If modified</w:t>
            </w:r>
          </w:p>
        </w:tc>
        <w:tc>
          <w:tcPr>
            <w:tcW w:type="dxa" w:w="1872"/>
            <w:shd w:val="clear" w:fill="DCE6F1"/>
          </w:tcPr>
          <w:p>
            <w:r/>
            <w:r>
              <w:rPr>
                <w:b/>
                <w:sz w:val="17"/>
              </w:rPr>
              <w:t>Impact on results</w:t>
            </w:r>
          </w:p>
        </w:tc>
      </w:tr>
      <w:tr>
        <w:tc>
          <w:tcPr>
            <w:tcW w:type="dxa" w:w="1872"/>
          </w:tcPr>
          <w:p>
            <w:r/>
            <w:r>
              <w:rPr>
                <w:rFonts w:ascii="Menlo" w:hAnsi="Menlo"/>
                <w:color w:val="1A3E6E"/>
                <w:sz w:val="15"/>
              </w:rPr>
              <w:t>module4.osd248.exclude_ercc_from_size_factors</w:t>
            </w:r>
          </w:p>
        </w:tc>
        <w:tc>
          <w:tcPr>
            <w:tcW w:type="dxa" w:w="1872"/>
          </w:tcPr>
          <w:p>
            <w:r/>
            <w:r>
              <w:rPr>
                <w:rFonts w:ascii="Menlo" w:hAnsi="Menlo"/>
                <w:color w:val="1A3E6E"/>
                <w:sz w:val="15"/>
              </w:rPr>
              <w:t>true</w:t>
            </w:r>
          </w:p>
        </w:tc>
        <w:tc>
          <w:tcPr>
            <w:tcW w:type="dxa" w:w="1872"/>
          </w:tcPr>
          <w:p>
            <w:r/>
            <w:r>
              <w:rPr>
                <w:sz w:val="17"/>
              </w:rPr>
              <w:t xml:space="preserve">Omit </w:t>
            </w:r>
            <w:r>
              <w:rPr>
                <w:rFonts w:ascii="Menlo" w:hAnsi="Menlo"/>
                <w:color w:val="1A3E6E"/>
                <w:sz w:val="15"/>
              </w:rPr>
              <w:t>ERCC-</w:t>
            </w:r>
            <w:r>
              <w:rPr>
                <w:sz w:val="17"/>
              </w:rPr>
              <w:t xml:space="preserve"> from size factors</w:t>
            </w:r>
          </w:p>
        </w:tc>
        <w:tc>
          <w:tcPr>
            <w:tcW w:type="dxa" w:w="1872"/>
          </w:tcPr>
          <w:p>
            <w:r/>
            <w:r>
              <w:rPr>
                <w:sz w:val="17"/>
              </w:rPr>
              <w:t xml:space="preserve">Set </w:t>
            </w:r>
            <w:r>
              <w:rPr>
                <w:rFonts w:ascii="Menlo" w:hAnsi="Menlo"/>
                <w:color w:val="1A3E6E"/>
                <w:sz w:val="15"/>
              </w:rPr>
              <w:t>false</w:t>
            </w:r>
          </w:p>
        </w:tc>
        <w:tc>
          <w:tcPr>
            <w:tcW w:type="dxa" w:w="1872"/>
          </w:tcPr>
          <w:p>
            <w:r/>
            <w:r>
              <w:rPr>
                <w:sz w:val="17"/>
              </w:rPr>
              <w:t>Spike-in mass confounds arm scaling</w:t>
            </w:r>
          </w:p>
        </w:tc>
      </w:tr>
      <w:tr>
        <w:tc>
          <w:tcPr>
            <w:tcW w:type="dxa" w:w="1872"/>
          </w:tcPr>
          <w:p>
            <w:r/>
            <w:r>
              <w:rPr>
                <w:rFonts w:ascii="Menlo" w:hAnsi="Menlo"/>
                <w:color w:val="1A3E6E"/>
                <w:sz w:val="15"/>
              </w:rPr>
              <w:t>module4.data.ercc_exfold_expected</w:t>
            </w:r>
          </w:p>
        </w:tc>
        <w:tc>
          <w:tcPr>
            <w:tcW w:type="dxa" w:w="1872"/>
          </w:tcPr>
          <w:p>
            <w:r/>
            <w:r>
              <w:rPr>
                <w:rFonts w:ascii="Menlo" w:hAnsi="Menlo"/>
                <w:color w:val="1A3E6E"/>
                <w:sz w:val="15"/>
              </w:rPr>
              <w:t>data/reference/ercc_exfold_expected_fc.txt</w:t>
            </w:r>
          </w:p>
        </w:tc>
        <w:tc>
          <w:tcPr>
            <w:tcW w:type="dxa" w:w="1872"/>
          </w:tcPr>
          <w:p>
            <w:r/>
            <w:r>
              <w:rPr>
                <w:sz w:val="17"/>
              </w:rPr>
              <w:t>Expected Mix1/Mix2 FC table</w:t>
            </w:r>
          </w:p>
        </w:tc>
        <w:tc>
          <w:tcPr>
            <w:tcW w:type="dxa" w:w="1872"/>
          </w:tcPr>
          <w:p>
            <w:r/>
            <w:r>
              <w:rPr>
                <w:sz w:val="17"/>
              </w:rPr>
              <w:t>Replace file</w:t>
            </w:r>
          </w:p>
        </w:tc>
        <w:tc>
          <w:tcPr>
            <w:tcW w:type="dxa" w:w="1872"/>
          </w:tcPr>
          <w:p>
            <w:r/>
            <w:r>
              <w:rPr>
                <w:sz w:val="17"/>
              </w:rPr>
              <w:t>Calibration slope/R2 change</w:t>
            </w:r>
          </w:p>
        </w:tc>
      </w:tr>
      <w:tr>
        <w:tc>
          <w:tcPr>
            <w:tcW w:type="dxa" w:w="1872"/>
          </w:tcPr>
          <w:p>
            <w:r/>
            <w:r>
              <w:rPr>
                <w:rFonts w:ascii="Menlo" w:hAnsi="Menlo"/>
                <w:color w:val="1A3E6E"/>
                <w:sz w:val="15"/>
              </w:rPr>
              <w:t>module4.data.osd248_genelab_isst_de_subset</w:t>
            </w:r>
          </w:p>
        </w:tc>
        <w:tc>
          <w:tcPr>
            <w:tcW w:type="dxa" w:w="1872"/>
          </w:tcPr>
          <w:p>
            <w:r/>
            <w:r>
              <w:rPr>
                <w:rFonts w:ascii="Menlo" w:hAnsi="Menlo"/>
                <w:color w:val="1A3E6E"/>
                <w:sz w:val="15"/>
              </w:rPr>
              <w:t>outputs/tables/module4_osd248_genelab_isst_de_subset.tsv</w:t>
            </w:r>
          </w:p>
        </w:tc>
        <w:tc>
          <w:tcPr>
            <w:tcW w:type="dxa" w:w="1872"/>
          </w:tcPr>
          <w:p>
            <w:r/>
            <w:r>
              <w:rPr>
                <w:sz w:val="17"/>
              </w:rPr>
              <w:t>Committed GeneLab subset</w:t>
            </w:r>
          </w:p>
        </w:tc>
        <w:tc>
          <w:tcPr>
            <w:tcW w:type="dxa" w:w="1872"/>
          </w:tcPr>
          <w:p>
            <w:r/>
            <w:r>
              <w:rPr>
                <w:sz w:val="17"/>
              </w:rPr>
              <w:t>Refresh subset</w:t>
            </w:r>
          </w:p>
        </w:tc>
        <w:tc>
          <w:tcPr>
            <w:tcW w:type="dxa" w:w="1872"/>
          </w:tcPr>
          <w:p>
            <w:r/>
            <w:r>
              <w:rPr>
                <w:sz w:val="17"/>
              </w:rPr>
              <w:t>Spearman vs GeneLab changes</w:t>
            </w:r>
          </w:p>
        </w:tc>
      </w:tr>
      <w:tr>
        <w:tc>
          <w:tcPr>
            <w:tcW w:type="dxa" w:w="1872"/>
          </w:tcPr>
          <w:p>
            <w:r/>
            <w:r>
              <w:rPr>
                <w:rFonts w:ascii="Menlo" w:hAnsi="Menlo"/>
                <w:color w:val="1A3E6E"/>
                <w:sz w:val="15"/>
              </w:rPr>
              <w:t>module4.thresholds.rin_sensitivity</w:t>
            </w:r>
          </w:p>
        </w:tc>
        <w:tc>
          <w:tcPr>
            <w:tcW w:type="dxa" w:w="1872"/>
          </w:tcPr>
          <w:p>
            <w:r/>
            <w:r>
              <w:rPr>
                <w:rFonts w:ascii="Menlo" w:hAnsi="Menlo"/>
                <w:color w:val="1A3E6E"/>
                <w:sz w:val="15"/>
              </w:rPr>
              <w:t>6.0</w:t>
            </w:r>
          </w:p>
        </w:tc>
        <w:tc>
          <w:tcPr>
            <w:tcW w:type="dxa" w:w="1872"/>
          </w:tcPr>
          <w:p>
            <w:r/>
            <w:r>
              <w:rPr>
                <w:sz w:val="17"/>
              </w:rPr>
              <w:t>QA/RIN threshold for sensitivity drop</w:t>
            </w:r>
          </w:p>
        </w:tc>
        <w:tc>
          <w:tcPr>
            <w:tcW w:type="dxa" w:w="1872"/>
          </w:tcPr>
          <w:p>
            <w:r/>
            <w:r>
              <w:rPr>
                <w:sz w:val="17"/>
              </w:rPr>
              <w:t>Change</w:t>
            </w:r>
          </w:p>
        </w:tc>
        <w:tc>
          <w:tcPr>
            <w:tcW w:type="dxa" w:w="1872"/>
          </w:tcPr>
          <w:p>
            <w:r/>
            <w:r>
              <w:rPr>
                <w:sz w:val="17"/>
              </w:rPr>
              <w:t>Optional filtered flight DE</w:t>
            </w:r>
          </w:p>
        </w:tc>
      </w:tr>
      <w:tr>
        <w:tc>
          <w:tcPr>
            <w:tcW w:type="dxa" w:w="1872"/>
          </w:tcPr>
          <w:p>
            <w:r/>
            <w:r>
              <w:rPr>
                <w:rFonts w:ascii="Menlo" w:hAnsi="Menlo"/>
                <w:color w:val="1A3E6E"/>
                <w:sz w:val="15"/>
              </w:rPr>
              <w:t>module4.osd248.rin_sensitivity_threshold</w:t>
            </w:r>
          </w:p>
        </w:tc>
        <w:tc>
          <w:tcPr>
            <w:tcW w:type="dxa" w:w="1872"/>
          </w:tcPr>
          <w:p>
            <w:r/>
            <w:r>
              <w:rPr>
                <w:rFonts w:ascii="Menlo" w:hAnsi="Menlo"/>
                <w:color w:val="1A3E6E"/>
                <w:sz w:val="15"/>
              </w:rPr>
              <w:t>6.0</w:t>
            </w:r>
          </w:p>
        </w:tc>
        <w:tc>
          <w:tcPr>
            <w:tcW w:type="dxa" w:w="1872"/>
          </w:tcPr>
          <w:p>
            <w:r/>
            <w:r>
              <w:rPr>
                <w:sz w:val="17"/>
              </w:rPr>
              <w:t>Same threshold under osd248 block</w:t>
            </w:r>
          </w:p>
        </w:tc>
        <w:tc>
          <w:tcPr>
            <w:tcW w:type="dxa" w:w="1872"/>
          </w:tcPr>
          <w:p>
            <w:r/>
            <w:r>
              <w:rPr>
                <w:sz w:val="17"/>
              </w:rPr>
              <w:t>Change</w:t>
            </w:r>
          </w:p>
        </w:tc>
        <w:tc>
          <w:tcPr>
            <w:tcW w:type="dxa" w:w="1872"/>
          </w:tcPr>
          <w:p>
            <w:r/>
            <w:r>
              <w:rPr>
                <w:sz w:val="17"/>
              </w:rPr>
              <w:t>Same</w:t>
            </w:r>
          </w:p>
        </w:tc>
      </w:tr>
    </w:tbl>
    <w:p>
      <w:pPr>
        <w:pStyle w:val="Heading4"/>
      </w:pPr>
      <w:r>
        <w:rPr>
          <w:color w:val="1F4E79"/>
        </w:rPr>
        <w:t>3. Ortholog mapping (mouse to human)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r/>
            <w:r>
              <w:rPr>
                <w:b/>
                <w:sz w:val="17"/>
              </w:rPr>
              <w:t>Config key</w:t>
            </w:r>
          </w:p>
        </w:tc>
        <w:tc>
          <w:tcPr>
            <w:tcW w:type="dxa" w:w="1872"/>
            <w:shd w:val="clear" w:fill="DCE6F1"/>
          </w:tcPr>
          <w:p>
            <w:r/>
            <w:r>
              <w:rPr>
                <w:b/>
                <w:sz w:val="17"/>
              </w:rPr>
              <w:t>Default</w:t>
            </w:r>
          </w:p>
        </w:tc>
        <w:tc>
          <w:tcPr>
            <w:tcW w:type="dxa" w:w="1872"/>
            <w:shd w:val="clear" w:fill="DCE6F1"/>
          </w:tcPr>
          <w:p>
            <w:r/>
            <w:r>
              <w:rPr>
                <w:b/>
                <w:sz w:val="17"/>
              </w:rPr>
              <w:t>Definition</w:t>
            </w:r>
          </w:p>
        </w:tc>
        <w:tc>
          <w:tcPr>
            <w:tcW w:type="dxa" w:w="1872"/>
            <w:shd w:val="clear" w:fill="DCE6F1"/>
          </w:tcPr>
          <w:p>
            <w:r/>
            <w:r>
              <w:rPr>
                <w:b/>
                <w:sz w:val="17"/>
              </w:rPr>
              <w:t>If modified</w:t>
            </w:r>
          </w:p>
        </w:tc>
        <w:tc>
          <w:tcPr>
            <w:tcW w:type="dxa" w:w="1872"/>
            <w:shd w:val="clear" w:fill="DCE6F1"/>
          </w:tcPr>
          <w:p>
            <w:r/>
            <w:r>
              <w:rPr>
                <w:b/>
                <w:sz w:val="17"/>
              </w:rPr>
              <w:t>Impact on results</w:t>
            </w:r>
          </w:p>
        </w:tc>
      </w:tr>
      <w:tr>
        <w:tc>
          <w:tcPr>
            <w:tcW w:type="dxa" w:w="1872"/>
          </w:tcPr>
          <w:p>
            <w:r/>
            <w:r>
              <w:rPr>
                <w:rFonts w:ascii="Menlo" w:hAnsi="Menlo"/>
                <w:color w:val="1A3E6E"/>
                <w:sz w:val="15"/>
              </w:rPr>
              <w:t>module4.data.orthologs</w:t>
            </w:r>
          </w:p>
        </w:tc>
        <w:tc>
          <w:tcPr>
            <w:tcW w:type="dxa" w:w="1872"/>
          </w:tcPr>
          <w:p>
            <w:r/>
            <w:r>
              <w:rPr>
                <w:rFonts w:ascii="Menlo" w:hAnsi="Menlo"/>
                <w:color w:val="1A3E6E"/>
                <w:sz w:val="15"/>
              </w:rPr>
              <w:t>data/reference/human_mouse_orthologs_one2one.tsv</w:t>
            </w:r>
          </w:p>
        </w:tc>
        <w:tc>
          <w:tcPr>
            <w:tcW w:type="dxa" w:w="1872"/>
          </w:tcPr>
          <w:p>
            <w:r/>
            <w:r>
              <w:rPr>
                <w:sz w:val="17"/>
              </w:rPr>
              <w:t>One2one table path</w:t>
            </w:r>
          </w:p>
        </w:tc>
        <w:tc>
          <w:tcPr>
            <w:tcW w:type="dxa" w:w="1872"/>
          </w:tcPr>
          <w:p>
            <w:r/>
            <w:r>
              <w:rPr>
                <w:sz w:val="17"/>
              </w:rPr>
              <w:t>Replace table</w:t>
            </w:r>
          </w:p>
        </w:tc>
        <w:tc>
          <w:tcPr>
            <w:tcW w:type="dxa" w:w="1872"/>
          </w:tcPr>
          <w:p>
            <w:r/>
            <w:r>
              <w:rPr>
                <w:sz w:val="17"/>
              </w:rPr>
              <w:t>Loss rates and mapped DE change</w:t>
            </w:r>
          </w:p>
        </w:tc>
      </w:tr>
      <w:tr>
        <w:tc>
          <w:tcPr>
            <w:tcW w:type="dxa" w:w="1872"/>
          </w:tcPr>
          <w:p>
            <w:r/>
            <w:r>
              <w:rPr>
                <w:rFonts w:ascii="Menlo" w:hAnsi="Menlo"/>
                <w:color w:val="1A3E6E"/>
                <w:sz w:val="15"/>
              </w:rPr>
              <w:t>module4.orthologs_meta.orthology_type</w:t>
            </w:r>
          </w:p>
        </w:tc>
        <w:tc>
          <w:tcPr>
            <w:tcW w:type="dxa" w:w="1872"/>
          </w:tcPr>
          <w:p>
            <w:r/>
            <w:r>
              <w:rPr>
                <w:rFonts w:ascii="Menlo" w:hAnsi="Menlo"/>
                <w:color w:val="1A3E6E"/>
                <w:sz w:val="15"/>
              </w:rPr>
              <w:t>ortholog_one2one</w:t>
            </w:r>
          </w:p>
        </w:tc>
        <w:tc>
          <w:tcPr>
            <w:tcW w:type="dxa" w:w="1872"/>
          </w:tcPr>
          <w:p>
            <w:r/>
            <w:r>
              <w:rPr>
                <w:sz w:val="17"/>
              </w:rPr>
              <w:t>Declared mapping class</w:t>
            </w:r>
          </w:p>
        </w:tc>
        <w:tc>
          <w:tcPr>
            <w:tcW w:type="dxa" w:w="1872"/>
          </w:tcPr>
          <w:p>
            <w:r/>
            <w:r>
              <w:rPr>
                <w:sz w:val="17"/>
              </w:rPr>
              <w:t>Use many2many</w:t>
            </w:r>
          </w:p>
        </w:tc>
        <w:tc>
          <w:tcPr>
            <w:tcW w:type="dxa" w:w="1872"/>
          </w:tcPr>
          <w:p>
            <w:r/>
            <w:r>
              <w:rPr>
                <w:sz w:val="17"/>
              </w:rPr>
              <w:t>Double-counting risk (not teaching default)</w:t>
            </w:r>
          </w:p>
        </w:tc>
      </w:tr>
      <w:tr>
        <w:tc>
          <w:tcPr>
            <w:tcW w:type="dxa" w:w="1872"/>
          </w:tcPr>
          <w:p>
            <w:r/>
            <w:r>
              <w:rPr>
                <w:rFonts w:ascii="Menlo" w:hAnsi="Menlo"/>
                <w:color w:val="1A3E6E"/>
                <w:sz w:val="15"/>
              </w:rPr>
              <w:t>module4.orthologs_meta.download_date</w:t>
            </w:r>
          </w:p>
        </w:tc>
        <w:tc>
          <w:tcPr>
            <w:tcW w:type="dxa" w:w="1872"/>
          </w:tcPr>
          <w:p>
            <w:r/>
            <w:r>
              <w:rPr>
                <w:rFonts w:ascii="Menlo" w:hAnsi="Menlo"/>
                <w:color w:val="1A3E6E"/>
                <w:sz w:val="15"/>
              </w:rPr>
              <w:t>2026-08-10</w:t>
            </w:r>
          </w:p>
        </w:tc>
        <w:tc>
          <w:tcPr>
            <w:tcW w:type="dxa" w:w="1872"/>
          </w:tcPr>
          <w:p>
            <w:r/>
            <w:r>
              <w:rPr>
                <w:sz w:val="17"/>
              </w:rPr>
              <w:t>Provenance stamp</w:t>
            </w:r>
          </w:p>
        </w:tc>
        <w:tc>
          <w:tcPr>
            <w:tcW w:type="dxa" w:w="1872"/>
          </w:tcPr>
          <w:p>
            <w:r/>
            <w:r>
              <w:rPr>
                <w:sz w:val="17"/>
              </w:rPr>
              <w:t>Refresh table</w:t>
            </w:r>
          </w:p>
        </w:tc>
        <w:tc>
          <w:tcPr>
            <w:tcW w:type="dxa" w:w="1872"/>
          </w:tcPr>
          <w:p>
            <w:r/>
            <w:r>
              <w:rPr>
                <w:sz w:val="17"/>
              </w:rPr>
              <w:t>Should match file bytes</w:t>
            </w:r>
          </w:p>
        </w:tc>
      </w:tr>
    </w:tbl>
    <w:p>
      <w:pPr>
        <w:pStyle w:val="Heading4"/>
      </w:pPr>
      <w:r>
        <w:rPr>
          <w:color w:val="1F4E79"/>
        </w:rPr>
        <w:t>4. HuBMAP-GTEx level bridge (demonstration only)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r/>
            <w:r>
              <w:rPr>
                <w:b/>
                <w:sz w:val="17"/>
              </w:rPr>
              <w:t>Config key</w:t>
            </w:r>
          </w:p>
        </w:tc>
        <w:tc>
          <w:tcPr>
            <w:tcW w:type="dxa" w:w="1872"/>
            <w:shd w:val="clear" w:fill="DCE6F1"/>
          </w:tcPr>
          <w:p>
            <w:r/>
            <w:r>
              <w:rPr>
                <w:b/>
                <w:sz w:val="17"/>
              </w:rPr>
              <w:t>Default</w:t>
            </w:r>
          </w:p>
        </w:tc>
        <w:tc>
          <w:tcPr>
            <w:tcW w:type="dxa" w:w="1872"/>
            <w:shd w:val="clear" w:fill="DCE6F1"/>
          </w:tcPr>
          <w:p>
            <w:r/>
            <w:r>
              <w:rPr>
                <w:b/>
                <w:sz w:val="17"/>
              </w:rPr>
              <w:t>Definition</w:t>
            </w:r>
          </w:p>
        </w:tc>
        <w:tc>
          <w:tcPr>
            <w:tcW w:type="dxa" w:w="1872"/>
            <w:shd w:val="clear" w:fill="DCE6F1"/>
          </w:tcPr>
          <w:p>
            <w:r/>
            <w:r>
              <w:rPr>
                <w:b/>
                <w:sz w:val="17"/>
              </w:rPr>
              <w:t>If modified</w:t>
            </w:r>
          </w:p>
        </w:tc>
        <w:tc>
          <w:tcPr>
            <w:tcW w:type="dxa" w:w="1872"/>
            <w:shd w:val="clear" w:fill="DCE6F1"/>
          </w:tcPr>
          <w:p>
            <w:r/>
            <w:r>
              <w:rPr>
                <w:b/>
                <w:sz w:val="17"/>
              </w:rPr>
              <w:t>Impact on results</w:t>
            </w:r>
          </w:p>
        </w:tc>
      </w:tr>
      <w:tr>
        <w:tc>
          <w:tcPr>
            <w:tcW w:type="dxa" w:w="1872"/>
          </w:tcPr>
          <w:p>
            <w:r/>
            <w:r>
              <w:rPr>
                <w:rFonts w:ascii="Menlo" w:hAnsi="Menlo"/>
                <w:color w:val="1A3E6E"/>
                <w:sz w:val="15"/>
              </w:rPr>
              <w:t>module4.data.hubmap_pseudobulk</w:t>
            </w:r>
          </w:p>
        </w:tc>
        <w:tc>
          <w:tcPr>
            <w:tcW w:type="dxa" w:w="1872"/>
          </w:tcPr>
          <w:p>
            <w:r/>
            <w:r>
              <w:rPr>
                <w:rFonts w:ascii="Menlo" w:hAnsi="Menlo"/>
                <w:color w:val="1A3E6E"/>
                <w:sz w:val="15"/>
              </w:rPr>
              <w:t>outputs/tables/module2_composition_weighted_pseudobulk.tsv</w:t>
            </w:r>
          </w:p>
        </w:tc>
        <w:tc>
          <w:tcPr>
            <w:tcW w:type="dxa" w:w="1872"/>
          </w:tcPr>
          <w:p>
            <w:r/>
            <w:r>
              <w:rPr>
                <w:sz w:val="17"/>
              </w:rPr>
              <w:t>Composition-weighted vector</w:t>
            </w:r>
          </w:p>
        </w:tc>
        <w:tc>
          <w:tcPr>
            <w:tcW w:type="dxa" w:w="1872"/>
          </w:tcPr>
          <w:p>
            <w:r/>
            <w:r>
              <w:rPr>
                <w:sz w:val="17"/>
              </w:rPr>
              <w:t>Rebuild Module 2</w:t>
            </w:r>
          </w:p>
        </w:tc>
        <w:tc>
          <w:tcPr>
            <w:tcW w:type="dxa" w:w="1872"/>
          </w:tcPr>
          <w:p>
            <w:r/>
            <w:r>
              <w:rPr>
                <w:sz w:val="17"/>
              </w:rPr>
              <w:t>Bridge scatter changes</w:t>
            </w:r>
          </w:p>
        </w:tc>
      </w:tr>
      <w:tr>
        <w:tc>
          <w:tcPr>
            <w:tcW w:type="dxa" w:w="1872"/>
          </w:tcPr>
          <w:p>
            <w:r/>
            <w:r>
              <w:rPr>
                <w:rFonts w:ascii="Menlo" w:hAnsi="Menlo"/>
                <w:color w:val="1A3E6E"/>
                <w:sz w:val="15"/>
              </w:rPr>
              <w:t>module4.data.hubmap_max_across</w:t>
            </w:r>
          </w:p>
        </w:tc>
        <w:tc>
          <w:tcPr>
            <w:tcW w:type="dxa" w:w="1872"/>
          </w:tcPr>
          <w:p>
            <w:r/>
            <w:r>
              <w:rPr>
                <w:rFonts w:ascii="Menlo" w:hAnsi="Menlo"/>
                <w:color w:val="1A3E6E"/>
                <w:sz w:val="15"/>
              </w:rPr>
              <w:t>outputs/tables/module2_max_across_labels_pseudobulk.tsv</w:t>
            </w:r>
          </w:p>
        </w:tc>
        <w:tc>
          <w:tcPr>
            <w:tcW w:type="dxa" w:w="1872"/>
          </w:tcPr>
          <w:p>
            <w:r/>
            <w:r>
              <w:rPr>
                <w:sz w:val="17"/>
              </w:rPr>
              <w:t>Max-across vector</w:t>
            </w:r>
          </w:p>
        </w:tc>
        <w:tc>
          <w:tcPr>
            <w:tcW w:type="dxa" w:w="1872"/>
          </w:tcPr>
          <w:p>
            <w:r/>
            <w:r>
              <w:rPr>
                <w:sz w:val="17"/>
              </w:rPr>
              <w:t>Rebuild Module 2</w:t>
            </w:r>
          </w:p>
        </w:tc>
        <w:tc>
          <w:tcPr>
            <w:tcW w:type="dxa" w:w="1872"/>
          </w:tcPr>
          <w:p>
            <w:r/>
            <w:r>
              <w:rPr>
                <w:sz w:val="17"/>
              </w:rPr>
              <w:t>Same</w:t>
            </w:r>
          </w:p>
        </w:tc>
      </w:tr>
      <w:tr>
        <w:tc>
          <w:tcPr>
            <w:tcW w:type="dxa" w:w="1872"/>
          </w:tcPr>
          <w:p>
            <w:r/>
            <w:r>
              <w:rPr>
                <w:rFonts w:ascii="Menlo" w:hAnsi="Menlo"/>
                <w:color w:val="1A3E6E"/>
                <w:sz w:val="15"/>
              </w:rPr>
              <w:t>module4.data.gtex_tpm</w:t>
            </w:r>
          </w:p>
        </w:tc>
        <w:tc>
          <w:tcPr>
            <w:tcW w:type="dxa" w:w="1872"/>
          </w:tcPr>
          <w:p>
            <w:r/>
            <w:r>
              <w:rPr>
                <w:rFonts w:ascii="Menlo" w:hAnsi="Menlo"/>
                <w:color w:val="1A3E6E"/>
                <w:sz w:val="15"/>
              </w:rPr>
              <w:t>data/source/GTEX/gene_tpm_v10_lung.gct.gz</w:t>
            </w:r>
          </w:p>
        </w:tc>
        <w:tc>
          <w:tcPr>
            <w:tcW w:type="dxa" w:w="1872"/>
          </w:tcPr>
          <w:p>
            <w:r/>
            <w:r>
              <w:rPr>
                <w:sz w:val="17"/>
              </w:rPr>
              <w:t>GTEx TPM for means</w:t>
            </w:r>
          </w:p>
        </w:tc>
        <w:tc>
          <w:tcPr>
            <w:tcW w:type="dxa" w:w="1872"/>
          </w:tcPr>
          <w:p>
            <w:r/>
            <w:r>
              <w:rPr>
                <w:sz w:val="17"/>
              </w:rPr>
              <w:t>Replace release</w:t>
            </w:r>
          </w:p>
        </w:tc>
        <w:tc>
          <w:tcPr>
            <w:tcW w:type="dxa" w:w="1872"/>
          </w:tcPr>
          <w:p>
            <w:r/>
            <w:r>
              <w:rPr>
                <w:sz w:val="17"/>
              </w:rPr>
              <w:t>Bridge y-axis changes</w:t>
            </w:r>
          </w:p>
        </w:tc>
      </w:tr>
    </w:tbl>
    <w:p>
      <w:pPr>
        <w:pStyle w:val="Heading4"/>
      </w:pPr>
      <w:r>
        <w:rPr>
          <w:color w:val="1F4E79"/>
        </w:rPr>
        <w:t>5. Pathway NES and configured pairs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r/>
            <w:r>
              <w:rPr>
                <w:b/>
                <w:sz w:val="17"/>
              </w:rPr>
              <w:t>Config key</w:t>
            </w:r>
          </w:p>
        </w:tc>
        <w:tc>
          <w:tcPr>
            <w:tcW w:type="dxa" w:w="1872"/>
            <w:shd w:val="clear" w:fill="DCE6F1"/>
          </w:tcPr>
          <w:p>
            <w:r/>
            <w:r>
              <w:rPr>
                <w:b/>
                <w:sz w:val="17"/>
              </w:rPr>
              <w:t>Default</w:t>
            </w:r>
          </w:p>
        </w:tc>
        <w:tc>
          <w:tcPr>
            <w:tcW w:type="dxa" w:w="1872"/>
            <w:shd w:val="clear" w:fill="DCE6F1"/>
          </w:tcPr>
          <w:p>
            <w:r/>
            <w:r>
              <w:rPr>
                <w:b/>
                <w:sz w:val="17"/>
              </w:rPr>
              <w:t>Definition</w:t>
            </w:r>
          </w:p>
        </w:tc>
        <w:tc>
          <w:tcPr>
            <w:tcW w:type="dxa" w:w="1872"/>
            <w:shd w:val="clear" w:fill="DCE6F1"/>
          </w:tcPr>
          <w:p>
            <w:r/>
            <w:r>
              <w:rPr>
                <w:b/>
                <w:sz w:val="17"/>
              </w:rPr>
              <w:t>If modified</w:t>
            </w:r>
          </w:p>
        </w:tc>
        <w:tc>
          <w:tcPr>
            <w:tcW w:type="dxa" w:w="1872"/>
            <w:shd w:val="clear" w:fill="DCE6F1"/>
          </w:tcPr>
          <w:p>
            <w:r/>
            <w:r>
              <w:rPr>
                <w:b/>
                <w:sz w:val="17"/>
              </w:rPr>
              <w:t>Impact on results</w:t>
            </w:r>
          </w:p>
        </w:tc>
      </w:tr>
      <w:tr>
        <w:tc>
          <w:tcPr>
            <w:tcW w:type="dxa" w:w="1872"/>
          </w:tcPr>
          <w:p>
            <w:r/>
            <w:r>
              <w:rPr>
                <w:rFonts w:ascii="Menlo" w:hAnsi="Menlo"/>
                <w:color w:val="1A3E6E"/>
                <w:sz w:val="15"/>
              </w:rPr>
              <w:t>module4.enrichment.prerank.min_size</w:t>
            </w:r>
          </w:p>
        </w:tc>
        <w:tc>
          <w:tcPr>
            <w:tcW w:type="dxa" w:w="1872"/>
          </w:tcPr>
          <w:p>
            <w:r/>
            <w:r>
              <w:rPr>
                <w:rFonts w:ascii="Menlo" w:hAnsi="Menlo"/>
                <w:color w:val="1A3E6E"/>
                <w:sz w:val="15"/>
              </w:rPr>
              <w:t>15</w:t>
            </w:r>
          </w:p>
        </w:tc>
        <w:tc>
          <w:tcPr>
            <w:tcW w:type="dxa" w:w="1872"/>
          </w:tcPr>
          <w:p>
            <w:r/>
            <w:r>
              <w:rPr>
                <w:sz w:val="17"/>
              </w:rPr>
              <w:t>Min overlapping genes</w:t>
            </w:r>
          </w:p>
        </w:tc>
        <w:tc>
          <w:tcPr>
            <w:tcW w:type="dxa" w:w="1872"/>
          </w:tcPr>
          <w:p>
            <w:r/>
            <w:r>
              <w:rPr>
                <w:sz w:val="17"/>
              </w:rPr>
              <w:t>Raise</w:t>
            </w:r>
          </w:p>
        </w:tc>
        <w:tc>
          <w:tcPr>
            <w:tcW w:type="dxa" w:w="1872"/>
          </w:tcPr>
          <w:p>
            <w:r/>
            <w:r>
              <w:rPr>
                <w:sz w:val="17"/>
              </w:rPr>
              <w:t>Drops small sets</w:t>
            </w:r>
          </w:p>
        </w:tc>
      </w:tr>
      <w:tr>
        <w:tc>
          <w:tcPr>
            <w:tcW w:type="dxa" w:w="1872"/>
          </w:tcPr>
          <w:p>
            <w:r/>
            <w:r>
              <w:rPr>
                <w:rFonts w:ascii="Menlo" w:hAnsi="Menlo"/>
                <w:color w:val="1A3E6E"/>
                <w:sz w:val="15"/>
              </w:rPr>
              <w:t>module4.enrichment.prerank.max_size</w:t>
            </w:r>
          </w:p>
        </w:tc>
        <w:tc>
          <w:tcPr>
            <w:tcW w:type="dxa" w:w="1872"/>
          </w:tcPr>
          <w:p>
            <w:r/>
            <w:r>
              <w:rPr>
                <w:rFonts w:ascii="Menlo" w:hAnsi="Menlo"/>
                <w:color w:val="1A3E6E"/>
                <w:sz w:val="15"/>
              </w:rPr>
              <w:t>500</w:t>
            </w:r>
          </w:p>
        </w:tc>
        <w:tc>
          <w:tcPr>
            <w:tcW w:type="dxa" w:w="1872"/>
          </w:tcPr>
          <w:p>
            <w:r/>
            <w:r>
              <w:rPr>
                <w:sz w:val="17"/>
              </w:rPr>
              <w:t>Max set size</w:t>
            </w:r>
          </w:p>
        </w:tc>
        <w:tc>
          <w:tcPr>
            <w:tcW w:type="dxa" w:w="1872"/>
          </w:tcPr>
          <w:p>
            <w:r/>
            <w:r>
              <w:rPr>
                <w:sz w:val="17"/>
              </w:rPr>
              <w:t>Lower</w:t>
            </w:r>
          </w:p>
        </w:tc>
        <w:tc>
          <w:tcPr>
            <w:tcW w:type="dxa" w:w="1872"/>
          </w:tcPr>
          <w:p>
            <w:r/>
            <w:r>
              <w:rPr>
                <w:sz w:val="17"/>
              </w:rPr>
              <w:t>Drops large sets</w:t>
            </w:r>
          </w:p>
        </w:tc>
      </w:tr>
      <w:tr>
        <w:tc>
          <w:tcPr>
            <w:tcW w:type="dxa" w:w="1872"/>
          </w:tcPr>
          <w:p>
            <w:r/>
            <w:r>
              <w:rPr>
                <w:rFonts w:ascii="Menlo" w:hAnsi="Menlo"/>
                <w:color w:val="1A3E6E"/>
                <w:sz w:val="15"/>
              </w:rPr>
              <w:t>module4.enrichment.prerank.permutation_num</w:t>
            </w:r>
          </w:p>
        </w:tc>
        <w:tc>
          <w:tcPr>
            <w:tcW w:type="dxa" w:w="1872"/>
          </w:tcPr>
          <w:p>
            <w:r/>
            <w:r>
              <w:rPr>
                <w:rFonts w:ascii="Menlo" w:hAnsi="Menlo"/>
                <w:color w:val="1A3E6E"/>
                <w:sz w:val="15"/>
              </w:rPr>
              <w:t>100</w:t>
            </w:r>
          </w:p>
        </w:tc>
        <w:tc>
          <w:tcPr>
            <w:tcW w:type="dxa" w:w="1872"/>
          </w:tcPr>
          <w:p>
            <w:r/>
            <w:r>
              <w:rPr>
                <w:sz w:val="17"/>
              </w:rPr>
              <w:t>GSEA permutations</w:t>
            </w:r>
          </w:p>
        </w:tc>
        <w:tc>
          <w:tcPr>
            <w:tcW w:type="dxa" w:w="1872"/>
          </w:tcPr>
          <w:p>
            <w:r/>
            <w:r>
              <w:rPr>
                <w:sz w:val="17"/>
              </w:rPr>
              <w:t>Raise</w:t>
            </w:r>
          </w:p>
        </w:tc>
        <w:tc>
          <w:tcPr>
            <w:tcW w:type="dxa" w:w="1872"/>
          </w:tcPr>
          <w:p>
            <w:r/>
            <w:r>
              <w:rPr>
                <w:sz w:val="17"/>
              </w:rPr>
              <w:t>Stabler FDR; slower</w:t>
            </w:r>
          </w:p>
        </w:tc>
      </w:tr>
      <w:tr>
        <w:tc>
          <w:tcPr>
            <w:tcW w:type="dxa" w:w="1872"/>
          </w:tcPr>
          <w:p>
            <w:r/>
            <w:r>
              <w:rPr>
                <w:rFonts w:ascii="Menlo" w:hAnsi="Menlo"/>
                <w:color w:val="1A3E6E"/>
                <w:sz w:val="15"/>
              </w:rPr>
              <w:t>module4.enrichment.comparison_gene_sets</w:t>
            </w:r>
          </w:p>
        </w:tc>
        <w:tc>
          <w:tcPr>
            <w:tcW w:type="dxa" w:w="1872"/>
          </w:tcPr>
          <w:p>
            <w:r/>
            <w:r>
              <w:rPr>
                <w:sz w:val="17"/>
              </w:rPr>
              <w:t>Hallmark, Reactome</w:t>
            </w:r>
          </w:p>
        </w:tc>
        <w:tc>
          <w:tcPr>
            <w:tcW w:type="dxa" w:w="1872"/>
          </w:tcPr>
          <w:p>
            <w:r/>
            <w:r>
              <w:rPr>
                <w:sz w:val="17"/>
              </w:rPr>
              <w:t>Headline NES libraries</w:t>
            </w:r>
          </w:p>
        </w:tc>
        <w:tc>
          <w:tcPr>
            <w:tcW w:type="dxa" w:w="1872"/>
          </w:tcPr>
          <w:p>
            <w:r/>
            <w:r>
              <w:rPr>
                <w:sz w:val="17"/>
              </w:rPr>
              <w:t>Add GO BP</w:t>
            </w:r>
          </w:p>
        </w:tc>
        <w:tc>
          <w:tcPr>
            <w:tcW w:type="dxa" w:w="1872"/>
          </w:tcPr>
          <w:p>
            <w:r/>
            <w:r>
              <w:rPr>
                <w:sz w:val="17"/>
              </w:rPr>
              <w:t>Changes shared-term universe</w:t>
            </w:r>
          </w:p>
        </w:tc>
      </w:tr>
      <w:tr>
        <w:tc>
          <w:tcPr>
            <w:tcW w:type="dxa" w:w="1872"/>
          </w:tcPr>
          <w:p>
            <w:r/>
            <w:r>
              <w:rPr>
                <w:rFonts w:ascii="Menlo" w:hAnsi="Menlo"/>
                <w:color w:val="1A3E6E"/>
                <w:sz w:val="15"/>
              </w:rPr>
              <w:t>module4.enrichment.sensitivity_gene_sets</w:t>
            </w:r>
          </w:p>
        </w:tc>
        <w:tc>
          <w:tcPr>
            <w:tcW w:type="dxa" w:w="1872"/>
          </w:tcPr>
          <w:p>
            <w:r/>
            <w:r>
              <w:rPr>
                <w:sz w:val="17"/>
              </w:rPr>
              <w:t>Hallmark, Reactome, GO BP</w:t>
            </w:r>
          </w:p>
        </w:tc>
        <w:tc>
          <w:tcPr>
            <w:tcW w:type="dxa" w:w="1872"/>
          </w:tcPr>
          <w:p>
            <w:r/>
            <w:r>
              <w:rPr>
                <w:sz w:val="17"/>
              </w:rPr>
              <w:t>Sensitivity-only libraries</w:t>
            </w:r>
          </w:p>
        </w:tc>
        <w:tc>
          <w:tcPr>
            <w:tcW w:type="dxa" w:w="1872"/>
          </w:tcPr>
          <w:p>
            <w:r/>
            <w:r>
              <w:rPr>
                <w:sz w:val="17"/>
              </w:rPr>
              <w:t>Edit</w:t>
            </w:r>
          </w:p>
        </w:tc>
        <w:tc>
          <w:tcPr>
            <w:tcW w:type="dxa" w:w="1872"/>
          </w:tcPr>
          <w:p>
            <w:r/>
            <w:r>
              <w:rPr>
                <w:sz w:val="17"/>
              </w:rPr>
              <w:t>Sensitivity table only</w:t>
            </w:r>
          </w:p>
        </w:tc>
      </w:tr>
      <w:tr>
        <w:tc>
          <w:tcPr>
            <w:tcW w:type="dxa" w:w="1872"/>
          </w:tcPr>
          <w:p>
            <w:r/>
            <w:r>
              <w:rPr>
                <w:rFonts w:ascii="Menlo" w:hAnsi="Menlo"/>
                <w:color w:val="1A3E6E"/>
                <w:sz w:val="15"/>
              </w:rPr>
              <w:t>module4.sensitivity.enabled</w:t>
            </w:r>
          </w:p>
        </w:tc>
        <w:tc>
          <w:tcPr>
            <w:tcW w:type="dxa" w:w="1872"/>
          </w:tcPr>
          <w:p>
            <w:r/>
            <w:r>
              <w:rPr>
                <w:rFonts w:ascii="Menlo" w:hAnsi="Menlo"/>
                <w:color w:val="1A3E6E"/>
                <w:sz w:val="15"/>
              </w:rPr>
              <w:t>false</w:t>
            </w:r>
          </w:p>
        </w:tc>
        <w:tc>
          <w:tcPr>
            <w:tcW w:type="dxa" w:w="1872"/>
          </w:tcPr>
          <w:p>
            <w:r/>
            <w:r>
              <w:rPr>
                <w:sz w:val="17"/>
              </w:rPr>
              <w:t>Recompute GO BP sensitivity</w:t>
            </w:r>
          </w:p>
        </w:tc>
        <w:tc>
          <w:tcPr>
            <w:tcW w:type="dxa" w:w="1872"/>
          </w:tcPr>
          <w:p>
            <w:r/>
            <w:r>
              <w:rPr>
                <w:sz w:val="17"/>
              </w:rPr>
              <w:t xml:space="preserve">Set </w:t>
            </w:r>
            <w:r>
              <w:rPr>
                <w:rFonts w:ascii="Menlo" w:hAnsi="Menlo"/>
                <w:color w:val="1A3E6E"/>
                <w:sz w:val="15"/>
              </w:rPr>
              <w:t>true</w:t>
            </w:r>
          </w:p>
        </w:tc>
        <w:tc>
          <w:tcPr>
            <w:tcW w:type="dxa" w:w="1872"/>
          </w:tcPr>
          <w:p>
            <w:r/>
            <w:r>
              <w:rPr>
                <w:sz w:val="17"/>
              </w:rPr>
              <w:t>Large RAM; regenerates sensitivity TSV</w:t>
            </w:r>
          </w:p>
        </w:tc>
      </w:tr>
      <w:tr>
        <w:tc>
          <w:tcPr>
            <w:tcW w:type="dxa" w:w="1872"/>
          </w:tcPr>
          <w:p>
            <w:r/>
            <w:r>
              <w:rPr>
                <w:rFonts w:ascii="Menlo" w:hAnsi="Menlo"/>
                <w:color w:val="1A3E6E"/>
                <w:sz w:val="15"/>
              </w:rPr>
              <w:t>module4.sensitivity.table</w:t>
            </w:r>
          </w:p>
        </w:tc>
        <w:tc>
          <w:tcPr>
            <w:tcW w:type="dxa" w:w="1872"/>
          </w:tcPr>
          <w:p>
            <w:r/>
            <w:r>
              <w:rPr>
                <w:rFonts w:ascii="Menlo" w:hAnsi="Menlo"/>
                <w:color w:val="1A3E6E"/>
                <w:sz w:val="15"/>
              </w:rPr>
              <w:t>outputs/tables/module4_nes_sensitivity.tsv</w:t>
            </w:r>
          </w:p>
        </w:tc>
        <w:tc>
          <w:tcPr>
            <w:tcW w:type="dxa" w:w="1872"/>
          </w:tcPr>
          <w:p>
            <w:r/>
            <w:r>
              <w:rPr>
                <w:sz w:val="17"/>
              </w:rPr>
              <w:t>Committed sensitivity asset</w:t>
            </w:r>
          </w:p>
        </w:tc>
        <w:tc>
          <w:tcPr>
            <w:tcW w:type="dxa" w:w="1872"/>
          </w:tcPr>
          <w:p>
            <w:r/>
            <w:r>
              <w:rPr>
                <w:sz w:val="17"/>
              </w:rPr>
              <w:t>Replace file</w:t>
            </w:r>
          </w:p>
        </w:tc>
        <w:tc>
          <w:tcPr>
            <w:tcW w:type="dxa" w:w="1872"/>
          </w:tcPr>
          <w:p>
            <w:r/>
            <w:r>
              <w:rPr>
                <w:sz w:val="17"/>
              </w:rPr>
              <w:t>Sensitivity panel only</w:t>
            </w:r>
          </w:p>
        </w:tc>
      </w:tr>
      <w:tr>
        <w:tc>
          <w:tcPr>
            <w:tcW w:type="dxa" w:w="1872"/>
          </w:tcPr>
          <w:p>
            <w:r/>
            <w:r>
              <w:rPr>
                <w:rFonts w:ascii="Menlo" w:hAnsi="Menlo"/>
                <w:color w:val="1A3E6E"/>
                <w:sz w:val="15"/>
              </w:rPr>
              <w:t>module4.nes_pairs</w:t>
            </w:r>
          </w:p>
        </w:tc>
        <w:tc>
          <w:tcPr>
            <w:tcW w:type="dxa" w:w="1872"/>
          </w:tcPr>
          <w:p>
            <w:r/>
            <w:r>
              <w:rPr>
                <w:sz w:val="17"/>
              </w:rPr>
              <w:t>four pairs</w:t>
            </w:r>
          </w:p>
        </w:tc>
        <w:tc>
          <w:tcPr>
            <w:tcW w:type="dxa" w:w="1872"/>
          </w:tcPr>
          <w:p>
            <w:r/>
            <w:r>
              <w:rPr>
                <w:sz w:val="17"/>
              </w:rPr>
              <w:t>Which NES scatters/summaries ship</w:t>
            </w:r>
          </w:p>
        </w:tc>
        <w:tc>
          <w:tcPr>
            <w:tcW w:type="dxa" w:w="1872"/>
          </w:tcPr>
          <w:p>
            <w:r/>
            <w:r>
              <w:rPr>
                <w:sz w:val="17"/>
              </w:rPr>
              <w:t>Edit</w:t>
            </w:r>
          </w:p>
        </w:tc>
        <w:tc>
          <w:tcPr>
            <w:tcW w:type="dxa" w:w="1872"/>
          </w:tcPr>
          <w:p>
            <w:r/>
            <w:r>
              <w:rPr>
                <w:sz w:val="17"/>
              </w:rPr>
              <w:t>Pair tables and figures</w:t>
            </w:r>
          </w:p>
        </w:tc>
      </w:tr>
      <w:tr>
        <w:tc>
          <w:tcPr>
            <w:tcW w:type="dxa" w:w="1872"/>
          </w:tcPr>
          <w:p>
            <w:r/>
            <w:r>
              <w:rPr>
                <w:rFonts w:ascii="Menlo" w:hAnsi="Menlo"/>
                <w:color w:val="1A3E6E"/>
                <w:sz w:val="15"/>
              </w:rPr>
              <w:t>module4.params.nes_headline_pair</w:t>
            </w:r>
          </w:p>
        </w:tc>
        <w:tc>
          <w:tcPr>
            <w:tcW w:type="dxa" w:w="1872"/>
          </w:tcPr>
          <w:p>
            <w:r/>
            <w:r>
              <w:rPr>
                <w:rFonts w:ascii="Menlo" w:hAnsi="Menlo"/>
                <w:color w:val="1A3E6E"/>
                <w:sz w:val="15"/>
              </w:rPr>
              <w:t>[H_DISEASE, H_AGING_GTEX]</w:t>
            </w:r>
          </w:p>
        </w:tc>
        <w:tc>
          <w:tcPr>
            <w:tcW w:type="dxa" w:w="1872"/>
          </w:tcPr>
          <w:p>
            <w:r/>
            <w:r>
              <w:rPr>
                <w:sz w:val="17"/>
              </w:rPr>
              <w:t>Pair attached to sensitivity narrative</w:t>
            </w:r>
          </w:p>
        </w:tc>
        <w:tc>
          <w:tcPr>
            <w:tcW w:type="dxa" w:w="1872"/>
          </w:tcPr>
          <w:p>
            <w:r/>
            <w:r>
              <w:rPr>
                <w:sz w:val="17"/>
              </w:rPr>
              <w:t>Switch</w:t>
            </w:r>
          </w:p>
        </w:tc>
        <w:tc>
          <w:tcPr>
            <w:tcW w:type="dxa" w:w="1872"/>
          </w:tcPr>
          <w:p>
            <w:r/>
            <w:r>
              <w:rPr>
                <w:sz w:val="17"/>
              </w:rPr>
              <w:t>Which pair sensitivity comments target</w:t>
            </w:r>
          </w:p>
        </w:tc>
      </w:tr>
    </w:tbl>
    <w:p>
      <w:pPr>
        <w:pStyle w:val="Heading4"/>
      </w:pPr>
      <w:r>
        <w:rPr>
          <w:color w:val="1F4E79"/>
        </w:rPr>
        <w:t>6. Shared-mechanism concordance (headline)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DCE6F1"/>
          </w:tcPr>
          <w:p>
            <w:r/>
            <w:r>
              <w:rPr>
                <w:b/>
                <w:sz w:val="17"/>
              </w:rPr>
              <w:t>Config key</w:t>
            </w:r>
          </w:p>
        </w:tc>
        <w:tc>
          <w:tcPr>
            <w:tcW w:type="dxa" w:w="1872"/>
            <w:shd w:val="clear" w:fill="DCE6F1"/>
          </w:tcPr>
          <w:p>
            <w:r/>
            <w:r>
              <w:rPr>
                <w:b/>
                <w:sz w:val="17"/>
              </w:rPr>
              <w:t>Default</w:t>
            </w:r>
          </w:p>
        </w:tc>
        <w:tc>
          <w:tcPr>
            <w:tcW w:type="dxa" w:w="1872"/>
            <w:shd w:val="clear" w:fill="DCE6F1"/>
          </w:tcPr>
          <w:p>
            <w:r/>
            <w:r>
              <w:rPr>
                <w:b/>
                <w:sz w:val="17"/>
              </w:rPr>
              <w:t>Definition</w:t>
            </w:r>
          </w:p>
        </w:tc>
        <w:tc>
          <w:tcPr>
            <w:tcW w:type="dxa" w:w="1872"/>
            <w:shd w:val="clear" w:fill="DCE6F1"/>
          </w:tcPr>
          <w:p>
            <w:r/>
            <w:r>
              <w:rPr>
                <w:b/>
                <w:sz w:val="17"/>
              </w:rPr>
              <w:t>If modified</w:t>
            </w:r>
          </w:p>
        </w:tc>
        <w:tc>
          <w:tcPr>
            <w:tcW w:type="dxa" w:w="1872"/>
            <w:shd w:val="clear" w:fill="DCE6F1"/>
          </w:tcPr>
          <w:p>
            <w:r/>
            <w:r>
              <w:rPr>
                <w:b/>
                <w:sz w:val="17"/>
              </w:rPr>
              <w:t>Impact on results</w:t>
            </w:r>
          </w:p>
        </w:tc>
      </w:tr>
      <w:tr>
        <w:tc>
          <w:tcPr>
            <w:tcW w:type="dxa" w:w="1872"/>
          </w:tcPr>
          <w:p>
            <w:r/>
            <w:r>
              <w:rPr>
                <w:rFonts w:ascii="Menlo" w:hAnsi="Menlo"/>
                <w:color w:val="1A3E6E"/>
                <w:sz w:val="15"/>
              </w:rPr>
              <w:t>module4.mechanisms.fdr_q</w:t>
            </w:r>
          </w:p>
        </w:tc>
        <w:tc>
          <w:tcPr>
            <w:tcW w:type="dxa" w:w="1872"/>
          </w:tcPr>
          <w:p>
            <w:r/>
            <w:r>
              <w:rPr>
                <w:rFonts w:ascii="Menlo" w:hAnsi="Menlo"/>
                <w:color w:val="1A3E6E"/>
                <w:sz w:val="15"/>
              </w:rPr>
              <w:t>0.25</w:t>
            </w:r>
          </w:p>
        </w:tc>
        <w:tc>
          <w:tcPr>
            <w:tcW w:type="dxa" w:w="1872"/>
          </w:tcPr>
          <w:p>
            <w:r/>
            <w:r>
              <w:rPr>
                <w:sz w:val="17"/>
              </w:rPr>
              <w:t>Passer FDR threshold</w:t>
            </w:r>
          </w:p>
        </w:tc>
        <w:tc>
          <w:tcPr>
            <w:tcW w:type="dxa" w:w="1872"/>
          </w:tcPr>
          <w:p>
            <w:r/>
            <w:r>
              <w:rPr>
                <w:sz w:val="17"/>
              </w:rPr>
              <w:t>Stricter</w:t>
            </w:r>
          </w:p>
        </w:tc>
        <w:tc>
          <w:tcPr>
            <w:tcW w:type="dxa" w:w="1872"/>
          </w:tcPr>
          <w:p>
            <w:r/>
            <w:r>
              <w:rPr>
                <w:sz w:val="17"/>
              </w:rPr>
              <w:t>Smaller concordance sets</w:t>
            </w:r>
          </w:p>
        </w:tc>
      </w:tr>
      <w:tr>
        <w:tc>
          <w:tcPr>
            <w:tcW w:type="dxa" w:w="1872"/>
          </w:tcPr>
          <w:p>
            <w:r/>
            <w:r>
              <w:rPr>
                <w:rFonts w:ascii="Menlo" w:hAnsi="Menlo"/>
                <w:color w:val="1A3E6E"/>
                <w:sz w:val="15"/>
              </w:rPr>
              <w:t>module4.mechanisms.nes_abs_min</w:t>
            </w:r>
          </w:p>
        </w:tc>
        <w:tc>
          <w:tcPr>
            <w:tcW w:type="dxa" w:w="1872"/>
          </w:tcPr>
          <w:p>
            <w:r/>
            <w:r>
              <w:rPr>
                <w:rFonts w:ascii="Menlo" w:hAnsi="Menlo"/>
                <w:color w:val="1A3E6E"/>
                <w:sz w:val="15"/>
              </w:rPr>
              <w:t>1.5</w:t>
            </w:r>
          </w:p>
        </w:tc>
        <w:tc>
          <w:tcPr>
            <w:tcW w:type="dxa" w:w="1872"/>
          </w:tcPr>
          <w:p>
            <w:r/>
            <w:r>
              <w:rPr>
                <w:sz w:val="17"/>
              </w:rPr>
              <w:t>Absolute NES gate</w:t>
            </w:r>
          </w:p>
        </w:tc>
        <w:tc>
          <w:tcPr>
            <w:tcW w:type="dxa" w:w="1872"/>
          </w:tcPr>
          <w:p>
            <w:r/>
            <w:r>
              <w:rPr>
                <w:sz w:val="17"/>
              </w:rPr>
              <w:t>Raise</w:t>
            </w:r>
          </w:p>
        </w:tc>
        <w:tc>
          <w:tcPr>
            <w:tcW w:type="dxa" w:w="1872"/>
          </w:tcPr>
          <w:p>
            <w:r/>
            <w:r>
              <w:rPr>
                <w:sz w:val="17"/>
              </w:rPr>
              <w:t>Fewer passers</w:t>
            </w:r>
          </w:p>
        </w:tc>
      </w:tr>
      <w:tr>
        <w:tc>
          <w:tcPr>
            <w:tcW w:type="dxa" w:w="1872"/>
          </w:tcPr>
          <w:p>
            <w:r/>
            <w:r>
              <w:rPr>
                <w:rFonts w:ascii="Menlo" w:hAnsi="Menlo"/>
                <w:color w:val="1A3E6E"/>
                <w:sz w:val="15"/>
              </w:rPr>
              <w:t>module4.mechanisms.fdr_q_strict</w:t>
            </w:r>
          </w:p>
        </w:tc>
        <w:tc>
          <w:tcPr>
            <w:tcW w:type="dxa" w:w="1872"/>
          </w:tcPr>
          <w:p>
            <w:r/>
            <w:r>
              <w:rPr>
                <w:rFonts w:ascii="Menlo" w:hAnsi="Menlo"/>
                <w:color w:val="1A3E6E"/>
                <w:sz w:val="15"/>
              </w:rPr>
              <w:t>0.05</w:t>
            </w:r>
          </w:p>
        </w:tc>
        <w:tc>
          <w:tcPr>
            <w:tcW w:type="dxa" w:w="1872"/>
          </w:tcPr>
          <w:p>
            <w:r/>
            <w:r>
              <w:rPr>
                <w:sz w:val="17"/>
              </w:rPr>
              <w:t>Stricter annotation threshold</w:t>
            </w:r>
          </w:p>
        </w:tc>
        <w:tc>
          <w:tcPr>
            <w:tcW w:type="dxa" w:w="1872"/>
          </w:tcPr>
          <w:p>
            <w:r/>
            <w:r>
              <w:rPr>
                <w:sz w:val="17"/>
              </w:rPr>
              <w:t>Change</w:t>
            </w:r>
          </w:p>
        </w:tc>
        <w:tc>
          <w:tcPr>
            <w:tcW w:type="dxa" w:w="1872"/>
          </w:tcPr>
          <w:p>
            <w:r/>
            <w:r>
              <w:rPr>
                <w:sz w:val="17"/>
              </w:rPr>
              <w:t>Secondary labels only</w:t>
            </w:r>
          </w:p>
        </w:tc>
      </w:tr>
      <w:tr>
        <w:tc>
          <w:tcPr>
            <w:tcW w:type="dxa" w:w="1872"/>
          </w:tcPr>
          <w:p>
            <w:r/>
            <w:r>
              <w:rPr>
                <w:rFonts w:ascii="Menlo" w:hAnsi="Menlo"/>
                <w:color w:val="1A3E6E"/>
                <w:sz w:val="15"/>
              </w:rPr>
              <w:t>module4.mechanisms.cluster_jaccard_min</w:t>
            </w:r>
          </w:p>
        </w:tc>
        <w:tc>
          <w:tcPr>
            <w:tcW w:type="dxa" w:w="1872"/>
          </w:tcPr>
          <w:p>
            <w:r/>
            <w:r>
              <w:rPr>
                <w:rFonts w:ascii="Menlo" w:hAnsi="Menlo"/>
                <w:color w:val="1A3E6E"/>
                <w:sz w:val="15"/>
              </w:rPr>
              <w:t>0.5</w:t>
            </w:r>
          </w:p>
        </w:tc>
        <w:tc>
          <w:tcPr>
            <w:tcW w:type="dxa" w:w="1872"/>
          </w:tcPr>
          <w:p>
            <w:r/>
            <w:r>
              <w:rPr>
                <w:sz w:val="17"/>
              </w:rPr>
              <w:t>Mechanism clustering Jaccard</w:t>
            </w:r>
          </w:p>
        </w:tc>
        <w:tc>
          <w:tcPr>
            <w:tcW w:type="dxa" w:w="1872"/>
          </w:tcPr>
          <w:p>
            <w:r/>
            <w:r>
              <w:rPr>
                <w:sz w:val="17"/>
              </w:rPr>
              <w:t>Lower</w:t>
            </w:r>
          </w:p>
        </w:tc>
        <w:tc>
          <w:tcPr>
            <w:tcW w:type="dxa" w:w="1872"/>
          </w:tcPr>
          <w:p>
            <w:r/>
            <w:r>
              <w:rPr>
                <w:sz w:val="17"/>
              </w:rPr>
              <w:t>Larger merged clusters</w:t>
            </w:r>
          </w:p>
        </w:tc>
      </w:tr>
      <w:tr>
        <w:tc>
          <w:tcPr>
            <w:tcW w:type="dxa" w:w="1872"/>
          </w:tcPr>
          <w:p>
            <w:r/>
            <w:r>
              <w:rPr>
                <w:rFonts w:ascii="Menlo" w:hAnsi="Menlo"/>
                <w:color w:val="1A3E6E"/>
                <w:sz w:val="15"/>
              </w:rPr>
              <w:t>module4.mechanisms.n_permutations</w:t>
            </w:r>
          </w:p>
        </w:tc>
        <w:tc>
          <w:tcPr>
            <w:tcW w:type="dxa" w:w="1872"/>
          </w:tcPr>
          <w:p>
            <w:r/>
            <w:r>
              <w:rPr>
                <w:rFonts w:ascii="Menlo" w:hAnsi="Menlo"/>
                <w:color w:val="1A3E6E"/>
                <w:sz w:val="15"/>
              </w:rPr>
              <w:t>2000</w:t>
            </w:r>
          </w:p>
        </w:tc>
        <w:tc>
          <w:tcPr>
            <w:tcW w:type="dxa" w:w="1872"/>
          </w:tcPr>
          <w:p>
            <w:r/>
            <w:r>
              <w:rPr>
                <w:sz w:val="17"/>
              </w:rPr>
              <w:t>Null permutations</w:t>
            </w:r>
          </w:p>
        </w:tc>
        <w:tc>
          <w:tcPr>
            <w:tcW w:type="dxa" w:w="1872"/>
          </w:tcPr>
          <w:p>
            <w:r/>
            <w:r>
              <w:rPr>
                <w:sz w:val="17"/>
              </w:rPr>
              <w:t>Raise</w:t>
            </w:r>
          </w:p>
        </w:tc>
        <w:tc>
          <w:tcPr>
            <w:tcW w:type="dxa" w:w="1872"/>
          </w:tcPr>
          <w:p>
            <w:r/>
            <w:r>
              <w:rPr>
                <w:sz w:val="17"/>
              </w:rPr>
              <w:t>Stabler permutation p</w:t>
            </w:r>
          </w:p>
        </w:tc>
      </w:tr>
      <w:tr>
        <w:tc>
          <w:tcPr>
            <w:tcW w:type="dxa" w:w="1872"/>
          </w:tcPr>
          <w:p>
            <w:r/>
            <w:r>
              <w:rPr>
                <w:rFonts w:ascii="Menlo" w:hAnsi="Menlo"/>
                <w:color w:val="1A3E6E"/>
                <w:sz w:val="15"/>
              </w:rPr>
              <w:t>module4.mechanisms.random_seed</w:t>
            </w:r>
          </w:p>
        </w:tc>
        <w:tc>
          <w:tcPr>
            <w:tcW w:type="dxa" w:w="1872"/>
          </w:tcPr>
          <w:p>
            <w:r/>
            <w:r>
              <w:rPr>
                <w:rFonts w:ascii="Menlo" w:hAnsi="Menlo"/>
                <w:color w:val="1A3E6E"/>
                <w:sz w:val="15"/>
              </w:rPr>
              <w:t>0</w:t>
            </w:r>
          </w:p>
        </w:tc>
        <w:tc>
          <w:tcPr>
            <w:tcW w:type="dxa" w:w="1872"/>
          </w:tcPr>
          <w:p>
            <w:r/>
            <w:r>
              <w:rPr>
                <w:sz w:val="17"/>
              </w:rPr>
              <w:t>Permutation RNG</w:t>
            </w:r>
          </w:p>
        </w:tc>
        <w:tc>
          <w:tcPr>
            <w:tcW w:type="dxa" w:w="1872"/>
          </w:tcPr>
          <w:p>
            <w:r/>
            <w:r>
              <w:rPr>
                <w:sz w:val="17"/>
              </w:rPr>
              <w:t>Change</w:t>
            </w:r>
          </w:p>
        </w:tc>
        <w:tc>
          <w:tcPr>
            <w:tcW w:type="dxa" w:w="1872"/>
          </w:tcPr>
          <w:p>
            <w:r/>
            <w:r>
              <w:rPr>
                <w:sz w:val="17"/>
              </w:rPr>
              <w:t>Null draws differ slightly</w:t>
            </w:r>
          </w:p>
        </w:tc>
      </w:tr>
      <w:tr>
        <w:tc>
          <w:tcPr>
            <w:tcW w:type="dxa" w:w="1872"/>
          </w:tcPr>
          <w:p>
            <w:r/>
            <w:r>
              <w:rPr>
                <w:rFonts w:ascii="Menlo" w:hAnsi="Menlo"/>
                <w:color w:val="1A3E6E"/>
                <w:sz w:val="15"/>
              </w:rPr>
              <w:t>module4.mechanisms.top_intersection_genes</w:t>
            </w:r>
          </w:p>
        </w:tc>
        <w:tc>
          <w:tcPr>
            <w:tcW w:type="dxa" w:w="1872"/>
          </w:tcPr>
          <w:p>
            <w:r/>
            <w:r>
              <w:rPr>
                <w:rFonts w:ascii="Menlo" w:hAnsi="Menlo"/>
                <w:color w:val="1A3E6E"/>
                <w:sz w:val="15"/>
              </w:rPr>
              <w:t>40</w:t>
            </w:r>
          </w:p>
        </w:tc>
        <w:tc>
          <w:tcPr>
            <w:tcW w:type="dxa" w:w="1872"/>
          </w:tcPr>
          <w:p>
            <w:r/>
            <w:r>
              <w:rPr>
                <w:sz w:val="17"/>
              </w:rPr>
              <w:t>Genes listed from LE intersection</w:t>
            </w:r>
          </w:p>
        </w:tc>
        <w:tc>
          <w:tcPr>
            <w:tcW w:type="dxa" w:w="1872"/>
          </w:tcPr>
          <w:p>
            <w:r/>
            <w:r>
              <w:rPr>
                <w:sz w:val="17"/>
              </w:rPr>
              <w:t>Raise</w:t>
            </w:r>
          </w:p>
        </w:tc>
        <w:tc>
          <w:tcPr>
            <w:tcW w:type="dxa" w:w="1872"/>
          </w:tcPr>
          <w:p>
            <w:r/>
            <w:r>
              <w:rPr>
                <w:sz w:val="17"/>
              </w:rPr>
              <w:t>Wider gene lists in tables</w:t>
            </w:r>
          </w:p>
        </w:tc>
      </w:tr>
    </w:tbl>
    <w:p>
      <w:pPr>
        <w:pStyle w:val="Heading1"/>
      </w:pPr>
      <w:r>
        <w:rPr>
          <w:color w:val="1F4E79"/>
        </w:rPr>
        <w:t>References</w:t>
      </w:r>
    </w:p>
    <w:p>
      <w:pPr>
        <w:pStyle w:val="ListNumber"/>
        <w:spacing w:after="40"/>
      </w:pPr>
      <w:r>
        <w:rPr>
          <w:sz w:val="21"/>
        </w:rPr>
        <w:t xml:space="preserve">GTEx Consortium. The GTEx Consortium atlas of genetic regulatory effects across human tissues. </w:t>
      </w:r>
      <w:r>
        <w:rPr>
          <w:i/>
          <w:sz w:val="21"/>
        </w:rPr>
        <w:t>Science</w:t>
      </w:r>
      <w:r>
        <w:rPr>
          <w:sz w:val="21"/>
        </w:rPr>
        <w:t xml:space="preserve">. 2020;369(6509):1318-1330. PMID: </w:t>
      </w:r>
      <w:hyperlink r:id="rId21">
        <w:r>
          <w:rPr>
            <w:color w:val="0B4F8A"/>
            <w:u w:val="single"/>
            <w:sz w:val="21"/>
          </w:rPr>
          <w:t xml:space="preserve">32913098</w:t>
        </w:r>
      </w:hyperlink>
      <w:r>
        <w:rPr>
          <w:sz w:val="21"/>
        </w:rPr>
        <w:t>.</w:t>
      </w:r>
    </w:p>
    <w:p>
      <w:pPr>
        <w:pStyle w:val="ListNumber"/>
        <w:spacing w:after="40"/>
      </w:pPr>
      <w:r>
        <w:rPr>
          <w:sz w:val="21"/>
        </w:rPr>
        <w:t xml:space="preserve">Furusawa H, et al. Chronic Hypersensitivity Pneumonitis, an Interstitial Lung Disease with Distinct Molecular Signatures. </w:t>
      </w:r>
      <w:r>
        <w:rPr>
          <w:i/>
          <w:sz w:val="21"/>
        </w:rPr>
        <w:t>Am J Respir Crit Care Med</w:t>
      </w:r>
      <w:r>
        <w:rPr>
          <w:sz w:val="21"/>
        </w:rPr>
        <w:t xml:space="preserve">. 2020;202(10):1430-1444. PMID: </w:t>
      </w:r>
      <w:hyperlink r:id="rId22">
        <w:r>
          <w:rPr>
            <w:color w:val="0B4F8A"/>
            <w:u w:val="single"/>
            <w:sz w:val="21"/>
          </w:rPr>
          <w:t xml:space="preserve">32602730</w:t>
        </w:r>
      </w:hyperlink>
      <w:r>
        <w:rPr>
          <w:sz w:val="21"/>
        </w:rPr>
        <w:t>. (GSE150910)</w:t>
      </w:r>
    </w:p>
    <w:p>
      <w:pPr>
        <w:pStyle w:val="ListNumber"/>
        <w:spacing w:after="40"/>
      </w:pPr>
      <w:r>
        <w:rPr>
          <w:sz w:val="21"/>
        </w:rPr>
        <w:t xml:space="preserve">Love MI, Huber W, Anders S. Moderated estimation of fold change and dispersion for RNA-seq data with DESeq2. </w:t>
      </w:r>
      <w:r>
        <w:rPr>
          <w:i/>
          <w:sz w:val="21"/>
        </w:rPr>
        <w:t>Genome Biol</w:t>
      </w:r>
      <w:r>
        <w:rPr>
          <w:sz w:val="21"/>
        </w:rPr>
        <w:t xml:space="preserve">. 2014;15(12):550. PMID: </w:t>
      </w:r>
      <w:hyperlink r:id="rId23">
        <w:r>
          <w:rPr>
            <w:color w:val="0B4F8A"/>
            <w:u w:val="single"/>
            <w:sz w:val="21"/>
          </w:rPr>
          <w:t xml:space="preserve">25516281</w:t>
        </w:r>
      </w:hyperlink>
      <w:r>
        <w:rPr>
          <w:sz w:val="21"/>
        </w:rPr>
        <w:t>.</w:t>
      </w:r>
    </w:p>
    <w:p>
      <w:pPr>
        <w:pStyle w:val="ListNumber"/>
        <w:spacing w:after="40"/>
      </w:pPr>
      <w:r>
        <w:rPr>
          <w:sz w:val="21"/>
        </w:rPr>
        <w:t xml:space="preserve">Muzellec B, et al. PyDESeq2: a python package for bulk RNA-seq differential expression analysis. </w:t>
      </w:r>
      <w:r>
        <w:rPr>
          <w:i/>
          <w:sz w:val="21"/>
        </w:rPr>
        <w:t>Bioinformatics</w:t>
      </w:r>
      <w:r>
        <w:rPr>
          <w:sz w:val="21"/>
        </w:rPr>
        <w:t xml:space="preserve">. 2023;39(9):btad547. PMID: </w:t>
      </w:r>
      <w:hyperlink r:id="rId24">
        <w:r>
          <w:rPr>
            <w:color w:val="0B4F8A"/>
            <w:u w:val="single"/>
            <w:sz w:val="21"/>
          </w:rPr>
          <w:t xml:space="preserve">37669147</w:t>
        </w:r>
      </w:hyperlink>
      <w:r>
        <w:rPr>
          <w:sz w:val="21"/>
        </w:rPr>
        <w:t>.</w:t>
      </w:r>
    </w:p>
    <w:p>
      <w:pPr>
        <w:pStyle w:val="ListNumber"/>
        <w:spacing w:after="40"/>
      </w:pPr>
      <w:r>
        <w:rPr>
          <w:sz w:val="21"/>
        </w:rPr>
        <w:t xml:space="preserve">Subramanian A, et al. Gene set enrichment analysis: a knowledge-based approach for interpreting genome-wide expression profiles. </w:t>
      </w:r>
      <w:r>
        <w:rPr>
          <w:i/>
          <w:sz w:val="21"/>
        </w:rPr>
        <w:t>Proc Natl Acad Sci U S A</w:t>
      </w:r>
      <w:r>
        <w:rPr>
          <w:sz w:val="21"/>
        </w:rPr>
        <w:t xml:space="preserve">. 2005;102(43):15545-15550. PMID: </w:t>
      </w:r>
      <w:hyperlink r:id="rId25">
        <w:r>
          <w:rPr>
            <w:color w:val="0B4F8A"/>
            <w:u w:val="single"/>
            <w:sz w:val="21"/>
          </w:rPr>
          <w:t xml:space="preserve">16199517</w:t>
        </w:r>
      </w:hyperlink>
      <w:r>
        <w:rPr>
          <w:sz w:val="21"/>
        </w:rPr>
        <w:t>.</w:t>
      </w:r>
    </w:p>
    <w:p>
      <w:pPr>
        <w:pStyle w:val="ListNumber"/>
        <w:spacing w:after="40"/>
      </w:pPr>
      <w:r>
        <w:rPr>
          <w:sz w:val="21"/>
        </w:rPr>
        <w:t xml:space="preserve">Hayslip N, et al. Space radiation and microgravity as models of accelerated aging: modulation of hepatic miRNA-TGF-beta networks associated with senescence and fibrosis. </w:t>
      </w:r>
      <w:r>
        <w:rPr>
          <w:i/>
          <w:sz w:val="21"/>
        </w:rPr>
        <w:t>GeroScience</w:t>
      </w:r>
      <w:r>
        <w:rPr>
          <w:sz w:val="21"/>
        </w:rPr>
        <w:t xml:space="preserve">. 2026. PMID: </w:t>
      </w:r>
      <w:hyperlink r:id="rId26">
        <w:r>
          <w:rPr>
            <w:color w:val="0B4F8A"/>
            <w:u w:val="single"/>
            <w:sz w:val="21"/>
          </w:rPr>
          <w:t xml:space="preserve">42337157</w:t>
        </w:r>
      </w:hyperlink>
      <w:r>
        <w:rPr>
          <w:sz w:val="21"/>
        </w:rPr>
        <w:t>.</w:t>
      </w:r>
    </w:p>
    <w:p>
      <w:pPr>
        <w:pStyle w:val="ListNumber"/>
        <w:spacing w:after="40"/>
      </w:pPr>
      <w:r>
        <w:rPr>
          <w:sz w:val="21"/>
        </w:rPr>
        <w:t xml:space="preserve">Ruprecht NA, et al. Establishing a genomic radiation-age association for space exploration supplements lung disease differentiation. </w:t>
      </w:r>
      <w:r>
        <w:rPr>
          <w:i/>
          <w:sz w:val="21"/>
        </w:rPr>
        <w:t>Front Public Health</w:t>
      </w:r>
      <w:r>
        <w:rPr>
          <w:sz w:val="21"/>
        </w:rPr>
        <w:t xml:space="preserve">. 2023;11:1161124. PMID: </w:t>
      </w:r>
      <w:hyperlink r:id="rId27">
        <w:r>
          <w:rPr>
            <w:color w:val="0B4F8A"/>
            <w:u w:val="single"/>
            <w:sz w:val="21"/>
          </w:rPr>
          <w:t xml:space="preserve">37250098</w:t>
        </w:r>
      </w:hyperlink>
      <w:r>
        <w:rPr>
          <w:sz w:val="21"/>
        </w:rPr>
        <w:t>.</w:t>
      </w:r>
    </w:p>
    <w:p>
      <w:pPr>
        <w:pStyle w:val="ListNumber"/>
        <w:spacing w:after="40"/>
      </w:pPr>
      <w:r>
        <w:rPr>
          <w:sz w:val="21"/>
        </w:rPr>
        <w:t>NASA Open Science Data Repository / GeneLab. OSD-248 (GLDS-248), rodent spaceflight lung RNA-seq resource.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yperlink" Target="https://pubmed.ncbi.nlm.nih.gov/32913098/" TargetMode="External"/><Relationship Id="rId22" Type="http://schemas.openxmlformats.org/officeDocument/2006/relationships/hyperlink" Target="https://pubmed.ncbi.nlm.nih.gov/32602730/" TargetMode="External"/><Relationship Id="rId23" Type="http://schemas.openxmlformats.org/officeDocument/2006/relationships/hyperlink" Target="https://pubmed.ncbi.nlm.nih.gov/25516281/" TargetMode="External"/><Relationship Id="rId24" Type="http://schemas.openxmlformats.org/officeDocument/2006/relationships/hyperlink" Target="https://pubmed.ncbi.nlm.nih.gov/37669147/" TargetMode="External"/><Relationship Id="rId25" Type="http://schemas.openxmlformats.org/officeDocument/2006/relationships/hyperlink" Target="https://pubmed.ncbi.nlm.nih.gov/16199517/" TargetMode="External"/><Relationship Id="rId26" Type="http://schemas.openxmlformats.org/officeDocument/2006/relationships/hyperlink" Target="https://pubmed.ncbi.nlm.nih.gov/42337157/" TargetMode="External"/><Relationship Id="rId27" Type="http://schemas.openxmlformats.org/officeDocument/2006/relationships/hyperlink" Target="https://pubmed.ncbi.nlm.nih.gov/37250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