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7A5F" w14:textId="77777777" w:rsidR="007368B5" w:rsidRPr="007368B5" w:rsidRDefault="007368B5" w:rsidP="007368B5">
      <w:pPr>
        <w:spacing w:after="60"/>
        <w:rPr>
          <w:rFonts w:ascii="Times New Roman" w:hAnsi="Times New Roman" w:cs="Times New Roman"/>
        </w:rPr>
      </w:pPr>
      <w:r w:rsidRPr="007368B5">
        <w:rPr>
          <w:rFonts w:ascii="Times New Roman" w:hAnsi="Times New Roman" w:cs="Times New Roman"/>
          <w:b/>
          <w:color w:val="1F4E79"/>
          <w:sz w:val="38"/>
        </w:rPr>
        <w:t>Module 1: Dataset discovery, acquisition, and quality control</w:t>
      </w:r>
    </w:p>
    <w:p w14:paraId="75647084" w14:textId="77777777" w:rsidR="007368B5" w:rsidRPr="007368B5" w:rsidRDefault="007368B5" w:rsidP="007368B5">
      <w:pPr>
        <w:spacing w:after="200"/>
        <w:rPr>
          <w:rFonts w:ascii="Times New Roman" w:hAnsi="Times New Roman" w:cs="Times New Roman"/>
        </w:rPr>
      </w:pPr>
      <w:r w:rsidRPr="007368B5">
        <w:rPr>
          <w:rFonts w:ascii="Times New Roman" w:hAnsi="Times New Roman" w:cs="Times New Roman"/>
          <w:color w:val="444444"/>
          <w:sz w:val="19"/>
        </w:rPr>
        <w:t>Instructional time: 45 min. Bloom: Remember, Understand, Apply. Notebook: notebooks/01_discovery_and_qc.ipynb</w:t>
      </w:r>
    </w:p>
    <w:p w14:paraId="293D6846" w14:textId="77777777" w:rsidR="007368B5" w:rsidRPr="007368B5" w:rsidRDefault="007368B5" w:rsidP="007368B5">
      <w:pPr>
        <w:pBdr>
          <w:bottom w:val="single" w:sz="12" w:space="0" w:color="1F4E79"/>
        </w:pBdr>
        <w:rPr>
          <w:rFonts w:ascii="Times New Roman" w:hAnsi="Times New Roman" w:cs="Times New Roman"/>
        </w:rPr>
      </w:pPr>
    </w:p>
    <w:p w14:paraId="33D603B2"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1. Overview</w:t>
      </w:r>
    </w:p>
    <w:p w14:paraId="34589B5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Module 1 is the entry point to the CFDE lung transcriptomics course. It covers how the required datasets are identified and retrieved, how a local copy is verified against the expected inventory, and how single-nucleus quality control and preprocessing are applied so that four HuBMAP lung donors are ready for integration in Module 2.</w:t>
      </w:r>
    </w:p>
    <w:p w14:paraId="464BD34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Learning objectives.</w:t>
      </w:r>
      <w:r w:rsidRPr="007368B5">
        <w:rPr>
          <w:rFonts w:ascii="Times New Roman" w:hAnsi="Times New Roman" w:cs="Times New Roman"/>
        </w:rPr>
        <w:t xml:space="preserve"> After this module you will be able to:</w:t>
      </w:r>
    </w:p>
    <w:p w14:paraId="65F57554"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Use the CFDE discovery surfaces to locate lung datasets across Common Fund resources, and explain how the discovery layer relates to the DCC portals that serve the files.</w:t>
      </w:r>
    </w:p>
    <w:p w14:paraId="14A3013E"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Resolve a HuBMAP dataset record to a downloadable release, and cite the correct record for it.</w:t>
      </w:r>
    </w:p>
    <w:p w14:paraId="4C736650"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Confirm that a local copy of the cohort is complete before analysis begins.</w:t>
      </w:r>
    </w:p>
    <w:p w14:paraId="0228ED26"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Apply and justify single-nucleus quality-control thresholds, then run a standard normalize, highly variable gene, PCA and UMAP preprocess.</w:t>
      </w:r>
    </w:p>
    <w:p w14:paraId="771E755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Downloading the full course data set takes about 814.87 MB. Module 1 itself uses the four HuBMAP single-nucleus matrices; the remainder is needed by Modules 3 and 4.</w:t>
      </w:r>
    </w:p>
    <w:p w14:paraId="66895138"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2. Before you begin</w:t>
      </w:r>
    </w:p>
    <w:p w14:paraId="3CFDB96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Prerequisites.</w:t>
      </w:r>
      <w:r w:rsidRPr="007368B5">
        <w:rPr>
          <w:rFonts w:ascii="Times New Roman" w:hAnsi="Times New Roman" w:cs="Times New Roman"/>
        </w:rPr>
        <w:t xml:space="preserve"> Basic Python / AnnData. CFDE Workbench vs DCC portals (screencast).</w:t>
      </w:r>
    </w:p>
    <w:p w14:paraId="6CBF232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Cohort.</w:t>
      </w:r>
      <w:r w:rsidRPr="007368B5">
        <w:rPr>
          <w:rFonts w:ascii="Times New Roman" w:hAnsi="Times New Roman" w:cs="Times New Roman"/>
        </w:rPr>
        <w:t xml:space="preserve"> Donor_1 (37), Donor_2 (25), Donor_3 (56.8), Donor_4 (52.96).</w:t>
      </w:r>
    </w:p>
    <w:p w14:paraId="7BB53F0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Run order.</w:t>
      </w:r>
      <w:r w:rsidRPr="007368B5">
        <w:rPr>
          <w:rFonts w:ascii="Times New Roman" w:hAnsi="Times New Roman" w:cs="Times New Roman"/>
        </w:rPr>
        <w:t xml:space="preserve"> Run the analysis sections in order; the notebook carries state between cells.</w:t>
      </w:r>
    </w:p>
    <w:p w14:paraId="733ED21E"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Biological question</w:t>
      </w:r>
    </w:p>
    <w:p w14:paraId="4C0FB12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Is the HuBMAP lung snRNA-seq cohort complete and verifiable locally, what role does each file serve, and can nuclei from each donor be prepared so that the cross-donor analysis in Module 2 rests on documented quality-control decisions?</w:t>
      </w:r>
    </w:p>
    <w:p w14:paraId="110AE59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Module 1 answers that question. It does not integrate donors, call differential expression, or leave HuBMAP for other ecosystems. Those steps begin in Modules 2 and 4.</w:t>
      </w:r>
    </w:p>
    <w:p w14:paraId="6A162725"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HuBMAP teaching cohort</w:t>
      </w:r>
    </w:p>
    <w:p w14:paraId="6EE8A21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Four donors selected for comparative value across age, sex and reported race and ethnicity. Donor_2 additionally carries a paired single-nucleus multiome dataset, which is the basis of Module 3.</w:t>
      </w:r>
    </w:p>
    <w:tbl>
      <w:tblPr>
        <w:tblStyle w:val="TableGrid"/>
        <w:tblW w:w="0" w:type="auto"/>
        <w:jc w:val="center"/>
        <w:tblLook w:val="04A0" w:firstRow="1" w:lastRow="0" w:firstColumn="1" w:lastColumn="0" w:noHBand="0" w:noVBand="1"/>
      </w:tblPr>
      <w:tblGrid>
        <w:gridCol w:w="1557"/>
        <w:gridCol w:w="1556"/>
        <w:gridCol w:w="1557"/>
        <w:gridCol w:w="1560"/>
        <w:gridCol w:w="1560"/>
        <w:gridCol w:w="1560"/>
      </w:tblGrid>
      <w:tr w:rsidR="007368B5" w:rsidRPr="007368B5" w14:paraId="32BDD661" w14:textId="77777777" w:rsidTr="00151104">
        <w:trPr>
          <w:jc w:val="center"/>
        </w:trPr>
        <w:tc>
          <w:tcPr>
            <w:tcW w:w="1560" w:type="dxa"/>
            <w:shd w:val="clear" w:color="auto" w:fill="DCE6F1"/>
          </w:tcPr>
          <w:p w14:paraId="6DA00D0C"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w:t>
            </w:r>
          </w:p>
        </w:tc>
        <w:tc>
          <w:tcPr>
            <w:tcW w:w="1560" w:type="dxa"/>
            <w:shd w:val="clear" w:color="auto" w:fill="DCE6F1"/>
          </w:tcPr>
          <w:p w14:paraId="30216F6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Age</w:t>
            </w:r>
          </w:p>
        </w:tc>
        <w:tc>
          <w:tcPr>
            <w:tcW w:w="1560" w:type="dxa"/>
            <w:shd w:val="clear" w:color="auto" w:fill="DCE6F1"/>
          </w:tcPr>
          <w:p w14:paraId="0DBADD5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Sex</w:t>
            </w:r>
          </w:p>
        </w:tc>
        <w:tc>
          <w:tcPr>
            <w:tcW w:w="1560" w:type="dxa"/>
            <w:shd w:val="clear" w:color="auto" w:fill="DCE6F1"/>
          </w:tcPr>
          <w:p w14:paraId="54CA2B2B"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Primary block</w:t>
            </w:r>
          </w:p>
        </w:tc>
        <w:tc>
          <w:tcPr>
            <w:tcW w:w="1560" w:type="dxa"/>
            <w:shd w:val="clear" w:color="auto" w:fill="DCE6F1"/>
          </w:tcPr>
          <w:p w14:paraId="6AE7054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Processed release</w:t>
            </w:r>
          </w:p>
        </w:tc>
        <w:tc>
          <w:tcPr>
            <w:tcW w:w="1560" w:type="dxa"/>
            <w:shd w:val="clear" w:color="auto" w:fill="DCE6F1"/>
          </w:tcPr>
          <w:p w14:paraId="3BC2943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Also provides</w:t>
            </w:r>
          </w:p>
        </w:tc>
      </w:tr>
      <w:tr w:rsidR="007368B5" w:rsidRPr="007368B5" w14:paraId="414D3C61" w14:textId="77777777" w:rsidTr="00151104">
        <w:trPr>
          <w:jc w:val="center"/>
        </w:trPr>
        <w:tc>
          <w:tcPr>
            <w:tcW w:w="1560" w:type="dxa"/>
          </w:tcPr>
          <w:p w14:paraId="37D6287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2DDC612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37</w:t>
            </w:r>
          </w:p>
        </w:tc>
        <w:tc>
          <w:tcPr>
            <w:tcW w:w="1560" w:type="dxa"/>
          </w:tcPr>
          <w:p w14:paraId="7A873CC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Male</w:t>
            </w:r>
          </w:p>
        </w:tc>
        <w:tc>
          <w:tcPr>
            <w:tcW w:w="1560" w:type="dxa"/>
          </w:tcPr>
          <w:p w14:paraId="3132851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HBM347.VDHS.379</w:t>
            </w:r>
          </w:p>
        </w:tc>
        <w:tc>
          <w:tcPr>
            <w:tcW w:w="1560" w:type="dxa"/>
          </w:tcPr>
          <w:p w14:paraId="7A27A5A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HBM675.RVGB.258</w:t>
            </w:r>
          </w:p>
        </w:tc>
        <w:tc>
          <w:tcPr>
            <w:tcW w:w="1560" w:type="dxa"/>
          </w:tcPr>
          <w:p w14:paraId="5E0A0421" w14:textId="77777777" w:rsidR="007368B5" w:rsidRPr="007368B5" w:rsidRDefault="007368B5" w:rsidP="00151104">
            <w:pPr>
              <w:rPr>
                <w:rFonts w:ascii="Times New Roman" w:hAnsi="Times New Roman" w:cs="Times New Roman"/>
              </w:rPr>
            </w:pPr>
          </w:p>
        </w:tc>
      </w:tr>
      <w:tr w:rsidR="007368B5" w:rsidRPr="007368B5" w14:paraId="6D27C355" w14:textId="77777777" w:rsidTr="00151104">
        <w:trPr>
          <w:jc w:val="center"/>
        </w:trPr>
        <w:tc>
          <w:tcPr>
            <w:tcW w:w="1560" w:type="dxa"/>
          </w:tcPr>
          <w:p w14:paraId="4B123FA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lastRenderedPageBreak/>
              <w:t>Donor_2</w:t>
            </w:r>
          </w:p>
        </w:tc>
        <w:tc>
          <w:tcPr>
            <w:tcW w:w="1560" w:type="dxa"/>
          </w:tcPr>
          <w:p w14:paraId="1620275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25</w:t>
            </w:r>
          </w:p>
        </w:tc>
        <w:tc>
          <w:tcPr>
            <w:tcW w:w="1560" w:type="dxa"/>
          </w:tcPr>
          <w:p w14:paraId="6A92B16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Female</w:t>
            </w:r>
          </w:p>
        </w:tc>
        <w:tc>
          <w:tcPr>
            <w:tcW w:w="1560" w:type="dxa"/>
          </w:tcPr>
          <w:p w14:paraId="18AD03C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HBM473.NKMR.872</w:t>
            </w:r>
          </w:p>
        </w:tc>
        <w:tc>
          <w:tcPr>
            <w:tcW w:w="1560" w:type="dxa"/>
          </w:tcPr>
          <w:p w14:paraId="4077B693"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HBM362.DZVK.533</w:t>
            </w:r>
          </w:p>
        </w:tc>
        <w:tc>
          <w:tcPr>
            <w:tcW w:w="1560" w:type="dxa"/>
          </w:tcPr>
          <w:p w14:paraId="4BA3FCD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multiome </w:t>
            </w:r>
            <w:r w:rsidRPr="007368B5">
              <w:rPr>
                <w:rFonts w:ascii="Times New Roman" w:hAnsi="Times New Roman" w:cs="Times New Roman"/>
                <w:color w:val="1A3E6E"/>
                <w:sz w:val="15"/>
              </w:rPr>
              <w:t>HBM828.GPVG.252</w:t>
            </w:r>
          </w:p>
        </w:tc>
      </w:tr>
      <w:tr w:rsidR="007368B5" w:rsidRPr="007368B5" w14:paraId="5AE223DE" w14:textId="77777777" w:rsidTr="00151104">
        <w:trPr>
          <w:jc w:val="center"/>
        </w:trPr>
        <w:tc>
          <w:tcPr>
            <w:tcW w:w="1560" w:type="dxa"/>
          </w:tcPr>
          <w:p w14:paraId="297D7E0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Donor_3</w:t>
            </w:r>
          </w:p>
        </w:tc>
        <w:tc>
          <w:tcPr>
            <w:tcW w:w="1560" w:type="dxa"/>
          </w:tcPr>
          <w:p w14:paraId="4E59A16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56.8</w:t>
            </w:r>
          </w:p>
        </w:tc>
        <w:tc>
          <w:tcPr>
            <w:tcW w:w="1560" w:type="dxa"/>
          </w:tcPr>
          <w:p w14:paraId="5F91966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Female</w:t>
            </w:r>
          </w:p>
        </w:tc>
        <w:tc>
          <w:tcPr>
            <w:tcW w:w="1560" w:type="dxa"/>
          </w:tcPr>
          <w:p w14:paraId="6F42D64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HBM484.RGWP.797</w:t>
            </w:r>
          </w:p>
        </w:tc>
        <w:tc>
          <w:tcPr>
            <w:tcW w:w="1560" w:type="dxa"/>
          </w:tcPr>
          <w:p w14:paraId="7223A08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HBM874.PWHS.622</w:t>
            </w:r>
          </w:p>
        </w:tc>
        <w:tc>
          <w:tcPr>
            <w:tcW w:w="1560" w:type="dxa"/>
          </w:tcPr>
          <w:p w14:paraId="5BD37952" w14:textId="77777777" w:rsidR="007368B5" w:rsidRPr="007368B5" w:rsidRDefault="007368B5" w:rsidP="00151104">
            <w:pPr>
              <w:rPr>
                <w:rFonts w:ascii="Times New Roman" w:hAnsi="Times New Roman" w:cs="Times New Roman"/>
              </w:rPr>
            </w:pPr>
          </w:p>
        </w:tc>
      </w:tr>
      <w:tr w:rsidR="007368B5" w:rsidRPr="007368B5" w14:paraId="28C53415" w14:textId="77777777" w:rsidTr="00151104">
        <w:trPr>
          <w:jc w:val="center"/>
        </w:trPr>
        <w:tc>
          <w:tcPr>
            <w:tcW w:w="1560" w:type="dxa"/>
          </w:tcPr>
          <w:p w14:paraId="3086D6C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3FE9CBE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52.96</w:t>
            </w:r>
          </w:p>
        </w:tc>
        <w:tc>
          <w:tcPr>
            <w:tcW w:w="1560" w:type="dxa"/>
          </w:tcPr>
          <w:p w14:paraId="073F7D2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Male</w:t>
            </w:r>
          </w:p>
        </w:tc>
        <w:tc>
          <w:tcPr>
            <w:tcW w:w="1560" w:type="dxa"/>
          </w:tcPr>
          <w:p w14:paraId="29B1627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HBM379.QCJT.435</w:t>
            </w:r>
          </w:p>
        </w:tc>
        <w:tc>
          <w:tcPr>
            <w:tcW w:w="1560" w:type="dxa"/>
          </w:tcPr>
          <w:p w14:paraId="151C3206"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HBM735.NMFW.852</w:t>
            </w:r>
          </w:p>
        </w:tc>
        <w:tc>
          <w:tcPr>
            <w:tcW w:w="1560" w:type="dxa"/>
          </w:tcPr>
          <w:p w14:paraId="75B7D722" w14:textId="77777777" w:rsidR="007368B5" w:rsidRPr="007368B5" w:rsidRDefault="007368B5" w:rsidP="00151104">
            <w:pPr>
              <w:rPr>
                <w:rFonts w:ascii="Times New Roman" w:hAnsi="Times New Roman" w:cs="Times New Roman"/>
              </w:rPr>
            </w:pPr>
          </w:p>
        </w:tc>
      </w:tr>
    </w:tbl>
    <w:p w14:paraId="306BBF5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Three identifiers do three different jobs, and confusing them is the most common way to lose time here. </w:t>
      </w:r>
      <w:r w:rsidRPr="007368B5">
        <w:rPr>
          <w:rFonts w:ascii="Times New Roman" w:hAnsi="Times New Roman" w:cs="Times New Roman"/>
          <w:b/>
        </w:rPr>
        <w:t>Cite</w:t>
      </w:r>
      <w:r w:rsidRPr="007368B5">
        <w:rPr>
          <w:rFonts w:ascii="Times New Roman" w:hAnsi="Times New Roman" w:cs="Times New Roman"/>
        </w:rPr>
        <w:t xml:space="preserve"> the primary block and its DOI (</w:t>
      </w:r>
      <w:r w:rsidRPr="007368B5">
        <w:rPr>
          <w:rFonts w:ascii="Times New Roman" w:hAnsi="Times New Roman" w:cs="Times New Roman"/>
          <w:color w:val="1A3E6E"/>
          <w:sz w:val="19"/>
        </w:rPr>
        <w:t>10.35079/</w:t>
      </w:r>
      <w:r w:rsidRPr="007368B5">
        <w:rPr>
          <w:rFonts w:ascii="Times New Roman" w:hAnsi="Times New Roman" w:cs="Times New Roman"/>
        </w:rPr>
        <w:t xml:space="preserve"> followed by the primary ID). </w:t>
      </w:r>
      <w:r w:rsidRPr="007368B5">
        <w:rPr>
          <w:rFonts w:ascii="Times New Roman" w:hAnsi="Times New Roman" w:cs="Times New Roman"/>
          <w:b/>
        </w:rPr>
        <w:t>Download</w:t>
      </w:r>
      <w:r w:rsidRPr="007368B5">
        <w:rPr>
          <w:rFonts w:ascii="Times New Roman" w:hAnsi="Times New Roman" w:cs="Times New Roman"/>
        </w:rPr>
        <w:t xml:space="preserve"> the processed release, which is the openly available derivative. </w:t>
      </w:r>
      <w:r w:rsidRPr="007368B5">
        <w:rPr>
          <w:rFonts w:ascii="Times New Roman" w:hAnsi="Times New Roman" w:cs="Times New Roman"/>
          <w:b/>
        </w:rPr>
        <w:t>Name the local folder</w:t>
      </w:r>
      <w:r w:rsidRPr="007368B5">
        <w:rPr>
          <w:rFonts w:ascii="Times New Roman" w:hAnsi="Times New Roman" w:cs="Times New Roman"/>
        </w:rPr>
        <w:t xml:space="preserve"> after the primary block, because that is the identifier </w:t>
      </w:r>
      <w:r w:rsidRPr="007368B5">
        <w:rPr>
          <w:rFonts w:ascii="Times New Roman" w:hAnsi="Times New Roman" w:cs="Times New Roman"/>
          <w:color w:val="1A3E6E"/>
          <w:sz w:val="19"/>
        </w:rPr>
        <w:t>config/paths.yaml</w:t>
      </w:r>
      <w:r w:rsidRPr="007368B5">
        <w:rPr>
          <w:rFonts w:ascii="Times New Roman" w:hAnsi="Times New Roman" w:cs="Times New Roman"/>
        </w:rPr>
        <w:t xml:space="preserve"> resolves against.</w:t>
      </w:r>
    </w:p>
    <w:p w14:paraId="3098C29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Each donor has other tissue collections in HuBMAP; the blocks above are the lung single-nucleus datasets this course uses.</w:t>
      </w:r>
    </w:p>
    <w:p w14:paraId="6F6E5ECA"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Directory layout</w:t>
      </w:r>
    </w:p>
    <w:p w14:paraId="78376B35"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CFDE_Training_Final/</w:t>
      </w:r>
      <w:r w:rsidRPr="007368B5">
        <w:rPr>
          <w:rFonts w:ascii="Times New Roman" w:hAnsi="Times New Roman" w:cs="Times New Roman"/>
          <w:sz w:val="17"/>
        </w:rPr>
        <w:br/>
        <w:t xml:space="preserve">  README.md                              quick start and requirements</w:t>
      </w:r>
      <w:r w:rsidRPr="007368B5">
        <w:rPr>
          <w:rFonts w:ascii="Times New Roman" w:hAnsi="Times New Roman" w:cs="Times New Roman"/>
          <w:sz w:val="17"/>
        </w:rPr>
        <w:br/>
        <w:t xml:space="preserve">  environment.yml                        conda environment (CFDE_lung_env)</w:t>
      </w:r>
      <w:r w:rsidRPr="007368B5">
        <w:rPr>
          <w:rFonts w:ascii="Times New Roman" w:hAnsi="Times New Roman" w:cs="Times New Roman"/>
          <w:sz w:val="17"/>
        </w:rPr>
        <w:br/>
        <w:t xml:space="preserve">  requirements.txt                       pip alternative</w:t>
      </w:r>
      <w:r w:rsidRPr="007368B5">
        <w:rPr>
          <w:rFonts w:ascii="Times New Roman" w:hAnsi="Times New Roman" w:cs="Times New Roman"/>
          <w:sz w:val="17"/>
        </w:rPr>
        <w:br/>
        <w:t xml:space="preserve">  config/paths.yaml                      all paths, thresholds and cohort identifiers</w:t>
      </w:r>
      <w:r w:rsidRPr="007368B5">
        <w:rPr>
          <w:rFonts w:ascii="Times New Roman" w:hAnsi="Times New Roman" w:cs="Times New Roman"/>
          <w:sz w:val="17"/>
        </w:rPr>
        <w:br/>
        <w:t xml:space="preserve">  notebooks/                             Modules 1 to 4</w:t>
      </w:r>
      <w:r w:rsidRPr="007368B5">
        <w:rPr>
          <w:rFonts w:ascii="Times New Roman" w:hAnsi="Times New Roman" w:cs="Times New Roman"/>
          <w:sz w:val="17"/>
        </w:rPr>
        <w:br/>
        <w:t xml:space="preserve">  scripts/                               analysis package</w:t>
      </w:r>
      <w:r w:rsidRPr="007368B5">
        <w:rPr>
          <w:rFonts w:ascii="Times New Roman" w:hAnsi="Times New Roman" w:cs="Times New Roman"/>
          <w:sz w:val="17"/>
        </w:rPr>
        <w:br/>
        <w:t xml:space="preserve">  docs/                                  the module documents, Modules 0 to 5</w:t>
      </w:r>
      <w:r w:rsidRPr="007368B5">
        <w:rPr>
          <w:rFonts w:ascii="Times New Roman" w:hAnsi="Times New Roman" w:cs="Times New Roman"/>
          <w:sz w:val="17"/>
        </w:rPr>
        <w:br/>
        <w:t xml:space="preserve">  outputs/                               committed tables, figures and reports</w:t>
      </w:r>
      <w:r w:rsidRPr="007368B5">
        <w:rPr>
          <w:rFonts w:ascii="Times New Roman" w:hAnsi="Times New Roman" w:cs="Times New Roman"/>
          <w:sz w:val="17"/>
        </w:rPr>
        <w:br/>
        <w:t xml:space="preserve">  data/</w:t>
      </w:r>
      <w:r w:rsidRPr="007368B5">
        <w:rPr>
          <w:rFonts w:ascii="Times New Roman" w:hAnsi="Times New Roman" w:cs="Times New Roman"/>
          <w:sz w:val="17"/>
        </w:rPr>
        <w:br/>
        <w:t xml:space="preserve">    genesets/                            shipped with the package (2.17 MB)</w:t>
      </w:r>
      <w:r w:rsidRPr="007368B5">
        <w:rPr>
          <w:rFonts w:ascii="Times New Roman" w:hAnsi="Times New Roman" w:cs="Times New Roman"/>
          <w:sz w:val="17"/>
        </w:rPr>
        <w:br/>
        <w:t xml:space="preserve">    reference/                           shipped: orthologs, ERCC expected fold changes</w:t>
      </w:r>
      <w:r w:rsidRPr="007368B5">
        <w:rPr>
          <w:rFonts w:ascii="Times New Roman" w:hAnsi="Times New Roman" w:cs="Times New Roman"/>
          <w:sz w:val="17"/>
        </w:rPr>
        <w:br/>
        <w:t xml:space="preserve">    source/                              YOU DOWNLOAD INTO HERE (Appendix A)</w:t>
      </w:r>
      <w:r w:rsidRPr="007368B5">
        <w:rPr>
          <w:rFonts w:ascii="Times New Roman" w:hAnsi="Times New Roman" w:cs="Times New Roman"/>
          <w:sz w:val="17"/>
        </w:rPr>
        <w:br/>
        <w:t xml:space="preserve">      HUBMAP/</w:t>
      </w:r>
      <w:r w:rsidRPr="007368B5">
        <w:rPr>
          <w:rFonts w:ascii="Times New Roman" w:hAnsi="Times New Roman" w:cs="Times New Roman"/>
          <w:sz w:val="17"/>
        </w:rPr>
        <w:br/>
        <w:t xml:space="preserve">        Donor_1/snRNAseq/HBM347.VDHS.379/{raw_expr.h5ad, HBM347.VDHS.379.tsv}</w:t>
      </w:r>
      <w:r w:rsidRPr="007368B5">
        <w:rPr>
          <w:rFonts w:ascii="Times New Roman" w:hAnsi="Times New Roman" w:cs="Times New Roman"/>
          <w:sz w:val="17"/>
        </w:rPr>
        <w:br/>
        <w:t xml:space="preserve">        Donor_2/snRNAseq/HBM473.NKMR.872/{raw_expr.h5ad, HBM473.NKMR.872.tsv}</w:t>
      </w:r>
      <w:r w:rsidRPr="007368B5">
        <w:rPr>
          <w:rFonts w:ascii="Times New Roman" w:hAnsi="Times New Roman" w:cs="Times New Roman"/>
          <w:sz w:val="17"/>
        </w:rPr>
        <w:br/>
        <w:t xml:space="preserve">        Donor_2/SNAREseq/HBM828.GPVG.252/multiome_mofa.hdf5</w:t>
      </w:r>
      <w:r w:rsidRPr="007368B5">
        <w:rPr>
          <w:rFonts w:ascii="Times New Roman" w:hAnsi="Times New Roman" w:cs="Times New Roman"/>
          <w:sz w:val="17"/>
        </w:rPr>
        <w:br/>
        <w:t xml:space="preserve">        Donor_3/snRNAseq/HBM484.RGWP.797/{raw_expr.h5ad, HBM484.RGWP.797.tsv}</w:t>
      </w:r>
      <w:r w:rsidRPr="007368B5">
        <w:rPr>
          <w:rFonts w:ascii="Times New Roman" w:hAnsi="Times New Roman" w:cs="Times New Roman"/>
          <w:sz w:val="17"/>
        </w:rPr>
        <w:br/>
        <w:t xml:space="preserve">        Donor_4/snRNAseq/HBM379.QCJT.435/{raw_expr.h5ad, HBM379.QCJT.435.tsv}</w:t>
      </w:r>
      <w:r w:rsidRPr="007368B5">
        <w:rPr>
          <w:rFonts w:ascii="Times New Roman" w:hAnsi="Times New Roman" w:cs="Times New Roman"/>
          <w:sz w:val="17"/>
        </w:rPr>
        <w:br/>
        <w:t xml:space="preserve">      GTEX/</w:t>
      </w:r>
      <w:r w:rsidRPr="007368B5">
        <w:rPr>
          <w:rFonts w:ascii="Times New Roman" w:hAnsi="Times New Roman" w:cs="Times New Roman"/>
          <w:sz w:val="17"/>
        </w:rPr>
        <w:br/>
        <w:t xml:space="preserve">      GEO/GSE150910/</w:t>
      </w:r>
      <w:r w:rsidRPr="007368B5">
        <w:rPr>
          <w:rFonts w:ascii="Times New Roman" w:hAnsi="Times New Roman" w:cs="Times New Roman"/>
          <w:sz w:val="17"/>
        </w:rPr>
        <w:br/>
        <w:t xml:space="preserve">      OSDR/OSD-248/OSD-248_metadata_GLDS-248-ISA/</w:t>
      </w:r>
      <w:r w:rsidRPr="007368B5">
        <w:rPr>
          <w:rFonts w:ascii="Times New Roman" w:hAnsi="Times New Roman" w:cs="Times New Roman"/>
          <w:sz w:val="17"/>
        </w:rPr>
        <w:br/>
        <w:t xml:space="preserve">    processed/                           written by Module 1, not downloaded</w:t>
      </w:r>
    </w:p>
    <w:p w14:paraId="0118CBD1"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Option 1: minimum download, recommended</w:t>
      </w:r>
    </w:p>
    <w:p w14:paraId="2F4FB24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Approximately </w:t>
      </w:r>
      <w:r w:rsidRPr="007368B5">
        <w:rPr>
          <w:rFonts w:ascii="Times New Roman" w:hAnsi="Times New Roman" w:cs="Times New Roman"/>
          <w:b/>
        </w:rPr>
        <w:t>814.87 MB</w:t>
      </w:r>
      <w:r w:rsidRPr="007368B5">
        <w:rPr>
          <w:rFonts w:ascii="Times New Roman" w:hAnsi="Times New Roman" w:cs="Times New Roman"/>
        </w:rPr>
        <w:t xml:space="preserve"> across 20 files. This is the recommended option and it is sufficient to reproduce every result in the course. Every file is openly accessible without an account, and each one is resolved from </w:t>
      </w:r>
      <w:r w:rsidRPr="007368B5">
        <w:rPr>
          <w:rFonts w:ascii="Times New Roman" w:hAnsi="Times New Roman" w:cs="Times New Roman"/>
          <w:color w:val="1A3E6E"/>
          <w:sz w:val="19"/>
        </w:rPr>
        <w:t>config/paths.yaml</w:t>
      </w:r>
      <w:r w:rsidRPr="007368B5">
        <w:rPr>
          <w:rFonts w:ascii="Times New Roman" w:hAnsi="Times New Roman" w:cs="Times New Roman"/>
        </w:rPr>
        <w:t>, so nothing here is optional for the default path. Appendix A gives the terminal commands.</w:t>
      </w:r>
    </w:p>
    <w:tbl>
      <w:tblPr>
        <w:tblStyle w:val="TableGrid"/>
        <w:tblW w:w="0" w:type="auto"/>
        <w:jc w:val="center"/>
        <w:tblLook w:val="04A0" w:firstRow="1" w:lastRow="0" w:firstColumn="1" w:lastColumn="0" w:noHBand="0" w:noVBand="1"/>
      </w:tblPr>
      <w:tblGrid>
        <w:gridCol w:w="1586"/>
        <w:gridCol w:w="4804"/>
        <w:gridCol w:w="1586"/>
        <w:gridCol w:w="1374"/>
      </w:tblGrid>
      <w:tr w:rsidR="007368B5" w:rsidRPr="007368B5" w14:paraId="2D094421" w14:textId="77777777" w:rsidTr="00151104">
        <w:trPr>
          <w:jc w:val="center"/>
        </w:trPr>
        <w:tc>
          <w:tcPr>
            <w:tcW w:w="2340" w:type="dxa"/>
            <w:shd w:val="clear" w:color="auto" w:fill="DCE6F1"/>
          </w:tcPr>
          <w:p w14:paraId="1F76D464"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Resource</w:t>
            </w:r>
          </w:p>
        </w:tc>
        <w:tc>
          <w:tcPr>
            <w:tcW w:w="2340" w:type="dxa"/>
            <w:shd w:val="clear" w:color="auto" w:fill="DCE6F1"/>
          </w:tcPr>
          <w:p w14:paraId="2CBEBEB5"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File</w:t>
            </w:r>
          </w:p>
        </w:tc>
        <w:tc>
          <w:tcPr>
            <w:tcW w:w="2340" w:type="dxa"/>
            <w:shd w:val="clear" w:color="auto" w:fill="DCE6F1"/>
          </w:tcPr>
          <w:p w14:paraId="2CA6F4B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What it provides</w:t>
            </w:r>
          </w:p>
        </w:tc>
        <w:tc>
          <w:tcPr>
            <w:tcW w:w="2340" w:type="dxa"/>
            <w:shd w:val="clear" w:color="auto" w:fill="DCE6F1"/>
          </w:tcPr>
          <w:p w14:paraId="1C05FEB6"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MB</w:t>
            </w:r>
          </w:p>
        </w:tc>
      </w:tr>
      <w:tr w:rsidR="007368B5" w:rsidRPr="007368B5" w14:paraId="7E3D8729" w14:textId="77777777" w:rsidTr="00151104">
        <w:trPr>
          <w:jc w:val="center"/>
        </w:trPr>
        <w:tc>
          <w:tcPr>
            <w:tcW w:w="2340" w:type="dxa"/>
          </w:tcPr>
          <w:p w14:paraId="5787641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Donor_1</w:t>
            </w:r>
          </w:p>
        </w:tc>
        <w:tc>
          <w:tcPr>
            <w:tcW w:w="2340" w:type="dxa"/>
          </w:tcPr>
          <w:p w14:paraId="0016B99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raw_expr.h5ad</w:t>
            </w:r>
          </w:p>
        </w:tc>
        <w:tc>
          <w:tcPr>
            <w:tcW w:w="2340" w:type="dxa"/>
          </w:tcPr>
          <w:p w14:paraId="02DB2DE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Raw counts matrix for QC</w:t>
            </w:r>
          </w:p>
        </w:tc>
        <w:tc>
          <w:tcPr>
            <w:tcW w:w="2340" w:type="dxa"/>
          </w:tcPr>
          <w:p w14:paraId="2D7BB78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68.57</w:t>
            </w:r>
          </w:p>
        </w:tc>
      </w:tr>
      <w:tr w:rsidR="007368B5" w:rsidRPr="007368B5" w14:paraId="7E518727" w14:textId="77777777" w:rsidTr="00151104">
        <w:trPr>
          <w:jc w:val="center"/>
        </w:trPr>
        <w:tc>
          <w:tcPr>
            <w:tcW w:w="2340" w:type="dxa"/>
          </w:tcPr>
          <w:p w14:paraId="19772FF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Donor_1</w:t>
            </w:r>
          </w:p>
        </w:tc>
        <w:tc>
          <w:tcPr>
            <w:tcW w:w="2340" w:type="dxa"/>
          </w:tcPr>
          <w:p w14:paraId="0C78B0FD"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HBM347.VDHS.379.tsv</w:t>
            </w:r>
          </w:p>
        </w:tc>
        <w:tc>
          <w:tcPr>
            <w:tcW w:w="2340" w:type="dxa"/>
          </w:tcPr>
          <w:p w14:paraId="0D2A969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Block metadata for provenance and inventory</w:t>
            </w:r>
          </w:p>
        </w:tc>
        <w:tc>
          <w:tcPr>
            <w:tcW w:w="2340" w:type="dxa"/>
          </w:tcPr>
          <w:p w14:paraId="35E070B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0.02</w:t>
            </w:r>
          </w:p>
        </w:tc>
      </w:tr>
      <w:tr w:rsidR="007368B5" w:rsidRPr="007368B5" w14:paraId="3063B946" w14:textId="77777777" w:rsidTr="00151104">
        <w:trPr>
          <w:jc w:val="center"/>
        </w:trPr>
        <w:tc>
          <w:tcPr>
            <w:tcW w:w="2340" w:type="dxa"/>
          </w:tcPr>
          <w:p w14:paraId="18BADF7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Donor_2</w:t>
            </w:r>
          </w:p>
        </w:tc>
        <w:tc>
          <w:tcPr>
            <w:tcW w:w="2340" w:type="dxa"/>
          </w:tcPr>
          <w:p w14:paraId="541C0BFC"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raw_expr.h5ad</w:t>
            </w:r>
          </w:p>
        </w:tc>
        <w:tc>
          <w:tcPr>
            <w:tcW w:w="2340" w:type="dxa"/>
          </w:tcPr>
          <w:p w14:paraId="5304930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Raw counts matrix for QC</w:t>
            </w:r>
          </w:p>
        </w:tc>
        <w:tc>
          <w:tcPr>
            <w:tcW w:w="2340" w:type="dxa"/>
          </w:tcPr>
          <w:p w14:paraId="718903C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104.55</w:t>
            </w:r>
          </w:p>
        </w:tc>
      </w:tr>
      <w:tr w:rsidR="007368B5" w:rsidRPr="007368B5" w14:paraId="7B6C1F23" w14:textId="77777777" w:rsidTr="00151104">
        <w:trPr>
          <w:jc w:val="center"/>
        </w:trPr>
        <w:tc>
          <w:tcPr>
            <w:tcW w:w="2340" w:type="dxa"/>
          </w:tcPr>
          <w:p w14:paraId="7CC7782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Donor_2</w:t>
            </w:r>
          </w:p>
        </w:tc>
        <w:tc>
          <w:tcPr>
            <w:tcW w:w="2340" w:type="dxa"/>
          </w:tcPr>
          <w:p w14:paraId="0B5AA767"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HBM473.NKMR.872.tsv</w:t>
            </w:r>
          </w:p>
        </w:tc>
        <w:tc>
          <w:tcPr>
            <w:tcW w:w="2340" w:type="dxa"/>
          </w:tcPr>
          <w:p w14:paraId="2FD4C55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Block metadata</w:t>
            </w:r>
          </w:p>
        </w:tc>
        <w:tc>
          <w:tcPr>
            <w:tcW w:w="2340" w:type="dxa"/>
          </w:tcPr>
          <w:p w14:paraId="10A3EA9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0.02</w:t>
            </w:r>
          </w:p>
        </w:tc>
      </w:tr>
      <w:tr w:rsidR="007368B5" w:rsidRPr="007368B5" w14:paraId="12BD04B9" w14:textId="77777777" w:rsidTr="00151104">
        <w:trPr>
          <w:jc w:val="center"/>
        </w:trPr>
        <w:tc>
          <w:tcPr>
            <w:tcW w:w="2340" w:type="dxa"/>
          </w:tcPr>
          <w:p w14:paraId="7DF371F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lastRenderedPageBreak/>
              <w:t>HuBMAP Donor_3</w:t>
            </w:r>
          </w:p>
        </w:tc>
        <w:tc>
          <w:tcPr>
            <w:tcW w:w="2340" w:type="dxa"/>
          </w:tcPr>
          <w:p w14:paraId="7F67A196"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raw_expr.h5ad</w:t>
            </w:r>
          </w:p>
        </w:tc>
        <w:tc>
          <w:tcPr>
            <w:tcW w:w="2340" w:type="dxa"/>
          </w:tcPr>
          <w:p w14:paraId="45AEF2C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Raw counts matrix for QC</w:t>
            </w:r>
          </w:p>
        </w:tc>
        <w:tc>
          <w:tcPr>
            <w:tcW w:w="2340" w:type="dxa"/>
          </w:tcPr>
          <w:p w14:paraId="63A381F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150.92</w:t>
            </w:r>
          </w:p>
        </w:tc>
      </w:tr>
      <w:tr w:rsidR="007368B5" w:rsidRPr="007368B5" w14:paraId="0BC4983E" w14:textId="77777777" w:rsidTr="00151104">
        <w:trPr>
          <w:jc w:val="center"/>
        </w:trPr>
        <w:tc>
          <w:tcPr>
            <w:tcW w:w="2340" w:type="dxa"/>
          </w:tcPr>
          <w:p w14:paraId="786ADE9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Donor_3</w:t>
            </w:r>
          </w:p>
        </w:tc>
        <w:tc>
          <w:tcPr>
            <w:tcW w:w="2340" w:type="dxa"/>
          </w:tcPr>
          <w:p w14:paraId="36E9EED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HBM484.RGWP.797.tsv</w:t>
            </w:r>
          </w:p>
        </w:tc>
        <w:tc>
          <w:tcPr>
            <w:tcW w:w="2340" w:type="dxa"/>
          </w:tcPr>
          <w:p w14:paraId="477D945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Block metadata</w:t>
            </w:r>
          </w:p>
        </w:tc>
        <w:tc>
          <w:tcPr>
            <w:tcW w:w="2340" w:type="dxa"/>
          </w:tcPr>
          <w:p w14:paraId="37B0915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0.02</w:t>
            </w:r>
          </w:p>
        </w:tc>
      </w:tr>
      <w:tr w:rsidR="007368B5" w:rsidRPr="007368B5" w14:paraId="257094D1" w14:textId="77777777" w:rsidTr="00151104">
        <w:trPr>
          <w:jc w:val="center"/>
        </w:trPr>
        <w:tc>
          <w:tcPr>
            <w:tcW w:w="2340" w:type="dxa"/>
          </w:tcPr>
          <w:p w14:paraId="101129A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Donor_4</w:t>
            </w:r>
          </w:p>
        </w:tc>
        <w:tc>
          <w:tcPr>
            <w:tcW w:w="2340" w:type="dxa"/>
          </w:tcPr>
          <w:p w14:paraId="7D77250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raw_expr.h5ad</w:t>
            </w:r>
          </w:p>
        </w:tc>
        <w:tc>
          <w:tcPr>
            <w:tcW w:w="2340" w:type="dxa"/>
          </w:tcPr>
          <w:p w14:paraId="5ED3B2E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Raw counts matrix for QC</w:t>
            </w:r>
          </w:p>
        </w:tc>
        <w:tc>
          <w:tcPr>
            <w:tcW w:w="2340" w:type="dxa"/>
          </w:tcPr>
          <w:p w14:paraId="7A83982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70.56</w:t>
            </w:r>
          </w:p>
        </w:tc>
      </w:tr>
      <w:tr w:rsidR="007368B5" w:rsidRPr="007368B5" w14:paraId="73EDC81A" w14:textId="77777777" w:rsidTr="00151104">
        <w:trPr>
          <w:jc w:val="center"/>
        </w:trPr>
        <w:tc>
          <w:tcPr>
            <w:tcW w:w="2340" w:type="dxa"/>
          </w:tcPr>
          <w:p w14:paraId="6B09D37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Donor_4</w:t>
            </w:r>
          </w:p>
        </w:tc>
        <w:tc>
          <w:tcPr>
            <w:tcW w:w="2340" w:type="dxa"/>
          </w:tcPr>
          <w:p w14:paraId="730174C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HBM379.QCJT.435.tsv</w:t>
            </w:r>
          </w:p>
        </w:tc>
        <w:tc>
          <w:tcPr>
            <w:tcW w:w="2340" w:type="dxa"/>
          </w:tcPr>
          <w:p w14:paraId="19E9271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Block metadata</w:t>
            </w:r>
          </w:p>
        </w:tc>
        <w:tc>
          <w:tcPr>
            <w:tcW w:w="2340" w:type="dxa"/>
          </w:tcPr>
          <w:p w14:paraId="208D9DD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0.02</w:t>
            </w:r>
          </w:p>
        </w:tc>
      </w:tr>
      <w:tr w:rsidR="007368B5" w:rsidRPr="007368B5" w14:paraId="2895EC08" w14:textId="77777777" w:rsidTr="00151104">
        <w:trPr>
          <w:jc w:val="center"/>
        </w:trPr>
        <w:tc>
          <w:tcPr>
            <w:tcW w:w="2340" w:type="dxa"/>
          </w:tcPr>
          <w:p w14:paraId="04227CB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 multiome</w:t>
            </w:r>
          </w:p>
        </w:tc>
        <w:tc>
          <w:tcPr>
            <w:tcW w:w="2340" w:type="dxa"/>
          </w:tcPr>
          <w:p w14:paraId="3A17484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multiome_mofa.hdf5</w:t>
            </w:r>
          </w:p>
        </w:tc>
        <w:tc>
          <w:tcPr>
            <w:tcW w:w="2340" w:type="dxa"/>
          </w:tcPr>
          <w:p w14:paraId="2A3CB6C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MOFA factors and variance, the Module 3 default path</w:t>
            </w:r>
          </w:p>
        </w:tc>
        <w:tc>
          <w:tcPr>
            <w:tcW w:w="2340" w:type="dxa"/>
          </w:tcPr>
          <w:p w14:paraId="763D4BE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140.78</w:t>
            </w:r>
          </w:p>
        </w:tc>
      </w:tr>
      <w:tr w:rsidR="007368B5" w:rsidRPr="007368B5" w14:paraId="700C7115" w14:textId="77777777" w:rsidTr="00151104">
        <w:trPr>
          <w:jc w:val="center"/>
        </w:trPr>
        <w:tc>
          <w:tcPr>
            <w:tcW w:w="2340" w:type="dxa"/>
          </w:tcPr>
          <w:p w14:paraId="1A8CC63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 v10</w:t>
            </w:r>
          </w:p>
        </w:tc>
        <w:tc>
          <w:tcPr>
            <w:tcW w:w="2340" w:type="dxa"/>
          </w:tcPr>
          <w:p w14:paraId="259C5D7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gene_tpm_v10_lung.gct.gz</w:t>
            </w:r>
          </w:p>
        </w:tc>
        <w:tc>
          <w:tcPr>
            <w:tcW w:w="2340" w:type="dxa"/>
          </w:tcPr>
          <w:p w14:paraId="7ABA1D8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Expression levels for the HuBMAP to GTEx bridge</w:t>
            </w:r>
          </w:p>
        </w:tc>
        <w:tc>
          <w:tcPr>
            <w:tcW w:w="2340" w:type="dxa"/>
          </w:tcPr>
          <w:p w14:paraId="510CB87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77.60</w:t>
            </w:r>
          </w:p>
        </w:tc>
      </w:tr>
      <w:tr w:rsidR="007368B5" w:rsidRPr="007368B5" w14:paraId="2F5199DA" w14:textId="77777777" w:rsidTr="00151104">
        <w:trPr>
          <w:jc w:val="center"/>
        </w:trPr>
        <w:tc>
          <w:tcPr>
            <w:tcW w:w="2340" w:type="dxa"/>
          </w:tcPr>
          <w:p w14:paraId="285B2F0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 v10</w:t>
            </w:r>
          </w:p>
        </w:tc>
        <w:tc>
          <w:tcPr>
            <w:tcW w:w="2340" w:type="dxa"/>
          </w:tcPr>
          <w:p w14:paraId="4D274DA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gene_reads_v10_lung.gct.gz</w:t>
            </w:r>
          </w:p>
        </w:tc>
        <w:tc>
          <w:tcPr>
            <w:tcW w:w="2340" w:type="dxa"/>
          </w:tcPr>
          <w:p w14:paraId="77DA9EA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Counts for the aging differential expression</w:t>
            </w:r>
          </w:p>
        </w:tc>
        <w:tc>
          <w:tcPr>
            <w:tcW w:w="2340" w:type="dxa"/>
          </w:tcPr>
          <w:p w14:paraId="1906A76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32.49</w:t>
            </w:r>
          </w:p>
        </w:tc>
      </w:tr>
      <w:tr w:rsidR="007368B5" w:rsidRPr="007368B5" w14:paraId="68582557" w14:textId="77777777" w:rsidTr="00151104">
        <w:trPr>
          <w:jc w:val="center"/>
        </w:trPr>
        <w:tc>
          <w:tcPr>
            <w:tcW w:w="2340" w:type="dxa"/>
          </w:tcPr>
          <w:p w14:paraId="6887FBD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 v10</w:t>
            </w:r>
          </w:p>
        </w:tc>
        <w:tc>
          <w:tcPr>
            <w:tcW w:w="2340" w:type="dxa"/>
          </w:tcPr>
          <w:p w14:paraId="43D5310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GTEx_Analysis_v10_Annotations_SampleAttributesDS.txt</w:t>
            </w:r>
          </w:p>
        </w:tc>
        <w:tc>
          <w:tcPr>
            <w:tcW w:w="2340" w:type="dxa"/>
          </w:tcPr>
          <w:p w14:paraId="64C7F10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Sample metadata: tissue, ischemic time</w:t>
            </w:r>
          </w:p>
        </w:tc>
        <w:tc>
          <w:tcPr>
            <w:tcW w:w="2340" w:type="dxa"/>
          </w:tcPr>
          <w:p w14:paraId="6575840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38.50</w:t>
            </w:r>
          </w:p>
        </w:tc>
      </w:tr>
      <w:tr w:rsidR="007368B5" w:rsidRPr="007368B5" w14:paraId="3B287F7B" w14:textId="77777777" w:rsidTr="00151104">
        <w:trPr>
          <w:jc w:val="center"/>
        </w:trPr>
        <w:tc>
          <w:tcPr>
            <w:tcW w:w="2340" w:type="dxa"/>
          </w:tcPr>
          <w:p w14:paraId="189D580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 v10</w:t>
            </w:r>
          </w:p>
        </w:tc>
        <w:tc>
          <w:tcPr>
            <w:tcW w:w="2340" w:type="dxa"/>
          </w:tcPr>
          <w:p w14:paraId="674764E0"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GTEx_Analysis_v10_Annotations_SubjectPhenotypesDS.txt</w:t>
            </w:r>
          </w:p>
        </w:tc>
        <w:tc>
          <w:tcPr>
            <w:tcW w:w="2340" w:type="dxa"/>
          </w:tcPr>
          <w:p w14:paraId="38F5DF2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Subject metadata: age bracket, sex</w:t>
            </w:r>
          </w:p>
        </w:tc>
        <w:tc>
          <w:tcPr>
            <w:tcW w:w="2340" w:type="dxa"/>
          </w:tcPr>
          <w:p w14:paraId="4B7DFB8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0.02</w:t>
            </w:r>
          </w:p>
        </w:tc>
      </w:tr>
      <w:tr w:rsidR="007368B5" w:rsidRPr="007368B5" w14:paraId="2EB0973C" w14:textId="77777777" w:rsidTr="00151104">
        <w:trPr>
          <w:jc w:val="center"/>
        </w:trPr>
        <w:tc>
          <w:tcPr>
            <w:tcW w:w="2340" w:type="dxa"/>
          </w:tcPr>
          <w:p w14:paraId="1BAF660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GEO GSE150910</w:t>
            </w:r>
          </w:p>
        </w:tc>
        <w:tc>
          <w:tcPr>
            <w:tcW w:w="2340" w:type="dxa"/>
          </w:tcPr>
          <w:p w14:paraId="32EAEEC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GSE150910_gene-level_count_file.csv.gz</w:t>
            </w:r>
          </w:p>
        </w:tc>
        <w:tc>
          <w:tcPr>
            <w:tcW w:w="2340" w:type="dxa"/>
          </w:tcPr>
          <w:p w14:paraId="79D7B51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Counts for the IPF versus control contrast</w:t>
            </w:r>
          </w:p>
        </w:tc>
        <w:tc>
          <w:tcPr>
            <w:tcW w:w="2340" w:type="dxa"/>
          </w:tcPr>
          <w:p w14:paraId="634A266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8.12</w:t>
            </w:r>
          </w:p>
        </w:tc>
      </w:tr>
      <w:tr w:rsidR="007368B5" w:rsidRPr="007368B5" w14:paraId="02985950" w14:textId="77777777" w:rsidTr="00151104">
        <w:trPr>
          <w:jc w:val="center"/>
        </w:trPr>
        <w:tc>
          <w:tcPr>
            <w:tcW w:w="2340" w:type="dxa"/>
          </w:tcPr>
          <w:p w14:paraId="47A6B3C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GEO GSE150910</w:t>
            </w:r>
          </w:p>
        </w:tc>
        <w:tc>
          <w:tcPr>
            <w:tcW w:w="2340" w:type="dxa"/>
          </w:tcPr>
          <w:p w14:paraId="614B06F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GSE150910_series_matrix.txt.gz</w:t>
            </w:r>
          </w:p>
        </w:tc>
        <w:tc>
          <w:tcPr>
            <w:tcW w:w="2340" w:type="dxa"/>
          </w:tcPr>
          <w:p w14:paraId="16565A3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Sample annotations and phenotype</w:t>
            </w:r>
          </w:p>
        </w:tc>
        <w:tc>
          <w:tcPr>
            <w:tcW w:w="2340" w:type="dxa"/>
          </w:tcPr>
          <w:p w14:paraId="09CFC3D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0.01</w:t>
            </w:r>
          </w:p>
        </w:tc>
      </w:tr>
      <w:tr w:rsidR="007368B5" w:rsidRPr="007368B5" w14:paraId="6F274DE7" w14:textId="77777777" w:rsidTr="00151104">
        <w:trPr>
          <w:jc w:val="center"/>
        </w:trPr>
        <w:tc>
          <w:tcPr>
            <w:tcW w:w="2340" w:type="dxa"/>
          </w:tcPr>
          <w:p w14:paraId="29A6F58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OSDR OSD-248</w:t>
            </w:r>
          </w:p>
        </w:tc>
        <w:tc>
          <w:tcPr>
            <w:tcW w:w="2340" w:type="dxa"/>
          </w:tcPr>
          <w:p w14:paraId="05252C7D"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GLDS-248_rna_seq_RSEM_Unnormalized_Counts_rRNArm_GLbulkRNAseq.csv</w:t>
            </w:r>
          </w:p>
        </w:tc>
        <w:tc>
          <w:tcPr>
            <w:tcW w:w="2340" w:type="dxa"/>
          </w:tcPr>
          <w:p w14:paraId="7E285A9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RSEM counts, rounded for pydeseq2</w:t>
            </w:r>
          </w:p>
        </w:tc>
        <w:tc>
          <w:tcPr>
            <w:tcW w:w="2340" w:type="dxa"/>
          </w:tcPr>
          <w:p w14:paraId="6D29943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10.90</w:t>
            </w:r>
          </w:p>
        </w:tc>
      </w:tr>
      <w:tr w:rsidR="007368B5" w:rsidRPr="007368B5" w14:paraId="2AC6D531" w14:textId="77777777" w:rsidTr="00151104">
        <w:trPr>
          <w:jc w:val="center"/>
        </w:trPr>
        <w:tc>
          <w:tcPr>
            <w:tcW w:w="2340" w:type="dxa"/>
          </w:tcPr>
          <w:p w14:paraId="51E48DF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OSDR OSD-248</w:t>
            </w:r>
          </w:p>
        </w:tc>
        <w:tc>
          <w:tcPr>
            <w:tcW w:w="2340" w:type="dxa"/>
          </w:tcPr>
          <w:p w14:paraId="4827A1C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GLDS-248_rna_seq_differential_expression_rRNArm_GLbulkRNAseq.csv</w:t>
            </w:r>
          </w:p>
        </w:tc>
        <w:tc>
          <w:tcPr>
            <w:tcW w:w="2340" w:type="dxa"/>
          </w:tcPr>
          <w:p w14:paraId="3376806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GeneLab differential expression, used as an independent cross-check</w:t>
            </w:r>
          </w:p>
        </w:tc>
        <w:tc>
          <w:tcPr>
            <w:tcW w:w="2340" w:type="dxa"/>
          </w:tcPr>
          <w:p w14:paraId="6429985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111.54</w:t>
            </w:r>
          </w:p>
        </w:tc>
      </w:tr>
      <w:tr w:rsidR="007368B5" w:rsidRPr="007368B5" w14:paraId="22A8FA9D" w14:textId="77777777" w:rsidTr="00151104">
        <w:trPr>
          <w:jc w:val="center"/>
        </w:trPr>
        <w:tc>
          <w:tcPr>
            <w:tcW w:w="2340" w:type="dxa"/>
          </w:tcPr>
          <w:p w14:paraId="28ED957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OSDR OSD-248</w:t>
            </w:r>
          </w:p>
        </w:tc>
        <w:tc>
          <w:tcPr>
            <w:tcW w:w="2340" w:type="dxa"/>
          </w:tcPr>
          <w:p w14:paraId="3D8CAA56"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GLDS-248_rna_seq_contrasts_GLbulkRNAseq.csv</w:t>
            </w:r>
          </w:p>
        </w:tc>
        <w:tc>
          <w:tcPr>
            <w:tcW w:w="2340" w:type="dxa"/>
          </w:tcPr>
          <w:p w14:paraId="586F7B7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Contrast definitions naming the flight and ground arms</w:t>
            </w:r>
          </w:p>
        </w:tc>
        <w:tc>
          <w:tcPr>
            <w:tcW w:w="2340" w:type="dxa"/>
          </w:tcPr>
          <w:p w14:paraId="47E1208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0.01</w:t>
            </w:r>
          </w:p>
        </w:tc>
      </w:tr>
      <w:tr w:rsidR="007368B5" w:rsidRPr="007368B5" w14:paraId="57DCA8D2" w14:textId="77777777" w:rsidTr="00151104">
        <w:trPr>
          <w:jc w:val="center"/>
        </w:trPr>
        <w:tc>
          <w:tcPr>
            <w:tcW w:w="2340" w:type="dxa"/>
          </w:tcPr>
          <w:p w14:paraId="47A3154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OSDR OSD-248</w:t>
            </w:r>
          </w:p>
        </w:tc>
        <w:tc>
          <w:tcPr>
            <w:tcW w:w="2340" w:type="dxa"/>
          </w:tcPr>
          <w:p w14:paraId="5674202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OSD-248_metadata_GLDS-248-ISA/s_OSD-248.txt</w:t>
            </w:r>
          </w:p>
        </w:tc>
        <w:tc>
          <w:tcPr>
            <w:tcW w:w="2340" w:type="dxa"/>
          </w:tcPr>
          <w:p w14:paraId="40017BF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ISA sample metadata: arm, duration, euthanasia</w:t>
            </w:r>
          </w:p>
        </w:tc>
        <w:tc>
          <w:tcPr>
            <w:tcW w:w="2340" w:type="dxa"/>
          </w:tcPr>
          <w:p w14:paraId="13FC79E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0.06</w:t>
            </w:r>
          </w:p>
        </w:tc>
      </w:tr>
      <w:tr w:rsidR="007368B5" w:rsidRPr="007368B5" w14:paraId="727EAC43" w14:textId="77777777" w:rsidTr="00151104">
        <w:trPr>
          <w:jc w:val="center"/>
        </w:trPr>
        <w:tc>
          <w:tcPr>
            <w:tcW w:w="2340" w:type="dxa"/>
          </w:tcPr>
          <w:p w14:paraId="4745525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OSDR OSD-248</w:t>
            </w:r>
          </w:p>
        </w:tc>
        <w:tc>
          <w:tcPr>
            <w:tcW w:w="2340" w:type="dxa"/>
          </w:tcPr>
          <w:p w14:paraId="4974831C"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OSD-248_metadata_GLDS-248-ISA/a_OSD-248_transcription-profiling_rna-sequencing-(rna-seq)_Illumina NovaSeq 6000.txt</w:t>
            </w:r>
          </w:p>
        </w:tc>
        <w:tc>
          <w:tcPr>
            <w:tcW w:w="2340" w:type="dxa"/>
          </w:tcPr>
          <w:p w14:paraId="15D6A92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ISA assay metadata: library prep, sequencer</w:t>
            </w:r>
          </w:p>
        </w:tc>
        <w:tc>
          <w:tcPr>
            <w:tcW w:w="2340" w:type="dxa"/>
          </w:tcPr>
          <w:p w14:paraId="6724312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0.16</w:t>
            </w:r>
          </w:p>
        </w:tc>
      </w:tr>
    </w:tbl>
    <w:p w14:paraId="00A3734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Two further OSD-248 files are small and worth taking with the set: </w:t>
      </w:r>
      <w:r w:rsidRPr="007368B5">
        <w:rPr>
          <w:rFonts w:ascii="Times New Roman" w:hAnsi="Times New Roman" w:cs="Times New Roman"/>
          <w:color w:val="1A3E6E"/>
          <w:sz w:val="19"/>
        </w:rPr>
        <w:t>GLDS-248_rna_seq_SampleTable_GLbulkRNAseq.csv</w:t>
      </w:r>
      <w:r w:rsidRPr="007368B5">
        <w:rPr>
          <w:rFonts w:ascii="Times New Roman" w:hAnsi="Times New Roman" w:cs="Times New Roman"/>
        </w:rPr>
        <w:t xml:space="preserve"> (GeneLab sample table) and </w:t>
      </w:r>
      <w:r w:rsidRPr="007368B5">
        <w:rPr>
          <w:rFonts w:ascii="Times New Roman" w:hAnsi="Times New Roman" w:cs="Times New Roman"/>
          <w:color w:val="1A3E6E"/>
          <w:sz w:val="19"/>
        </w:rPr>
        <w:t>OSD-248_metadata_GLDS-248-ISA/i_Investigation.txt</w:t>
      </w:r>
      <w:r w:rsidRPr="007368B5">
        <w:rPr>
          <w:rFonts w:ascii="Times New Roman" w:hAnsi="Times New Roman" w:cs="Times New Roman"/>
        </w:rPr>
        <w:t xml:space="preserve"> (ISA investigation metadata, 0.02 MB).</w:t>
      </w:r>
    </w:p>
    <w:p w14:paraId="198A9568"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lastRenderedPageBreak/>
        <w:t xml:space="preserve">Three points that decide whether Module 4 runs. </w:t>
      </w:r>
      <w:r w:rsidRPr="007368B5">
        <w:rPr>
          <w:rFonts w:ascii="Times New Roman" w:hAnsi="Times New Roman" w:cs="Times New Roman"/>
          <w:b/>
        </w:rPr>
        <w:t>GTEx supplies both a counts matrix and a TPM matrix, and both are required</w:t>
      </w:r>
      <w:r w:rsidRPr="007368B5">
        <w:rPr>
          <w:rFonts w:ascii="Times New Roman" w:hAnsi="Times New Roman" w:cs="Times New Roman"/>
        </w:rPr>
        <w:t xml:space="preserve">: the aging differential expression is computed on </w:t>
      </w:r>
      <w:r w:rsidRPr="007368B5">
        <w:rPr>
          <w:rFonts w:ascii="Times New Roman" w:hAnsi="Times New Roman" w:cs="Times New Roman"/>
          <w:color w:val="1A3E6E"/>
          <w:sz w:val="19"/>
        </w:rPr>
        <w:t>gene_reads</w:t>
      </w:r>
      <w:r w:rsidRPr="007368B5">
        <w:rPr>
          <w:rFonts w:ascii="Times New Roman" w:hAnsi="Times New Roman" w:cs="Times New Roman"/>
        </w:rPr>
        <w:t xml:space="preserve">, while </w:t>
      </w:r>
      <w:r w:rsidRPr="007368B5">
        <w:rPr>
          <w:rFonts w:ascii="Times New Roman" w:hAnsi="Times New Roman" w:cs="Times New Roman"/>
          <w:color w:val="1A3E6E"/>
          <w:sz w:val="19"/>
        </w:rPr>
        <w:t>gene_tpm</w:t>
      </w:r>
      <w:r w:rsidRPr="007368B5">
        <w:rPr>
          <w:rFonts w:ascii="Times New Roman" w:hAnsi="Times New Roman" w:cs="Times New Roman"/>
        </w:rPr>
        <w:t xml:space="preserve"> is used only for the expression-level comparison against HuBMAP pseudobulk. </w:t>
      </w:r>
      <w:r w:rsidRPr="007368B5">
        <w:rPr>
          <w:rFonts w:ascii="Times New Roman" w:hAnsi="Times New Roman" w:cs="Times New Roman"/>
          <w:b/>
        </w:rPr>
        <w:t>The two GTEx annotation tables assign donors to age brackets</w:t>
      </w:r>
      <w:r w:rsidRPr="007368B5">
        <w:rPr>
          <w:rFonts w:ascii="Times New Roman" w:hAnsi="Times New Roman" w:cs="Times New Roman"/>
        </w:rPr>
        <w:t xml:space="preserve">, so the aging contrast cannot be defined without them. And </w:t>
      </w:r>
      <w:r w:rsidRPr="007368B5">
        <w:rPr>
          <w:rFonts w:ascii="Times New Roman" w:hAnsi="Times New Roman" w:cs="Times New Roman"/>
          <w:b/>
        </w:rPr>
        <w:t>the metadata files are not optional extras</w:t>
      </w:r>
      <w:r w:rsidRPr="007368B5">
        <w:rPr>
          <w:rFonts w:ascii="Times New Roman" w:hAnsi="Times New Roman" w:cs="Times New Roman"/>
        </w:rPr>
        <w:t>: the OSD-248 ISA tables are what identify which samples are flight and which are ground.</w:t>
      </w:r>
    </w:p>
    <w:p w14:paraId="7492811C"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Option 2: full download, optional</w:t>
      </w:r>
    </w:p>
    <w:p w14:paraId="336FFBB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A complete local mirror of every resource this course touched is roughly </w:t>
      </w:r>
      <w:r w:rsidRPr="007368B5">
        <w:rPr>
          <w:rFonts w:ascii="Times New Roman" w:hAnsi="Times New Roman" w:cs="Times New Roman"/>
          <w:b/>
        </w:rPr>
        <w:t>65 GB</w:t>
      </w:r>
      <w:r w:rsidRPr="007368B5">
        <w:rPr>
          <w:rFonts w:ascii="Times New Roman" w:hAnsi="Times New Roman" w:cs="Times New Roman"/>
        </w:rPr>
        <w:t>, and almost all of that mass is unused by Modules 1 to 4. Take this option only if you want offline Azimuth labels, the optional Module 3 MuData views, the spare HuBMAP blocks, or a second spaceflight study to explore.</w:t>
      </w:r>
    </w:p>
    <w:p w14:paraId="6A18197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HuBMAP delivers a processed dataset as a directory rather than a single file, so each block folder also contains </w:t>
      </w:r>
      <w:r w:rsidRPr="007368B5">
        <w:rPr>
          <w:rFonts w:ascii="Times New Roman" w:hAnsi="Times New Roman" w:cs="Times New Roman"/>
          <w:color w:val="1A3E6E"/>
          <w:sz w:val="19"/>
        </w:rPr>
        <w:t>expr.h5ad</w:t>
      </w:r>
      <w:r w:rsidRPr="007368B5">
        <w:rPr>
          <w:rFonts w:ascii="Times New Roman" w:hAnsi="Times New Roman" w:cs="Times New Roman"/>
        </w:rPr>
        <w:t xml:space="preserve">, </w:t>
      </w:r>
      <w:r w:rsidRPr="007368B5">
        <w:rPr>
          <w:rFonts w:ascii="Times New Roman" w:hAnsi="Times New Roman" w:cs="Times New Roman"/>
          <w:color w:val="1A3E6E"/>
          <w:sz w:val="19"/>
        </w:rPr>
        <w:t>secondary_analysis.h5ad</w:t>
      </w:r>
      <w:r w:rsidRPr="007368B5">
        <w:rPr>
          <w:rFonts w:ascii="Times New Roman" w:hAnsi="Times New Roman" w:cs="Times New Roman"/>
        </w:rPr>
        <w:t xml:space="preserve">, </w:t>
      </w:r>
      <w:r w:rsidRPr="007368B5">
        <w:rPr>
          <w:rFonts w:ascii="Times New Roman" w:hAnsi="Times New Roman" w:cs="Times New Roman"/>
          <w:color w:val="1A3E6E"/>
          <w:sz w:val="19"/>
        </w:rPr>
        <w:t>scvelo_annotated.h5ad</w:t>
      </w:r>
      <w:r w:rsidRPr="007368B5">
        <w:rPr>
          <w:rFonts w:ascii="Times New Roman" w:hAnsi="Times New Roman" w:cs="Times New Roman"/>
        </w:rPr>
        <w:t xml:space="preserve"> and portal QC output. For Donor_1 the teaching matrix is 68.57 MB and its </w:t>
      </w:r>
      <w:r w:rsidRPr="007368B5">
        <w:rPr>
          <w:rFonts w:ascii="Times New Roman" w:hAnsi="Times New Roman" w:cs="Times New Roman"/>
          <w:color w:val="1A3E6E"/>
          <w:sz w:val="19"/>
        </w:rPr>
        <w:t>secondary_analysis.h5ad</w:t>
      </w:r>
      <w:r w:rsidRPr="007368B5">
        <w:rPr>
          <w:rFonts w:ascii="Times New Roman" w:hAnsi="Times New Roman" w:cs="Times New Roman"/>
        </w:rPr>
        <w:t xml:space="preserve"> alone is 721 MB. Each donor also has alternate lung blocks that this course does not use, and the Donor_2 multiome has a full MuData object of about 14.7 GiB that only Module 3's optional path reads. Learners do not download that MuData file.</w:t>
      </w:r>
    </w:p>
    <w:p w14:paraId="39957B0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The one file worth weighing is </w:t>
      </w:r>
      <w:r w:rsidRPr="007368B5">
        <w:rPr>
          <w:rFonts w:ascii="Times New Roman" w:hAnsi="Times New Roman" w:cs="Times New Roman"/>
          <w:color w:val="1A3E6E"/>
          <w:sz w:val="19"/>
        </w:rPr>
        <w:t>secondary_analysis.h5ad</w:t>
      </w:r>
      <w:r w:rsidRPr="007368B5">
        <w:rPr>
          <w:rFonts w:ascii="Times New Roman" w:hAnsi="Times New Roman" w:cs="Times New Roman"/>
        </w:rPr>
        <w:t xml:space="preserve">, which carries the Azimuth cell-type labels. The pipeline does not require it: labels come from the shipped cache, or are read directly from the remote file when </w:t>
      </w:r>
      <w:r w:rsidRPr="007368B5">
        <w:rPr>
          <w:rFonts w:ascii="Times New Roman" w:hAnsi="Times New Roman" w:cs="Times New Roman"/>
          <w:color w:val="1A3E6E"/>
          <w:sz w:val="19"/>
        </w:rPr>
        <w:t>module2.labels.fetch_remote</w:t>
      </w:r>
      <w:r w:rsidRPr="007368B5">
        <w:rPr>
          <w:rFonts w:ascii="Times New Roman" w:hAnsi="Times New Roman" w:cs="Times New Roman"/>
        </w:rPr>
        <w:t xml:space="preserve"> is set to </w:t>
      </w:r>
      <w:r w:rsidRPr="007368B5">
        <w:rPr>
          <w:rFonts w:ascii="Times New Roman" w:hAnsi="Times New Roman" w:cs="Times New Roman"/>
          <w:color w:val="1A3E6E"/>
          <w:sz w:val="19"/>
        </w:rPr>
        <w:t>true</w:t>
      </w:r>
      <w:r w:rsidRPr="007368B5">
        <w:rPr>
          <w:rFonts w:ascii="Times New Roman" w:hAnsi="Times New Roman" w:cs="Times New Roman"/>
        </w:rPr>
        <w:t>. Downloading roughly 720 MB per donor for a single annotation column is exactly the kind of decision this course asks you to make deliberately rather than by default.</w:t>
      </w:r>
    </w:p>
    <w:p w14:paraId="369D164E"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What the full mirror adds, over and above the minimum:</w:t>
      </w:r>
    </w:p>
    <w:tbl>
      <w:tblPr>
        <w:tblStyle w:val="TableGrid"/>
        <w:tblW w:w="0" w:type="auto"/>
        <w:jc w:val="center"/>
        <w:tblLook w:val="04A0" w:firstRow="1" w:lastRow="0" w:firstColumn="1" w:lastColumn="0" w:noHBand="0" w:noVBand="1"/>
      </w:tblPr>
      <w:tblGrid>
        <w:gridCol w:w="3117"/>
        <w:gridCol w:w="3117"/>
        <w:gridCol w:w="3116"/>
      </w:tblGrid>
      <w:tr w:rsidR="007368B5" w:rsidRPr="007368B5" w14:paraId="41C2DFE4" w14:textId="77777777" w:rsidTr="00151104">
        <w:trPr>
          <w:jc w:val="center"/>
        </w:trPr>
        <w:tc>
          <w:tcPr>
            <w:tcW w:w="3120" w:type="dxa"/>
            <w:shd w:val="clear" w:color="auto" w:fill="DCE6F1"/>
          </w:tcPr>
          <w:p w14:paraId="436D7D9C"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Addition</w:t>
            </w:r>
          </w:p>
        </w:tc>
        <w:tc>
          <w:tcPr>
            <w:tcW w:w="3120" w:type="dxa"/>
            <w:shd w:val="clear" w:color="auto" w:fill="DCE6F1"/>
          </w:tcPr>
          <w:p w14:paraId="5A78AA4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Approximate size</w:t>
            </w:r>
          </w:p>
        </w:tc>
        <w:tc>
          <w:tcPr>
            <w:tcW w:w="3120" w:type="dxa"/>
            <w:shd w:val="clear" w:color="auto" w:fill="DCE6F1"/>
          </w:tcPr>
          <w:p w14:paraId="62285E9F"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Why you might want it</w:t>
            </w:r>
          </w:p>
        </w:tc>
      </w:tr>
      <w:tr w:rsidR="007368B5" w:rsidRPr="007368B5" w14:paraId="22D2DDD0" w14:textId="77777777" w:rsidTr="00151104">
        <w:trPr>
          <w:jc w:val="center"/>
        </w:trPr>
        <w:tc>
          <w:tcPr>
            <w:tcW w:w="3120" w:type="dxa"/>
          </w:tcPr>
          <w:p w14:paraId="6C13F76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secondary_analysis.h5ad</w:t>
            </w:r>
            <w:r w:rsidRPr="007368B5">
              <w:rPr>
                <w:rFonts w:ascii="Times New Roman" w:hAnsi="Times New Roman" w:cs="Times New Roman"/>
                <w:sz w:val="17"/>
              </w:rPr>
              <w:t xml:space="preserve"> for the four teaching blocks</w:t>
            </w:r>
          </w:p>
        </w:tc>
        <w:tc>
          <w:tcPr>
            <w:tcW w:w="3120" w:type="dxa"/>
          </w:tcPr>
          <w:p w14:paraId="550738D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5,669.9 MB</w:t>
            </w:r>
          </w:p>
        </w:tc>
        <w:tc>
          <w:tcPr>
            <w:tcW w:w="3120" w:type="dxa"/>
          </w:tcPr>
          <w:p w14:paraId="111D0EF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Offline Azimuth labels instead of the shipped cache or a remote read</w:t>
            </w:r>
          </w:p>
        </w:tc>
      </w:tr>
      <w:tr w:rsidR="007368B5" w:rsidRPr="007368B5" w14:paraId="468F4207" w14:textId="77777777" w:rsidTr="00151104">
        <w:trPr>
          <w:jc w:val="center"/>
        </w:trPr>
        <w:tc>
          <w:tcPr>
            <w:tcW w:w="3120" w:type="dxa"/>
          </w:tcPr>
          <w:p w14:paraId="0E943920"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expr.h5ad</w:t>
            </w:r>
            <w:r w:rsidRPr="007368B5">
              <w:rPr>
                <w:rFonts w:ascii="Times New Roman" w:hAnsi="Times New Roman" w:cs="Times New Roman"/>
                <w:sz w:val="17"/>
              </w:rPr>
              <w:t xml:space="preserve"> and </w:t>
            </w:r>
            <w:r w:rsidRPr="007368B5">
              <w:rPr>
                <w:rFonts w:ascii="Times New Roman" w:hAnsi="Times New Roman" w:cs="Times New Roman"/>
                <w:color w:val="1A3E6E"/>
                <w:sz w:val="15"/>
              </w:rPr>
              <w:t>scvelo_annotated.h5ad</w:t>
            </w:r>
            <w:r w:rsidRPr="007368B5">
              <w:rPr>
                <w:rFonts w:ascii="Times New Roman" w:hAnsi="Times New Roman" w:cs="Times New Roman"/>
                <w:sz w:val="17"/>
              </w:rPr>
              <w:t xml:space="preserve"> per block</w:t>
            </w:r>
          </w:p>
        </w:tc>
        <w:tc>
          <w:tcPr>
            <w:tcW w:w="3120" w:type="dxa"/>
          </w:tcPr>
          <w:p w14:paraId="67603BD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varies</w:t>
            </w:r>
          </w:p>
        </w:tc>
        <w:tc>
          <w:tcPr>
            <w:tcW w:w="3120" w:type="dxa"/>
          </w:tcPr>
          <w:p w14:paraId="71E3ADC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Portal processed expression and RNA velocity objects</w:t>
            </w:r>
          </w:p>
        </w:tc>
      </w:tr>
      <w:tr w:rsidR="007368B5" w:rsidRPr="007368B5" w14:paraId="3D689A29" w14:textId="77777777" w:rsidTr="00151104">
        <w:trPr>
          <w:jc w:val="center"/>
        </w:trPr>
        <w:tc>
          <w:tcPr>
            <w:tcW w:w="3120" w:type="dxa"/>
          </w:tcPr>
          <w:p w14:paraId="00E4D4F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15 alternate HuBMAP blocks across the four donors</w:t>
            </w:r>
          </w:p>
        </w:tc>
        <w:tc>
          <w:tcPr>
            <w:tcW w:w="3120" w:type="dxa"/>
          </w:tcPr>
          <w:p w14:paraId="65CBF4E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25.4 GB of </w:t>
            </w:r>
            <w:r w:rsidRPr="007368B5">
              <w:rPr>
                <w:rFonts w:ascii="Times New Roman" w:hAnsi="Times New Roman" w:cs="Times New Roman"/>
                <w:color w:val="1A3E6E"/>
                <w:sz w:val="15"/>
              </w:rPr>
              <w:t>raw_expr</w:t>
            </w:r>
            <w:r w:rsidRPr="007368B5">
              <w:rPr>
                <w:rFonts w:ascii="Times New Roman" w:hAnsi="Times New Roman" w:cs="Times New Roman"/>
                <w:sz w:val="17"/>
              </w:rPr>
              <w:t xml:space="preserve"> plus </w:t>
            </w:r>
            <w:r w:rsidRPr="007368B5">
              <w:rPr>
                <w:rFonts w:ascii="Times New Roman" w:hAnsi="Times New Roman" w:cs="Times New Roman"/>
                <w:color w:val="1A3E6E"/>
                <w:sz w:val="15"/>
              </w:rPr>
              <w:t>secondary_analysis</w:t>
            </w:r>
            <w:r w:rsidRPr="007368B5">
              <w:rPr>
                <w:rFonts w:ascii="Times New Roman" w:hAnsi="Times New Roman" w:cs="Times New Roman"/>
                <w:sz w:val="17"/>
              </w:rPr>
              <w:t>, more with the per-block extras</w:t>
            </w:r>
          </w:p>
        </w:tc>
        <w:tc>
          <w:tcPr>
            <w:tcW w:w="3120" w:type="dxa"/>
          </w:tcPr>
          <w:p w14:paraId="5C80347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Spare lung blocks this course does not teach</w:t>
            </w:r>
          </w:p>
        </w:tc>
      </w:tr>
      <w:tr w:rsidR="007368B5" w:rsidRPr="007368B5" w14:paraId="55C9BE76" w14:textId="77777777" w:rsidTr="00151104">
        <w:trPr>
          <w:jc w:val="center"/>
        </w:trPr>
        <w:tc>
          <w:tcPr>
            <w:tcW w:w="3120" w:type="dxa"/>
          </w:tcPr>
          <w:p w14:paraId="70EED8D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secondary_analysis.h5mu</w:t>
            </w:r>
            <w:r w:rsidRPr="007368B5">
              <w:rPr>
                <w:rFonts w:ascii="Times New Roman" w:hAnsi="Times New Roman" w:cs="Times New Roman"/>
                <w:sz w:val="17"/>
              </w:rPr>
              <w:t xml:space="preserve"> for the Donor_2 multiome</w:t>
            </w:r>
          </w:p>
        </w:tc>
        <w:tc>
          <w:tcPr>
            <w:tcW w:w="3120" w:type="dxa"/>
          </w:tcPr>
          <w:p w14:paraId="1601373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14.7 GiB</w:t>
            </w:r>
          </w:p>
        </w:tc>
        <w:tc>
          <w:tcPr>
            <w:tcW w:w="3120" w:type="dxa"/>
          </w:tcPr>
          <w:p w14:paraId="47B0697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The full MuData views behind Module 3's MOFA object</w:t>
            </w:r>
          </w:p>
        </w:tc>
      </w:tr>
      <w:tr w:rsidR="007368B5" w:rsidRPr="007368B5" w14:paraId="13B1B944" w14:textId="77777777" w:rsidTr="00151104">
        <w:trPr>
          <w:jc w:val="center"/>
        </w:trPr>
        <w:tc>
          <w:tcPr>
            <w:tcW w:w="3120" w:type="dxa"/>
          </w:tcPr>
          <w:p w14:paraId="379C875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Donor_2 multiome portal cluster PDFs</w:t>
            </w:r>
          </w:p>
        </w:tc>
        <w:tc>
          <w:tcPr>
            <w:tcW w:w="3120" w:type="dxa"/>
          </w:tcPr>
          <w:p w14:paraId="0B01D41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1.2 MB</w:t>
            </w:r>
          </w:p>
        </w:tc>
        <w:tc>
          <w:tcPr>
            <w:tcW w:w="3120" w:type="dxa"/>
          </w:tcPr>
          <w:p w14:paraId="6032B0B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Portal cluster maps for RNA, ATAC and combined</w:t>
            </w:r>
          </w:p>
        </w:tc>
      </w:tr>
      <w:tr w:rsidR="007368B5" w:rsidRPr="007368B5" w14:paraId="55518ACA" w14:textId="77777777" w:rsidTr="00151104">
        <w:trPr>
          <w:jc w:val="center"/>
        </w:trPr>
        <w:tc>
          <w:tcPr>
            <w:tcW w:w="3120" w:type="dxa"/>
          </w:tcPr>
          <w:p w14:paraId="241D314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 v11 lung TPM and reads</w:t>
            </w:r>
          </w:p>
        </w:tc>
        <w:tc>
          <w:tcPr>
            <w:tcW w:w="3120" w:type="dxa"/>
          </w:tcPr>
          <w:p w14:paraId="0EF961B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124.5 MB</w:t>
            </w:r>
          </w:p>
        </w:tc>
        <w:tc>
          <w:tcPr>
            <w:tcW w:w="3120" w:type="dxa"/>
          </w:tcPr>
          <w:p w14:paraId="102778C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A newer GTEx release, not wired into </w:t>
            </w:r>
            <w:r w:rsidRPr="007368B5">
              <w:rPr>
                <w:rFonts w:ascii="Times New Roman" w:hAnsi="Times New Roman" w:cs="Times New Roman"/>
                <w:color w:val="1A3E6E"/>
                <w:sz w:val="15"/>
              </w:rPr>
              <w:t>config/paths.yaml</w:t>
            </w:r>
          </w:p>
        </w:tc>
      </w:tr>
      <w:tr w:rsidR="007368B5" w:rsidRPr="007368B5" w14:paraId="29CFF16C" w14:textId="77777777" w:rsidTr="00151104">
        <w:trPr>
          <w:jc w:val="center"/>
        </w:trPr>
        <w:tc>
          <w:tcPr>
            <w:tcW w:w="3120" w:type="dxa"/>
          </w:tcPr>
          <w:p w14:paraId="3446441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OSD-248 VST counts and sample table</w:t>
            </w:r>
          </w:p>
        </w:tc>
        <w:tc>
          <w:tcPr>
            <w:tcW w:w="3120" w:type="dxa"/>
          </w:tcPr>
          <w:p w14:paraId="06AE347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32.9 MB</w:t>
            </w:r>
          </w:p>
        </w:tc>
        <w:tc>
          <w:tcPr>
            <w:tcW w:w="3120" w:type="dxa"/>
          </w:tcPr>
          <w:p w14:paraId="641F8F7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Portal companions to the RSEM counts</w:t>
            </w:r>
          </w:p>
        </w:tc>
      </w:tr>
      <w:tr w:rsidR="007368B5" w:rsidRPr="007368B5" w14:paraId="33A7C929" w14:textId="77777777" w:rsidTr="00151104">
        <w:trPr>
          <w:jc w:val="center"/>
        </w:trPr>
        <w:tc>
          <w:tcPr>
            <w:tcW w:w="3120" w:type="dxa"/>
          </w:tcPr>
          <w:p w14:paraId="296D754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NASA OSDR OSD-464</w:t>
            </w:r>
            <w:r w:rsidRPr="007368B5">
              <w:rPr>
                <w:rFonts w:ascii="Times New Roman" w:hAnsi="Times New Roman" w:cs="Times New Roman"/>
                <w:sz w:val="17"/>
              </w:rPr>
              <w:t>, 8 files</w:t>
            </w:r>
          </w:p>
        </w:tc>
        <w:tc>
          <w:tcPr>
            <w:tcW w:w="3120" w:type="dxa"/>
          </w:tcPr>
          <w:p w14:paraId="6738213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55.7 MB</w:t>
            </w:r>
          </w:p>
        </w:tc>
        <w:tc>
          <w:tcPr>
            <w:tcW w:w="3120" w:type="dxa"/>
          </w:tcPr>
          <w:p w14:paraId="6F5F3CA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A second rodent spaceflight study, described below</w:t>
            </w:r>
          </w:p>
        </w:tc>
      </w:tr>
    </w:tbl>
    <w:p w14:paraId="46DCFD97"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OSD-464 is available but not wired.</w:t>
      </w:r>
      <w:r w:rsidRPr="007368B5">
        <w:rPr>
          <w:rFonts w:ascii="Times New Roman" w:hAnsi="Times New Roman" w:cs="Times New Roman"/>
        </w:rPr>
        <w:t xml:space="preserve"> It carries the same eight file types as OSD-248, counts, DE, contrasts, sample table, VST counts and three ISA tables, and no notebook path reads it. It is here for exploration, and one finding is worth stating before you spend time on it: OSD-464 carries the same ERCC spike-in mix confounding with study arm that OSD-248 does, so substituting it does not resolve that limitation.</w:t>
      </w:r>
    </w:p>
    <w:p w14:paraId="26F95F93"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lastRenderedPageBreak/>
        <w:t>3. Getting the data</w:t>
      </w:r>
    </w:p>
    <w:p w14:paraId="47D45C73"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Discovery and retrieval are the first methodological decisions in this course, not preliminaries to it. The dataset identifier you find through a discovery surface is frequently not the record you can download, and it is frequently not the record you should cite. This section establishes those distinctions and gives the operational path for each of the four resources the course uses.</w:t>
      </w:r>
    </w:p>
    <w:p w14:paraId="38EB7DA5"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The CFDE discovery layer and the DCC data portals</w:t>
      </w:r>
    </w:p>
    <w:p w14:paraId="3D4002ED"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Common Fund Data Ecosystem provides a cross-resource discovery layer: a shared metadata model (C2M2), search surfaces built on that model, and an interoperability context that makes a single query meaningful across repositories that were built independently. The Data Coordinating Centers, HuBMAP and GTEx among them, hold and serve the data files themselves.</w:t>
      </w:r>
    </w:p>
    <w:p w14:paraId="5BBD0BB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Keeping those roles distinct matters practically. Searching for analysis-ready matrices on the CFDE surfaces returns dataset records rather than files; searching a DCC portal without the discovery layer means knowing in advance which repository to search. The productive path uses both: CFDE to establish what exists across the ecosystem, the DCC portal to obtain it.</w:t>
      </w:r>
    </w:p>
    <w:p w14:paraId="7E7798F0"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Locating lung datasets through CFDE surfaces</w:t>
      </w:r>
    </w:p>
    <w:p w14:paraId="4D331C22"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CFDE Workbench and Data Matrix accept a tissue-level query and return the repositories holding matching data, with HuBMAP and GTEx both represented for lung. This is the appropriate first step and is sufficient for a small, hand-selected cohort such as the one used here.</w:t>
      </w:r>
    </w:p>
    <w:p w14:paraId="3CCB223D"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teaching cohort in this course was selected manually for comparative value: four donors spanning 25 to 57 years, two female and two male, across three race and ethnicity groups. That is a pedagogical selection, not a production sampling strategy, and it is stated as such.</w:t>
      </w:r>
    </w:p>
    <w:p w14:paraId="57ED487D"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Programmatic discovery through the SmartAPI registry</w:t>
      </w:r>
    </w:p>
    <w:p w14:paraId="4502C47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Manual selection does not scale. The programmatic path matters at the point where a cohort is defined by criteria rather than by hand, and the registry is where it begins:</w:t>
      </w:r>
    </w:p>
    <w:p w14:paraId="16370582"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https://smart-api.info/api/query?q=hubmap&amp;fields=info.title,info.version,servers</w:t>
      </w:r>
    </w:p>
    <w:p w14:paraId="57DB19A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That query returns nine registered HuBMAP entries, including the Search, Entity, Spatial and Ontology APIs used below.</w:t>
      </w:r>
    </w:p>
    <w:p w14:paraId="0B730152"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A registry records what a provider registered, not what is currently served.</w:t>
      </w:r>
      <w:r w:rsidRPr="007368B5">
        <w:rPr>
          <w:rFonts w:ascii="Times New Roman" w:hAnsi="Times New Roman" w:cs="Times New Roman"/>
        </w:rPr>
        <w:t xml:space="preserve"> The registered GTEx entry points at </w:t>
      </w:r>
      <w:r w:rsidRPr="007368B5">
        <w:rPr>
          <w:rFonts w:ascii="Times New Roman" w:hAnsi="Times New Roman" w:cs="Times New Roman"/>
          <w:color w:val="1A3E6E"/>
          <w:sz w:val="19"/>
        </w:rPr>
        <w:t>dev.gtexportal.org</w:t>
      </w:r>
      <w:r w:rsidRPr="007368B5">
        <w:rPr>
          <w:rFonts w:ascii="Times New Roman" w:hAnsi="Times New Roman" w:cs="Times New Roman"/>
        </w:rPr>
        <w:t xml:space="preserve">, a host with no DNS record, while the production API at </w:t>
      </w:r>
      <w:r w:rsidRPr="007368B5">
        <w:rPr>
          <w:rFonts w:ascii="Times New Roman" w:hAnsi="Times New Roman" w:cs="Times New Roman"/>
          <w:color w:val="1A3E6E"/>
          <w:sz w:val="19"/>
        </w:rPr>
        <w:t>gtexportal.org/api/v2/</w:t>
      </w:r>
      <w:r w:rsidRPr="007368B5">
        <w:rPr>
          <w:rFonts w:ascii="Times New Roman" w:hAnsi="Times New Roman" w:cs="Times New Roman"/>
        </w:rPr>
        <w:t xml:space="preserve"> responds normally. Registry entries are a starting point to be verified, not an authority to be trusted, and confirming an endpoint resolves before building against it costs seconds. Date-stamp any such observation, since providers do correct their entries.</w:t>
      </w:r>
    </w:p>
    <w:p w14:paraId="5606535F"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registry is how you find an API; the API is how you resolve a dataset identifier to a file URL. Appendix A carries that path end to end as terminal commands: the SmartAPI query, the Entity API call that turns a HuBMAP identifier into the UUID an asset URL needs, and a retrieval command for every file in the minimum download. Working through it once is the difference between knowing that a programmatic path exists and being able to build one.</w:t>
      </w:r>
    </w:p>
    <w:p w14:paraId="4BB94046"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Access tiers: controlled primary data and public processed derivatives</w:t>
      </w:r>
    </w:p>
    <w:p w14:paraId="1CE39253"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HuBMAP applies two access tiers to single-nucleus data, and the distinction is a data-governance concept rather than a technical obstacle.</w:t>
      </w:r>
    </w:p>
    <w:p w14:paraId="61714C46"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lastRenderedPageBreak/>
        <w:t>Primary datasets</w:t>
      </w:r>
      <w:r w:rsidRPr="007368B5">
        <w:rPr>
          <w:rFonts w:ascii="Times New Roman" w:hAnsi="Times New Roman" w:cs="Times New Roman"/>
        </w:rPr>
        <w:t xml:space="preserve"> contain human genetic sequence. They are published, discoverable and citable, and they are held under controlled access consistent with NIH policy for human genomic data. </w:t>
      </w:r>
      <w:r w:rsidRPr="007368B5">
        <w:rPr>
          <w:rFonts w:ascii="Times New Roman" w:hAnsi="Times New Roman" w:cs="Times New Roman"/>
          <w:b/>
        </w:rPr>
        <w:t>Processed derivatives</w:t>
      </w:r>
      <w:r w:rsidRPr="007368B5">
        <w:rPr>
          <w:rFonts w:ascii="Times New Roman" w:hAnsi="Times New Roman" w:cs="Times New Roman"/>
        </w:rPr>
        <w:t xml:space="preserve"> are generated for each primary by HuBMAP's central pipeline, carry no human genetic sequence, and are openly available. The two are distinct records with distinct HuBMAP identifiers.</w:t>
      </w:r>
    </w:p>
    <w:p w14:paraId="5287F64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Discovery surfaces return the primary. Retrieval uses the derivative. A researcher who does not expect this concludes that HuBMAP single-nucleus data is unavailable for open reuse, which is incorrect.</w:t>
      </w:r>
    </w:p>
    <w:p w14:paraId="44FF6A9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The traversal from one to the other is a five-step query against the Search API: retrieve the primary by identifier, read its </w:t>
      </w:r>
      <w:r w:rsidRPr="007368B5">
        <w:rPr>
          <w:rFonts w:ascii="Times New Roman" w:hAnsi="Times New Roman" w:cs="Times New Roman"/>
          <w:color w:val="1A3E6E"/>
          <w:sz w:val="19"/>
        </w:rPr>
        <w:t>data_access_level</w:t>
      </w:r>
      <w:r w:rsidRPr="007368B5">
        <w:rPr>
          <w:rFonts w:ascii="Times New Roman" w:hAnsi="Times New Roman" w:cs="Times New Roman"/>
        </w:rPr>
        <w:t xml:space="preserve">, read its </w:t>
      </w:r>
      <w:r w:rsidRPr="007368B5">
        <w:rPr>
          <w:rFonts w:ascii="Times New Roman" w:hAnsi="Times New Roman" w:cs="Times New Roman"/>
          <w:color w:val="1A3E6E"/>
          <w:sz w:val="19"/>
        </w:rPr>
        <w:t>descendants</w:t>
      </w:r>
      <w:r w:rsidRPr="007368B5">
        <w:rPr>
          <w:rFonts w:ascii="Times New Roman" w:hAnsi="Times New Roman" w:cs="Times New Roman"/>
        </w:rPr>
        <w:t xml:space="preserve">, filter those to </w:t>
      </w:r>
      <w:r w:rsidRPr="007368B5">
        <w:rPr>
          <w:rFonts w:ascii="Times New Roman" w:hAnsi="Times New Roman" w:cs="Times New Roman"/>
          <w:color w:val="1A3E6E"/>
          <w:sz w:val="19"/>
        </w:rPr>
        <w:t>data_access_level == "public"</w:t>
      </w:r>
      <w:r w:rsidRPr="007368B5">
        <w:rPr>
          <w:rFonts w:ascii="Times New Roman" w:hAnsi="Times New Roman" w:cs="Times New Roman"/>
        </w:rPr>
        <w:t>, and take the most recently published. For this cohort:</w:t>
      </w:r>
    </w:p>
    <w:tbl>
      <w:tblPr>
        <w:tblStyle w:val="TableGrid"/>
        <w:tblW w:w="0" w:type="auto"/>
        <w:jc w:val="center"/>
        <w:tblLook w:val="04A0" w:firstRow="1" w:lastRow="0" w:firstColumn="1" w:lastColumn="0" w:noHBand="0" w:noVBand="1"/>
      </w:tblPr>
      <w:tblGrid>
        <w:gridCol w:w="2336"/>
        <w:gridCol w:w="2338"/>
        <w:gridCol w:w="2338"/>
        <w:gridCol w:w="2338"/>
      </w:tblGrid>
      <w:tr w:rsidR="007368B5" w:rsidRPr="007368B5" w14:paraId="4AD8E029" w14:textId="77777777" w:rsidTr="00151104">
        <w:trPr>
          <w:jc w:val="center"/>
        </w:trPr>
        <w:tc>
          <w:tcPr>
            <w:tcW w:w="2340" w:type="dxa"/>
            <w:shd w:val="clear" w:color="auto" w:fill="DCE6F1"/>
          </w:tcPr>
          <w:p w14:paraId="15A80AA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w:t>
            </w:r>
          </w:p>
        </w:tc>
        <w:tc>
          <w:tcPr>
            <w:tcW w:w="2340" w:type="dxa"/>
            <w:shd w:val="clear" w:color="auto" w:fill="DCE6F1"/>
          </w:tcPr>
          <w:p w14:paraId="6AAE6C0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Primary (controlled)</w:t>
            </w:r>
          </w:p>
        </w:tc>
        <w:tc>
          <w:tcPr>
            <w:tcW w:w="2340" w:type="dxa"/>
            <w:shd w:val="clear" w:color="auto" w:fill="DCE6F1"/>
          </w:tcPr>
          <w:p w14:paraId="407453C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Processed derivative (open)</w:t>
            </w:r>
          </w:p>
        </w:tc>
        <w:tc>
          <w:tcPr>
            <w:tcW w:w="2340" w:type="dxa"/>
            <w:shd w:val="clear" w:color="auto" w:fill="DCE6F1"/>
          </w:tcPr>
          <w:p w14:paraId="49BF4C24"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raw_expr.h5ad</w:t>
            </w:r>
          </w:p>
        </w:tc>
      </w:tr>
      <w:tr w:rsidR="007368B5" w:rsidRPr="007368B5" w14:paraId="19D9E9E8" w14:textId="77777777" w:rsidTr="00151104">
        <w:trPr>
          <w:jc w:val="center"/>
        </w:trPr>
        <w:tc>
          <w:tcPr>
            <w:tcW w:w="2340" w:type="dxa"/>
          </w:tcPr>
          <w:p w14:paraId="7D1C71F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2340" w:type="dxa"/>
          </w:tcPr>
          <w:p w14:paraId="474DE2B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HBM347.VDHS.379</w:t>
            </w:r>
          </w:p>
        </w:tc>
        <w:tc>
          <w:tcPr>
            <w:tcW w:w="2340" w:type="dxa"/>
          </w:tcPr>
          <w:p w14:paraId="12000876"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HBM675.RVGB.258</w:t>
            </w:r>
          </w:p>
        </w:tc>
        <w:tc>
          <w:tcPr>
            <w:tcW w:w="2340" w:type="dxa"/>
          </w:tcPr>
          <w:p w14:paraId="2651594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68.6 MB</w:t>
            </w:r>
          </w:p>
        </w:tc>
      </w:tr>
      <w:tr w:rsidR="007368B5" w:rsidRPr="007368B5" w14:paraId="630429A6" w14:textId="77777777" w:rsidTr="00151104">
        <w:trPr>
          <w:jc w:val="center"/>
        </w:trPr>
        <w:tc>
          <w:tcPr>
            <w:tcW w:w="2340" w:type="dxa"/>
          </w:tcPr>
          <w:p w14:paraId="57EF343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Donor_2</w:t>
            </w:r>
          </w:p>
        </w:tc>
        <w:tc>
          <w:tcPr>
            <w:tcW w:w="2340" w:type="dxa"/>
          </w:tcPr>
          <w:p w14:paraId="0EB2C7AC"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HBM473.NKMR.872</w:t>
            </w:r>
          </w:p>
        </w:tc>
        <w:tc>
          <w:tcPr>
            <w:tcW w:w="2340" w:type="dxa"/>
          </w:tcPr>
          <w:p w14:paraId="7BA2D2F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HBM362.DZVK.533</w:t>
            </w:r>
          </w:p>
        </w:tc>
        <w:tc>
          <w:tcPr>
            <w:tcW w:w="2340" w:type="dxa"/>
          </w:tcPr>
          <w:p w14:paraId="30846AD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104.6 MB</w:t>
            </w:r>
          </w:p>
        </w:tc>
      </w:tr>
      <w:tr w:rsidR="007368B5" w:rsidRPr="007368B5" w14:paraId="36EBD31D" w14:textId="77777777" w:rsidTr="00151104">
        <w:trPr>
          <w:jc w:val="center"/>
        </w:trPr>
        <w:tc>
          <w:tcPr>
            <w:tcW w:w="2340" w:type="dxa"/>
          </w:tcPr>
          <w:p w14:paraId="31BEBA3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Donor_3</w:t>
            </w:r>
          </w:p>
        </w:tc>
        <w:tc>
          <w:tcPr>
            <w:tcW w:w="2340" w:type="dxa"/>
          </w:tcPr>
          <w:p w14:paraId="7CF9D16C"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HBM484.RGWP.797</w:t>
            </w:r>
          </w:p>
        </w:tc>
        <w:tc>
          <w:tcPr>
            <w:tcW w:w="2340" w:type="dxa"/>
          </w:tcPr>
          <w:p w14:paraId="16E4247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HBM874.PWHS.622</w:t>
            </w:r>
          </w:p>
        </w:tc>
        <w:tc>
          <w:tcPr>
            <w:tcW w:w="2340" w:type="dxa"/>
          </w:tcPr>
          <w:p w14:paraId="4957588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150.9 MB</w:t>
            </w:r>
          </w:p>
        </w:tc>
      </w:tr>
      <w:tr w:rsidR="007368B5" w:rsidRPr="007368B5" w14:paraId="26FA595E" w14:textId="77777777" w:rsidTr="00151104">
        <w:trPr>
          <w:jc w:val="center"/>
        </w:trPr>
        <w:tc>
          <w:tcPr>
            <w:tcW w:w="2340" w:type="dxa"/>
          </w:tcPr>
          <w:p w14:paraId="100ECF7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2340" w:type="dxa"/>
          </w:tcPr>
          <w:p w14:paraId="233A9A9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HBM379.QCJT.435</w:t>
            </w:r>
          </w:p>
        </w:tc>
        <w:tc>
          <w:tcPr>
            <w:tcW w:w="2340" w:type="dxa"/>
          </w:tcPr>
          <w:p w14:paraId="1A4A7FA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HBM735.NMFW.852</w:t>
            </w:r>
          </w:p>
        </w:tc>
        <w:tc>
          <w:tcPr>
            <w:tcW w:w="2340" w:type="dxa"/>
          </w:tcPr>
          <w:p w14:paraId="37111FB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70.6 MB</w:t>
            </w:r>
          </w:p>
        </w:tc>
      </w:tr>
    </w:tbl>
    <w:p w14:paraId="6D43333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Donor_1 has two published derivatives, from 2021 and 2023, both serving an equivalent matrix. This course pins the 2023 release explicitly. Pinning a release and recording which one was used is the difference between a reproducible cohort definition and one that silently changes when a repository republishes.</w:t>
      </w:r>
    </w:p>
    <w:p w14:paraId="46112E3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Citation follows the primary, not the derivative.</w:t>
      </w:r>
      <w:r w:rsidRPr="007368B5">
        <w:rPr>
          <w:rFonts w:ascii="Times New Roman" w:hAnsi="Times New Roman" w:cs="Times New Roman"/>
        </w:rPr>
        <w:t xml:space="preserve"> DOIs are registered on the primary datasets; the processed derivatives carry none. A manuscript therefore cites the primary DOI and states which processed release was analyzed. This package records both, as </w:t>
      </w:r>
      <w:r w:rsidRPr="007368B5">
        <w:rPr>
          <w:rFonts w:ascii="Times New Roman" w:hAnsi="Times New Roman" w:cs="Times New Roman"/>
          <w:color w:val="1A3E6E"/>
          <w:sz w:val="19"/>
        </w:rPr>
        <w:t>primary_doi</w:t>
      </w:r>
      <w:r w:rsidRPr="007368B5">
        <w:rPr>
          <w:rFonts w:ascii="Times New Roman" w:hAnsi="Times New Roman" w:cs="Times New Roman"/>
        </w:rPr>
        <w:t xml:space="preserve"> and </w:t>
      </w:r>
      <w:r w:rsidRPr="007368B5">
        <w:rPr>
          <w:rFonts w:ascii="Times New Roman" w:hAnsi="Times New Roman" w:cs="Times New Roman"/>
          <w:color w:val="1A3E6E"/>
          <w:sz w:val="19"/>
        </w:rPr>
        <w:t>processed_id</w:t>
      </w:r>
      <w:r w:rsidRPr="007368B5">
        <w:rPr>
          <w:rFonts w:ascii="Times New Roman" w:hAnsi="Times New Roman" w:cs="Times New Roman"/>
        </w:rPr>
        <w:t xml:space="preserve"> in </w:t>
      </w:r>
      <w:r w:rsidRPr="007368B5">
        <w:rPr>
          <w:rFonts w:ascii="Times New Roman" w:hAnsi="Times New Roman" w:cs="Times New Roman"/>
          <w:color w:val="1A3E6E"/>
          <w:sz w:val="19"/>
        </w:rPr>
        <w:t>config/paths.yaml</w:t>
      </w:r>
      <w:r w:rsidRPr="007368B5">
        <w:rPr>
          <w:rFonts w:ascii="Times New Roman" w:hAnsi="Times New Roman" w:cs="Times New Roman"/>
        </w:rPr>
        <w:t>, so the provenance chain is recoverable from the configuration alone.</w:t>
      </w:r>
    </w:p>
    <w:p w14:paraId="1C277882"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Retrieving the files</w:t>
      </w:r>
    </w:p>
    <w:p w14:paraId="3146DC5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Assets are addressed by the derivative's UUID:</w:t>
      </w:r>
    </w:p>
    <w:p w14:paraId="068073B1"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https://assets.hubmapconsortium.org/&lt;uuid&gt;/&lt;filename&gt;</w:t>
      </w:r>
    </w:p>
    <w:tbl>
      <w:tblPr>
        <w:tblStyle w:val="TableGrid"/>
        <w:tblW w:w="0" w:type="auto"/>
        <w:jc w:val="center"/>
        <w:tblLook w:val="04A0" w:firstRow="1" w:lastRow="0" w:firstColumn="1" w:lastColumn="0" w:noHBand="0" w:noVBand="1"/>
      </w:tblPr>
      <w:tblGrid>
        <w:gridCol w:w="3115"/>
        <w:gridCol w:w="3116"/>
        <w:gridCol w:w="3119"/>
      </w:tblGrid>
      <w:tr w:rsidR="007368B5" w:rsidRPr="007368B5" w14:paraId="7397A19B" w14:textId="77777777" w:rsidTr="00151104">
        <w:trPr>
          <w:jc w:val="center"/>
        </w:trPr>
        <w:tc>
          <w:tcPr>
            <w:tcW w:w="3120" w:type="dxa"/>
            <w:shd w:val="clear" w:color="auto" w:fill="DCE6F1"/>
          </w:tcPr>
          <w:p w14:paraId="08E2FE9B"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w:t>
            </w:r>
          </w:p>
        </w:tc>
        <w:tc>
          <w:tcPr>
            <w:tcW w:w="3120" w:type="dxa"/>
            <w:shd w:val="clear" w:color="auto" w:fill="DCE6F1"/>
          </w:tcPr>
          <w:p w14:paraId="074E47B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Processed derivative</w:t>
            </w:r>
          </w:p>
        </w:tc>
        <w:tc>
          <w:tcPr>
            <w:tcW w:w="3120" w:type="dxa"/>
            <w:shd w:val="clear" w:color="auto" w:fill="DCE6F1"/>
          </w:tcPr>
          <w:p w14:paraId="6122154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UUID</w:t>
            </w:r>
          </w:p>
        </w:tc>
      </w:tr>
      <w:tr w:rsidR="007368B5" w:rsidRPr="007368B5" w14:paraId="63860FF5" w14:textId="77777777" w:rsidTr="00151104">
        <w:trPr>
          <w:jc w:val="center"/>
        </w:trPr>
        <w:tc>
          <w:tcPr>
            <w:tcW w:w="3120" w:type="dxa"/>
          </w:tcPr>
          <w:p w14:paraId="1B1F9C7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3120" w:type="dxa"/>
          </w:tcPr>
          <w:p w14:paraId="26C23CF3"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HBM675.RVGB.258</w:t>
            </w:r>
          </w:p>
        </w:tc>
        <w:tc>
          <w:tcPr>
            <w:tcW w:w="3120" w:type="dxa"/>
          </w:tcPr>
          <w:p w14:paraId="04A9073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171bd6114652ce2a1ff0e4757b5eaef9</w:t>
            </w:r>
          </w:p>
        </w:tc>
      </w:tr>
      <w:tr w:rsidR="007368B5" w:rsidRPr="007368B5" w14:paraId="4090CEE9" w14:textId="77777777" w:rsidTr="00151104">
        <w:trPr>
          <w:jc w:val="center"/>
        </w:trPr>
        <w:tc>
          <w:tcPr>
            <w:tcW w:w="3120" w:type="dxa"/>
          </w:tcPr>
          <w:p w14:paraId="291F217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Donor_2</w:t>
            </w:r>
          </w:p>
        </w:tc>
        <w:tc>
          <w:tcPr>
            <w:tcW w:w="3120" w:type="dxa"/>
          </w:tcPr>
          <w:p w14:paraId="2A52B40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HBM362.DZVK.533</w:t>
            </w:r>
          </w:p>
        </w:tc>
        <w:tc>
          <w:tcPr>
            <w:tcW w:w="3120" w:type="dxa"/>
          </w:tcPr>
          <w:p w14:paraId="41D26C4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4c031c4aba3b656a07a5ab14a305cbba</w:t>
            </w:r>
          </w:p>
        </w:tc>
      </w:tr>
      <w:tr w:rsidR="007368B5" w:rsidRPr="007368B5" w14:paraId="20DAF6C1" w14:textId="77777777" w:rsidTr="00151104">
        <w:trPr>
          <w:jc w:val="center"/>
        </w:trPr>
        <w:tc>
          <w:tcPr>
            <w:tcW w:w="3120" w:type="dxa"/>
          </w:tcPr>
          <w:p w14:paraId="0E5EA8C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Donor_3</w:t>
            </w:r>
          </w:p>
        </w:tc>
        <w:tc>
          <w:tcPr>
            <w:tcW w:w="3120" w:type="dxa"/>
          </w:tcPr>
          <w:p w14:paraId="607E600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HBM874.PWHS.622</w:t>
            </w:r>
          </w:p>
        </w:tc>
        <w:tc>
          <w:tcPr>
            <w:tcW w:w="3120" w:type="dxa"/>
          </w:tcPr>
          <w:p w14:paraId="6B36655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ab3942cee59a994d73f6f89f8f5eb84a</w:t>
            </w:r>
          </w:p>
        </w:tc>
      </w:tr>
      <w:tr w:rsidR="007368B5" w:rsidRPr="007368B5" w14:paraId="575D7218" w14:textId="77777777" w:rsidTr="00151104">
        <w:trPr>
          <w:jc w:val="center"/>
        </w:trPr>
        <w:tc>
          <w:tcPr>
            <w:tcW w:w="3120" w:type="dxa"/>
          </w:tcPr>
          <w:p w14:paraId="0B39017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3120" w:type="dxa"/>
          </w:tcPr>
          <w:p w14:paraId="24FAD4C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HBM735.NMFW.852</w:t>
            </w:r>
          </w:p>
        </w:tc>
        <w:tc>
          <w:tcPr>
            <w:tcW w:w="3120" w:type="dxa"/>
          </w:tcPr>
          <w:p w14:paraId="45C2A5B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f5ce0bfcef8d17a18e0a3911fb2b2726</w:t>
            </w:r>
          </w:p>
        </w:tc>
      </w:tr>
    </w:tbl>
    <w:p w14:paraId="36EED72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pipeline begins from raw counts, so one matrix per donor is required. Appendix A gives the retrieval command for each.</w:t>
      </w:r>
    </w:p>
    <w:p w14:paraId="03C134F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full course requires about 814.87 MB across four resources, itemized under "Option 1: minimum download, recommended" above. The four HuBMAP matrices are 394.6 MB of that, the Donor_2 multiome MOFA object is 140.8 MB, and GTEx lung TPM is 77.6 MB.</w:t>
      </w:r>
    </w:p>
    <w:p w14:paraId="26188406"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Select the smallest artifact that answers the question.</w:t>
      </w:r>
      <w:r w:rsidRPr="007368B5">
        <w:rPr>
          <w:rFonts w:ascii="Times New Roman" w:hAnsi="Times New Roman" w:cs="Times New Roman"/>
        </w:rPr>
        <w:t xml:space="preserve"> The </w:t>
      </w:r>
      <w:r w:rsidRPr="007368B5">
        <w:rPr>
          <w:rFonts w:ascii="Times New Roman" w:hAnsi="Times New Roman" w:cs="Times New Roman"/>
          <w:color w:val="1A3E6E"/>
          <w:sz w:val="19"/>
        </w:rPr>
        <w:t>secondary_analysis.h5ad</w:t>
      </w:r>
      <w:r w:rsidRPr="007368B5">
        <w:rPr>
          <w:rFonts w:ascii="Times New Roman" w:hAnsi="Times New Roman" w:cs="Times New Roman"/>
        </w:rPr>
        <w:t xml:space="preserve"> release for these same four donors totals 5,669.9 MB, a factor of 14.4 larger, and the only element this pipeline requires from it is a cell-type label column that can be read directly from the remote file. Download volume is a design decision with real consequences for who can take a course or reproduce an analysis.</w:t>
      </w:r>
    </w:p>
    <w:p w14:paraId="158DB3C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lastRenderedPageBreak/>
        <w:t>One operational note. The HuBMAP assets server does not implement HEAD, so a header-only request reports an error for files that download normally. Verify availability with a ranged request rather than a header request.</w:t>
      </w:r>
    </w:p>
    <w:p w14:paraId="783755E0"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Access patterns differ by repository</w:t>
      </w:r>
    </w:p>
    <w:p w14:paraId="7DE6582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four resources in this course expose data through four different mechanisms:</w:t>
      </w:r>
    </w:p>
    <w:tbl>
      <w:tblPr>
        <w:tblStyle w:val="TableGrid"/>
        <w:tblW w:w="0" w:type="auto"/>
        <w:jc w:val="center"/>
        <w:tblLook w:val="04A0" w:firstRow="1" w:lastRow="0" w:firstColumn="1" w:lastColumn="0" w:noHBand="0" w:noVBand="1"/>
      </w:tblPr>
      <w:tblGrid>
        <w:gridCol w:w="4675"/>
        <w:gridCol w:w="4675"/>
      </w:tblGrid>
      <w:tr w:rsidR="007368B5" w:rsidRPr="007368B5" w14:paraId="28F560C9" w14:textId="77777777" w:rsidTr="00151104">
        <w:trPr>
          <w:jc w:val="center"/>
        </w:trPr>
        <w:tc>
          <w:tcPr>
            <w:tcW w:w="4680" w:type="dxa"/>
            <w:shd w:val="clear" w:color="auto" w:fill="DCE6F1"/>
          </w:tcPr>
          <w:p w14:paraId="08CFB71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Resource</w:t>
            </w:r>
          </w:p>
        </w:tc>
        <w:tc>
          <w:tcPr>
            <w:tcW w:w="4680" w:type="dxa"/>
            <w:shd w:val="clear" w:color="auto" w:fill="DCE6F1"/>
          </w:tcPr>
          <w:p w14:paraId="23AFC3C0"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Retrieval mechanism</w:t>
            </w:r>
          </w:p>
        </w:tc>
      </w:tr>
      <w:tr w:rsidR="007368B5" w:rsidRPr="007368B5" w14:paraId="7A54598B" w14:textId="77777777" w:rsidTr="00151104">
        <w:trPr>
          <w:jc w:val="center"/>
        </w:trPr>
        <w:tc>
          <w:tcPr>
            <w:tcW w:w="4680" w:type="dxa"/>
          </w:tcPr>
          <w:p w14:paraId="688ED62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HuBMAP</w:t>
            </w:r>
          </w:p>
        </w:tc>
        <w:tc>
          <w:tcPr>
            <w:tcW w:w="4680" w:type="dxa"/>
          </w:tcPr>
          <w:p w14:paraId="4ABAC64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REST API with an Elasticsearch query body, then assets addressed by UUID</w:t>
            </w:r>
          </w:p>
        </w:tc>
      </w:tr>
      <w:tr w:rsidR="007368B5" w:rsidRPr="007368B5" w14:paraId="2402E00C" w14:textId="77777777" w:rsidTr="00151104">
        <w:trPr>
          <w:jc w:val="center"/>
        </w:trPr>
        <w:tc>
          <w:tcPr>
            <w:tcW w:w="4680" w:type="dxa"/>
          </w:tcPr>
          <w:p w14:paraId="10FC109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w:t>
            </w:r>
          </w:p>
        </w:tc>
        <w:tc>
          <w:tcPr>
            <w:tcW w:w="4680" w:type="dxa"/>
          </w:tcPr>
          <w:p w14:paraId="3115950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No API for the bulk matrices; object storage over HTTPS</w:t>
            </w:r>
          </w:p>
        </w:tc>
      </w:tr>
      <w:tr w:rsidR="007368B5" w:rsidRPr="007368B5" w14:paraId="52467610" w14:textId="77777777" w:rsidTr="00151104">
        <w:trPr>
          <w:jc w:val="center"/>
        </w:trPr>
        <w:tc>
          <w:tcPr>
            <w:tcW w:w="4680" w:type="dxa"/>
          </w:tcPr>
          <w:p w14:paraId="1D59F02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GEO</w:t>
            </w:r>
          </w:p>
        </w:tc>
        <w:tc>
          <w:tcPr>
            <w:tcW w:w="4680" w:type="dxa"/>
          </w:tcPr>
          <w:p w14:paraId="1E5F8A3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Directory listing served over HTTPS</w:t>
            </w:r>
          </w:p>
        </w:tc>
      </w:tr>
      <w:tr w:rsidR="007368B5" w:rsidRPr="007368B5" w14:paraId="2A7A4FCD" w14:textId="77777777" w:rsidTr="00151104">
        <w:trPr>
          <w:jc w:val="center"/>
        </w:trPr>
        <w:tc>
          <w:tcPr>
            <w:tcW w:w="4680" w:type="dxa"/>
          </w:tcPr>
          <w:p w14:paraId="742C16F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NASA OSDR</w:t>
            </w:r>
          </w:p>
        </w:tc>
        <w:tc>
          <w:tcPr>
            <w:tcW w:w="4680" w:type="dxa"/>
          </w:tcPr>
          <w:p w14:paraId="5A7A8CD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Study-scoped REST listing, then a download endpoint with query parameters</w:t>
            </w:r>
          </w:p>
        </w:tc>
      </w:tr>
    </w:tbl>
    <w:p w14:paraId="315445B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This heterogeneity is the practical reality of multi-resource work and the reason a discovery layer has value. It also argues for naming exact files rather than pointing at a study: the OSD-248 listing contains 1,313 files including trimmed FASTQs of several gigabytes each, of which Module 4 requires two.</w:t>
      </w:r>
    </w:p>
    <w:p w14:paraId="09023F17"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Verifying the local copy</w:t>
      </w:r>
    </w:p>
    <w:p w14:paraId="363B1A2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Confirm that every expected file is present and matches its expected size, and report anything absent by name. A silently missing donor propagates into an integration step and is far more expensive to diagnose there than at acquisition. The notebook performs this check against the download manifest, and </w:t>
      </w:r>
      <w:r w:rsidRPr="007368B5">
        <w:rPr>
          <w:rFonts w:ascii="Times New Roman" w:hAnsi="Times New Roman" w:cs="Times New Roman"/>
          <w:color w:val="1A3E6E"/>
          <w:sz w:val="19"/>
        </w:rPr>
        <w:t>scripts/verify_access.py</w:t>
      </w:r>
      <w:r w:rsidRPr="007368B5">
        <w:rPr>
          <w:rFonts w:ascii="Times New Roman" w:hAnsi="Times New Roman" w:cs="Times New Roman"/>
        </w:rPr>
        <w:t xml:space="preserve"> performs the equivalent check against the live URLs.</w:t>
      </w:r>
    </w:p>
    <w:p w14:paraId="1466A72E"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One format note worth anticipating: these four donors were deposited across a period in which the AnnData categorical encoding changed, so Donor_1 stores categorical columns under an older layout than the other three. Code that assumes a single layout will fail on part of the cohort.</w:t>
      </w:r>
    </w:p>
    <w:p w14:paraId="412849DB"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4. Methods</w:t>
      </w:r>
    </w:p>
    <w:p w14:paraId="41A62E9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Parameters for each step are the live values in </w:t>
      </w:r>
      <w:r w:rsidRPr="007368B5">
        <w:rPr>
          <w:rFonts w:ascii="Times New Roman" w:hAnsi="Times New Roman" w:cs="Times New Roman"/>
          <w:color w:val="1A3E6E"/>
          <w:sz w:val="19"/>
        </w:rPr>
        <w:t>config/paths.yaml</w:t>
      </w:r>
      <w:r w:rsidRPr="007368B5">
        <w:rPr>
          <w:rFonts w:ascii="Times New Roman" w:hAnsi="Times New Roman" w:cs="Times New Roman"/>
        </w:rPr>
        <w:t xml:space="preserve"> under </w:t>
      </w:r>
      <w:r w:rsidRPr="007368B5">
        <w:rPr>
          <w:rFonts w:ascii="Times New Roman" w:hAnsi="Times New Roman" w:cs="Times New Roman"/>
          <w:color w:val="1A3E6E"/>
          <w:sz w:val="19"/>
        </w:rPr>
        <w:t>module1</w:t>
      </w:r>
      <w:r w:rsidRPr="007368B5">
        <w:rPr>
          <w:rFonts w:ascii="Times New Roman" w:hAnsi="Times New Roman" w:cs="Times New Roman"/>
        </w:rPr>
        <w:t xml:space="preserve"> (and related keys); the per-step tables are collected in "Appendix B: parameters" at the end of this companion, numbered to match the subsections below. They are also stamped into </w:t>
      </w:r>
      <w:r w:rsidRPr="007368B5">
        <w:rPr>
          <w:rFonts w:ascii="Times New Roman" w:hAnsi="Times New Roman" w:cs="Times New Roman"/>
          <w:color w:val="1A3E6E"/>
          <w:sz w:val="19"/>
        </w:rPr>
        <w:t>outputs/tables/module1_methods_parameters.tsv</w:t>
      </w:r>
      <w:r w:rsidRPr="007368B5">
        <w:rPr>
          <w:rFonts w:ascii="Times New Roman" w:hAnsi="Times New Roman" w:cs="Times New Roman"/>
        </w:rPr>
        <w:t xml:space="preserve"> when the notebook runs. Script paths are relative to the project root.</w:t>
      </w:r>
    </w:p>
    <w:p w14:paraId="1F568DD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Each Methods step below corresponds to a numbered section of </w:t>
      </w:r>
      <w:r w:rsidRPr="007368B5">
        <w:rPr>
          <w:rFonts w:ascii="Times New Roman" w:hAnsi="Times New Roman" w:cs="Times New Roman"/>
          <w:color w:val="1A3E6E"/>
          <w:sz w:val="19"/>
        </w:rPr>
        <w:t>notebooks/01_discovery_and_qc.ipynb</w:t>
      </w:r>
      <w:r w:rsidRPr="007368B5">
        <w:rPr>
          <w:rFonts w:ascii="Times New Roman" w:hAnsi="Times New Roman" w:cs="Times New Roman"/>
        </w:rPr>
        <w:t>, so the document and the notebook can be read side by side:</w:t>
      </w:r>
    </w:p>
    <w:tbl>
      <w:tblPr>
        <w:tblStyle w:val="TableGrid"/>
        <w:tblW w:w="0" w:type="auto"/>
        <w:jc w:val="center"/>
        <w:tblLook w:val="04A0" w:firstRow="1" w:lastRow="0" w:firstColumn="1" w:lastColumn="0" w:noHBand="0" w:noVBand="1"/>
      </w:tblPr>
      <w:tblGrid>
        <w:gridCol w:w="4675"/>
        <w:gridCol w:w="4675"/>
      </w:tblGrid>
      <w:tr w:rsidR="007368B5" w:rsidRPr="007368B5" w14:paraId="4726AB1E" w14:textId="77777777" w:rsidTr="00151104">
        <w:trPr>
          <w:jc w:val="center"/>
        </w:trPr>
        <w:tc>
          <w:tcPr>
            <w:tcW w:w="4680" w:type="dxa"/>
            <w:shd w:val="clear" w:color="auto" w:fill="DCE6F1"/>
          </w:tcPr>
          <w:p w14:paraId="568BED95"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Methods step</w:t>
            </w:r>
          </w:p>
        </w:tc>
        <w:tc>
          <w:tcPr>
            <w:tcW w:w="4680" w:type="dxa"/>
            <w:shd w:val="clear" w:color="auto" w:fill="DCE6F1"/>
          </w:tcPr>
          <w:p w14:paraId="512658B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Notebook section</w:t>
            </w:r>
          </w:p>
        </w:tc>
      </w:tr>
      <w:tr w:rsidR="007368B5" w:rsidRPr="007368B5" w14:paraId="0509699F" w14:textId="77777777" w:rsidTr="00151104">
        <w:trPr>
          <w:jc w:val="center"/>
        </w:trPr>
        <w:tc>
          <w:tcPr>
            <w:tcW w:w="4680" w:type="dxa"/>
          </w:tcPr>
          <w:p w14:paraId="317F65A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 Identify and place teaching files</w:t>
            </w:r>
          </w:p>
        </w:tc>
        <w:tc>
          <w:tcPr>
            <w:tcW w:w="4680" w:type="dxa"/>
          </w:tcPr>
          <w:p w14:paraId="7F6C9E7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 Identify and place teaching files</w:t>
            </w:r>
          </w:p>
        </w:tc>
      </w:tr>
      <w:tr w:rsidR="007368B5" w:rsidRPr="007368B5" w14:paraId="037D9E87" w14:textId="77777777" w:rsidTr="00151104">
        <w:trPr>
          <w:jc w:val="center"/>
        </w:trPr>
        <w:tc>
          <w:tcPr>
            <w:tcW w:w="4680" w:type="dxa"/>
          </w:tcPr>
          <w:p w14:paraId="5525B96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2. Inventory and measured-size verification</w:t>
            </w:r>
          </w:p>
        </w:tc>
        <w:tc>
          <w:tcPr>
            <w:tcW w:w="4680" w:type="dxa"/>
          </w:tcPr>
          <w:p w14:paraId="23475B1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2. Inventory and measured-size verification</w:t>
            </w:r>
          </w:p>
        </w:tc>
      </w:tr>
      <w:tr w:rsidR="007368B5" w:rsidRPr="007368B5" w14:paraId="307D3503" w14:textId="77777777" w:rsidTr="00151104">
        <w:trPr>
          <w:jc w:val="center"/>
        </w:trPr>
        <w:tc>
          <w:tcPr>
            <w:tcW w:w="4680" w:type="dxa"/>
          </w:tcPr>
          <w:p w14:paraId="0537647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 Provenance and access table</w:t>
            </w:r>
          </w:p>
        </w:tc>
        <w:tc>
          <w:tcPr>
            <w:tcW w:w="4680" w:type="dxa"/>
          </w:tcPr>
          <w:p w14:paraId="3916887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 Provenance and access table</w:t>
            </w:r>
          </w:p>
        </w:tc>
      </w:tr>
      <w:tr w:rsidR="007368B5" w:rsidRPr="007368B5" w14:paraId="48228B35" w14:textId="77777777" w:rsidTr="00151104">
        <w:trPr>
          <w:jc w:val="center"/>
        </w:trPr>
        <w:tc>
          <w:tcPr>
            <w:tcW w:w="4680" w:type="dxa"/>
          </w:tcPr>
          <w:p w14:paraId="4E67856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 Composition gate</w:t>
            </w:r>
          </w:p>
        </w:tc>
        <w:tc>
          <w:tcPr>
            <w:tcW w:w="4680" w:type="dxa"/>
          </w:tcPr>
          <w:p w14:paraId="747503E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 Composition gate</w:t>
            </w:r>
          </w:p>
        </w:tc>
      </w:tr>
      <w:tr w:rsidR="007368B5" w:rsidRPr="007368B5" w14:paraId="15F5C0E6" w14:textId="77777777" w:rsidTr="00151104">
        <w:trPr>
          <w:jc w:val="center"/>
        </w:trPr>
        <w:tc>
          <w:tcPr>
            <w:tcW w:w="4680" w:type="dxa"/>
          </w:tcPr>
          <w:p w14:paraId="70433A3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 QC filters</w:t>
            </w:r>
          </w:p>
        </w:tc>
        <w:tc>
          <w:tcPr>
            <w:tcW w:w="4680" w:type="dxa"/>
          </w:tcPr>
          <w:p w14:paraId="5E1CE7C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 QC filters and preprocessing</w:t>
            </w:r>
          </w:p>
        </w:tc>
      </w:tr>
      <w:tr w:rsidR="007368B5" w:rsidRPr="007368B5" w14:paraId="35B1C50F" w14:textId="77777777" w:rsidTr="00151104">
        <w:trPr>
          <w:jc w:val="center"/>
        </w:trPr>
        <w:tc>
          <w:tcPr>
            <w:tcW w:w="4680" w:type="dxa"/>
          </w:tcPr>
          <w:p w14:paraId="0FF6031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 Preprocess, teaching subsample, neighbors, and UMAP</w:t>
            </w:r>
          </w:p>
        </w:tc>
        <w:tc>
          <w:tcPr>
            <w:tcW w:w="4680" w:type="dxa"/>
          </w:tcPr>
          <w:p w14:paraId="6BE11A1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5. QC filters and preprocessing</w:t>
            </w:r>
          </w:p>
        </w:tc>
      </w:tr>
    </w:tbl>
    <w:p w14:paraId="7FE1A3D7"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Steps 5 and 6 share one notebook section because a single call applies the filters and the preprocessing together. Notebook section 0 is environment setup, covered in Module 0, and the unnumbered "Discovery" section carries the CFDE and DCC framing from "Getting the data" above.</w:t>
      </w:r>
    </w:p>
    <w:p w14:paraId="0E5775AE"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lastRenderedPageBreak/>
        <w:t>1. Identify and place teaching files</w:t>
      </w:r>
    </w:p>
    <w:p w14:paraId="4C4A506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Script.</w:t>
      </w:r>
      <w:r w:rsidRPr="007368B5">
        <w:rPr>
          <w:rFonts w:ascii="Times New Roman" w:hAnsi="Times New Roman" w:cs="Times New Roman"/>
        </w:rPr>
        <w:t xml:space="preserve"> Manual portal download guided by </w:t>
      </w:r>
      <w:r w:rsidRPr="007368B5">
        <w:rPr>
          <w:rFonts w:ascii="Times New Roman" w:hAnsi="Times New Roman" w:cs="Times New Roman"/>
          <w:color w:val="1A3E6E"/>
          <w:sz w:val="19"/>
        </w:rPr>
        <w:t>config/paths.yaml</w:t>
      </w:r>
      <w:r w:rsidRPr="007368B5">
        <w:rPr>
          <w:rFonts w:ascii="Times New Roman" w:hAnsi="Times New Roman" w:cs="Times New Roman"/>
        </w:rPr>
        <w:t xml:space="preserve"> (</w:t>
      </w:r>
      <w:r w:rsidRPr="007368B5">
        <w:rPr>
          <w:rFonts w:ascii="Times New Roman" w:hAnsi="Times New Roman" w:cs="Times New Roman"/>
          <w:color w:val="1A3E6E"/>
          <w:sz w:val="19"/>
        </w:rPr>
        <w:t>module1.block_id</w:t>
      </w:r>
      <w:r w:rsidRPr="007368B5">
        <w:rPr>
          <w:rFonts w:ascii="Times New Roman" w:hAnsi="Times New Roman" w:cs="Times New Roman"/>
        </w:rPr>
        <w:t xml:space="preserve"> / </w:t>
      </w:r>
      <w:r w:rsidRPr="007368B5">
        <w:rPr>
          <w:rFonts w:ascii="Times New Roman" w:hAnsi="Times New Roman" w:cs="Times New Roman"/>
          <w:color w:val="1A3E6E"/>
          <w:sz w:val="19"/>
        </w:rPr>
        <w:t>module2.inputs</w:t>
      </w:r>
      <w:r w:rsidRPr="007368B5">
        <w:rPr>
          <w:rFonts w:ascii="Times New Roman" w:hAnsi="Times New Roman" w:cs="Times New Roman"/>
        </w:rPr>
        <w:t xml:space="preserve">); layout helpers in </w:t>
      </w:r>
      <w:r w:rsidRPr="007368B5">
        <w:rPr>
          <w:rFonts w:ascii="Times New Roman" w:hAnsi="Times New Roman" w:cs="Times New Roman"/>
          <w:color w:val="1A3E6E"/>
          <w:sz w:val="19"/>
        </w:rPr>
        <w:t>scripts/common/paths.py</w:t>
      </w:r>
      <w:r w:rsidRPr="007368B5">
        <w:rPr>
          <w:rFonts w:ascii="Times New Roman" w:hAnsi="Times New Roman" w:cs="Times New Roman"/>
        </w:rPr>
        <w:t xml:space="preserve"> (</w:t>
      </w:r>
      <w:r w:rsidRPr="007368B5">
        <w:rPr>
          <w:rFonts w:ascii="Times New Roman" w:hAnsi="Times New Roman" w:cs="Times New Roman"/>
          <w:color w:val="1A3E6E"/>
          <w:sz w:val="19"/>
        </w:rPr>
        <w:t>snrna_block_dir</w:t>
      </w:r>
      <w:r w:rsidRPr="007368B5">
        <w:rPr>
          <w:rFonts w:ascii="Times New Roman" w:hAnsi="Times New Roman" w:cs="Times New Roman"/>
        </w:rPr>
        <w:t xml:space="preserve">, </w:t>
      </w:r>
      <w:r w:rsidRPr="007368B5">
        <w:rPr>
          <w:rFonts w:ascii="Times New Roman" w:hAnsi="Times New Roman" w:cs="Times New Roman"/>
          <w:color w:val="1A3E6E"/>
          <w:sz w:val="19"/>
        </w:rPr>
        <w:t>teaching_inputs</w:t>
      </w:r>
      <w:r w:rsidRPr="007368B5">
        <w:rPr>
          <w:rFonts w:ascii="Times New Roman" w:hAnsi="Times New Roman" w:cs="Times New Roman"/>
        </w:rPr>
        <w:t xml:space="preserve"> via </w:t>
      </w:r>
      <w:r w:rsidRPr="007368B5">
        <w:rPr>
          <w:rFonts w:ascii="Times New Roman" w:hAnsi="Times New Roman" w:cs="Times New Roman"/>
          <w:color w:val="1A3E6E"/>
          <w:sz w:val="19"/>
        </w:rPr>
        <w:t>scripts/nb01_discovery/verify.py</w:t>
      </w:r>
      <w:r w:rsidRPr="007368B5">
        <w:rPr>
          <w:rFonts w:ascii="Times New Roman" w:hAnsi="Times New Roman" w:cs="Times New Roman"/>
        </w:rPr>
        <w:t>).</w:t>
      </w:r>
    </w:p>
    <w:p w14:paraId="59FA6D9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w:t>
      </w:r>
      <w:r w:rsidRPr="007368B5">
        <w:rPr>
          <w:rFonts w:ascii="Times New Roman" w:hAnsi="Times New Roman" w:cs="Times New Roman"/>
        </w:rPr>
        <w:t xml:space="preserve"> For each teaching donor, locate the public processed HuBMAP product that carries </w:t>
      </w:r>
      <w:r w:rsidRPr="007368B5">
        <w:rPr>
          <w:rFonts w:ascii="Times New Roman" w:hAnsi="Times New Roman" w:cs="Times New Roman"/>
          <w:color w:val="1A3E6E"/>
          <w:sz w:val="19"/>
        </w:rPr>
        <w:t>raw_expr.h5ad</w:t>
      </w:r>
      <w:r w:rsidRPr="007368B5">
        <w:rPr>
          <w:rFonts w:ascii="Times New Roman" w:hAnsi="Times New Roman" w:cs="Times New Roman"/>
        </w:rPr>
        <w:t xml:space="preserve"> (Salmon counts-like matrix) and the block metadata </w:t>
      </w:r>
      <w:r w:rsidRPr="007368B5">
        <w:rPr>
          <w:rFonts w:ascii="Times New Roman" w:hAnsi="Times New Roman" w:cs="Times New Roman"/>
          <w:color w:val="1A3E6E"/>
          <w:sz w:val="19"/>
        </w:rPr>
        <w:t>.tsv</w:t>
      </w:r>
      <w:r w:rsidRPr="007368B5">
        <w:rPr>
          <w:rFonts w:ascii="Times New Roman" w:hAnsi="Times New Roman" w:cs="Times New Roman"/>
        </w:rPr>
        <w:t xml:space="preserve">. Place files under </w:t>
      </w:r>
      <w:r w:rsidRPr="007368B5">
        <w:rPr>
          <w:rFonts w:ascii="Times New Roman" w:hAnsi="Times New Roman" w:cs="Times New Roman"/>
          <w:color w:val="1A3E6E"/>
          <w:sz w:val="19"/>
        </w:rPr>
        <w:t>data/source/HUBMAP/&lt;Donor&gt;/snRNAseq/&lt;primary_id&gt;/</w:t>
      </w:r>
      <w:r w:rsidRPr="007368B5">
        <w:rPr>
          <w:rFonts w:ascii="Times New Roman" w:hAnsi="Times New Roman" w:cs="Times New Roman"/>
        </w:rPr>
        <w:t xml:space="preserve"> using the primary block ID as the folder name (as in the learner manifest). Record </w:t>
      </w:r>
      <w:r w:rsidRPr="007368B5">
        <w:rPr>
          <w:rFonts w:ascii="Times New Roman" w:hAnsi="Times New Roman" w:cs="Times New Roman"/>
          <w:color w:val="1A3E6E"/>
          <w:sz w:val="19"/>
        </w:rPr>
        <w:t>processed_id</w:t>
      </w:r>
      <w:r w:rsidRPr="007368B5">
        <w:rPr>
          <w:rFonts w:ascii="Times New Roman" w:hAnsi="Times New Roman" w:cs="Times New Roman"/>
        </w:rPr>
        <w:t xml:space="preserve"> and UUID in config so the bytes on disk are traceable even when the citation DOI points at the protected primary.</w:t>
      </w:r>
    </w:p>
    <w:p w14:paraId="774BC16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Parameters: see Appendix B, section 1.</w:t>
      </w:r>
    </w:p>
    <w:p w14:paraId="3046798F"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Why.</w:t>
      </w:r>
      <w:r w:rsidRPr="007368B5">
        <w:rPr>
          <w:rFonts w:ascii="Times New Roman" w:hAnsi="Times New Roman" w:cs="Times New Roman"/>
        </w:rPr>
        <w:t xml:space="preserve"> Primary datasets with human genetic sequence are protected. Anonymous learners download public processed descendants. Keeping the folder named by the primary ID preserves the citation target while </w:t>
      </w:r>
      <w:r w:rsidRPr="007368B5">
        <w:rPr>
          <w:rFonts w:ascii="Times New Roman" w:hAnsi="Times New Roman" w:cs="Times New Roman"/>
          <w:color w:val="1A3E6E"/>
          <w:sz w:val="19"/>
        </w:rPr>
        <w:t>processed_id</w:t>
      </w:r>
      <w:r w:rsidRPr="007368B5">
        <w:rPr>
          <w:rFonts w:ascii="Times New Roman" w:hAnsi="Times New Roman" w:cs="Times New Roman"/>
        </w:rPr>
        <w:t xml:space="preserve"> / UUID records what was fetched. Extra HuBMAP blocks under a donor are ignored unless listed in </w:t>
      </w:r>
      <w:r w:rsidRPr="007368B5">
        <w:rPr>
          <w:rFonts w:ascii="Times New Roman" w:hAnsi="Times New Roman" w:cs="Times New Roman"/>
          <w:color w:val="1A3E6E"/>
          <w:sz w:val="19"/>
        </w:rPr>
        <w:t>module2.inputs</w:t>
      </w:r>
      <w:r w:rsidRPr="007368B5">
        <w:rPr>
          <w:rFonts w:ascii="Times New Roman" w:hAnsi="Times New Roman" w:cs="Times New Roman"/>
        </w:rPr>
        <w:t>.</w:t>
      </w:r>
    </w:p>
    <w:p w14:paraId="1AB23C31"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2. Inventory and measured-size verification</w:t>
      </w:r>
    </w:p>
    <w:p w14:paraId="42BBE417"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Script.</w:t>
      </w:r>
      <w:r w:rsidRPr="007368B5">
        <w:rPr>
          <w:rFonts w:ascii="Times New Roman" w:hAnsi="Times New Roman" w:cs="Times New Roman"/>
        </w:rPr>
        <w:t xml:space="preserve"> </w:t>
      </w:r>
      <w:r w:rsidRPr="007368B5">
        <w:rPr>
          <w:rFonts w:ascii="Times New Roman" w:hAnsi="Times New Roman" w:cs="Times New Roman"/>
          <w:color w:val="1A3E6E"/>
          <w:sz w:val="19"/>
        </w:rPr>
        <w:t>scripts/nb01_discovery/inventory.py</w:t>
      </w:r>
      <w:r w:rsidRPr="007368B5">
        <w:rPr>
          <w:rFonts w:ascii="Times New Roman" w:hAnsi="Times New Roman" w:cs="Times New Roman"/>
        </w:rPr>
        <w:t xml:space="preserve"> (</w:t>
      </w:r>
      <w:r w:rsidRPr="007368B5">
        <w:rPr>
          <w:rFonts w:ascii="Times New Roman" w:hAnsi="Times New Roman" w:cs="Times New Roman"/>
          <w:color w:val="1A3E6E"/>
          <w:sz w:val="19"/>
        </w:rPr>
        <w:t>inventory_all_donors</w:t>
      </w:r>
      <w:r w:rsidRPr="007368B5">
        <w:rPr>
          <w:rFonts w:ascii="Times New Roman" w:hAnsi="Times New Roman" w:cs="Times New Roman"/>
        </w:rPr>
        <w:t xml:space="preserve">, </w:t>
      </w:r>
      <w:r w:rsidRPr="007368B5">
        <w:rPr>
          <w:rFonts w:ascii="Times New Roman" w:hAnsi="Times New Roman" w:cs="Times New Roman"/>
          <w:color w:val="1A3E6E"/>
          <w:sz w:val="19"/>
        </w:rPr>
        <w:t>summarize_inventory</w:t>
      </w:r>
      <w:r w:rsidRPr="007368B5">
        <w:rPr>
          <w:rFonts w:ascii="Times New Roman" w:hAnsi="Times New Roman" w:cs="Times New Roman"/>
        </w:rPr>
        <w:t xml:space="preserve">, </w:t>
      </w:r>
      <w:r w:rsidRPr="007368B5">
        <w:rPr>
          <w:rFonts w:ascii="Times New Roman" w:hAnsi="Times New Roman" w:cs="Times New Roman"/>
          <w:color w:val="1A3E6E"/>
          <w:sz w:val="19"/>
        </w:rPr>
        <w:t>write_inventory_outputs</w:t>
      </w:r>
      <w:r w:rsidRPr="007368B5">
        <w:rPr>
          <w:rFonts w:ascii="Times New Roman" w:hAnsi="Times New Roman" w:cs="Times New Roman"/>
        </w:rPr>
        <w:t xml:space="preserve">); </w:t>
      </w:r>
      <w:r w:rsidRPr="007368B5">
        <w:rPr>
          <w:rFonts w:ascii="Times New Roman" w:hAnsi="Times New Roman" w:cs="Times New Roman"/>
          <w:color w:val="1A3E6E"/>
          <w:sz w:val="19"/>
        </w:rPr>
        <w:t>scripts/nb01_discovery/verify.py</w:t>
      </w:r>
      <w:r w:rsidRPr="007368B5">
        <w:rPr>
          <w:rFonts w:ascii="Times New Roman" w:hAnsi="Times New Roman" w:cs="Times New Roman"/>
        </w:rPr>
        <w:t xml:space="preserve"> (</w:t>
      </w:r>
      <w:r w:rsidRPr="007368B5">
        <w:rPr>
          <w:rFonts w:ascii="Times New Roman" w:hAnsi="Times New Roman" w:cs="Times New Roman"/>
          <w:color w:val="1A3E6E"/>
          <w:sz w:val="19"/>
        </w:rPr>
        <w:t>verify_teaching_files</w:t>
      </w:r>
      <w:r w:rsidRPr="007368B5">
        <w:rPr>
          <w:rFonts w:ascii="Times New Roman" w:hAnsi="Times New Roman" w:cs="Times New Roman"/>
        </w:rPr>
        <w:t xml:space="preserve">, </w:t>
      </w:r>
      <w:r w:rsidRPr="007368B5">
        <w:rPr>
          <w:rFonts w:ascii="Times New Roman" w:hAnsi="Times New Roman" w:cs="Times New Roman"/>
          <w:color w:val="1A3E6E"/>
          <w:sz w:val="19"/>
        </w:rPr>
        <w:t>learner_download_manifest</w:t>
      </w:r>
      <w:r w:rsidRPr="007368B5">
        <w:rPr>
          <w:rFonts w:ascii="Times New Roman" w:hAnsi="Times New Roman" w:cs="Times New Roman"/>
        </w:rPr>
        <w:t xml:space="preserve">, </w:t>
      </w:r>
      <w:r w:rsidRPr="007368B5">
        <w:rPr>
          <w:rFonts w:ascii="Times New Roman" w:hAnsi="Times New Roman" w:cs="Times New Roman"/>
          <w:color w:val="1A3E6E"/>
          <w:sz w:val="19"/>
        </w:rPr>
        <w:t>write_verification_outputs</w:t>
      </w:r>
      <w:r w:rsidRPr="007368B5">
        <w:rPr>
          <w:rFonts w:ascii="Times New Roman" w:hAnsi="Times New Roman" w:cs="Times New Roman"/>
        </w:rPr>
        <w:t>).</w:t>
      </w:r>
    </w:p>
    <w:p w14:paraId="3D2A1A5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w:t>
      </w:r>
      <w:r w:rsidRPr="007368B5">
        <w:rPr>
          <w:rFonts w:ascii="Times New Roman" w:hAnsi="Times New Roman" w:cs="Times New Roman"/>
        </w:rPr>
        <w:t xml:space="preserve"> Walk donor trees under </w:t>
      </w:r>
      <w:r w:rsidRPr="007368B5">
        <w:rPr>
          <w:rFonts w:ascii="Times New Roman" w:hAnsi="Times New Roman" w:cs="Times New Roman"/>
          <w:color w:val="1A3E6E"/>
          <w:sz w:val="19"/>
        </w:rPr>
        <w:t>data/source/HUBMAP/</w:t>
      </w:r>
      <w:r w:rsidRPr="007368B5">
        <w:rPr>
          <w:rFonts w:ascii="Times New Roman" w:hAnsi="Times New Roman" w:cs="Times New Roman"/>
        </w:rPr>
        <w:t xml:space="preserve">, record every on-disk file (inventory), then separately check the </w:t>
      </w:r>
      <w:r w:rsidRPr="007368B5">
        <w:rPr>
          <w:rFonts w:ascii="Times New Roman" w:hAnsi="Times New Roman" w:cs="Times New Roman"/>
          <w:b/>
        </w:rPr>
        <w:t>required teaching paths</w:t>
      </w:r>
      <w:r w:rsidRPr="007368B5">
        <w:rPr>
          <w:rFonts w:ascii="Times New Roman" w:hAnsi="Times New Roman" w:cs="Times New Roman"/>
        </w:rPr>
        <w:t xml:space="preserve"> for presence, measured size, and optional sha256. Write:</w:t>
      </w:r>
    </w:p>
    <w:p w14:paraId="1341B9ED"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module1_file_inventory.tsv</w:t>
      </w:r>
      <w:r w:rsidRPr="007368B5">
        <w:rPr>
          <w:rFonts w:ascii="Times New Roman" w:hAnsi="Times New Roman" w:cs="Times New Roman"/>
        </w:rPr>
        <w:t xml:space="preserve"> / </w:t>
      </w:r>
      <w:r w:rsidRPr="007368B5">
        <w:rPr>
          <w:rFonts w:ascii="Times New Roman" w:hAnsi="Times New Roman" w:cs="Times New Roman"/>
          <w:color w:val="1A3E6E"/>
          <w:sz w:val="19"/>
        </w:rPr>
        <w:t>module1_inventory_summary.tsv</w:t>
      </w:r>
      <w:r w:rsidRPr="007368B5">
        <w:rPr>
          <w:rFonts w:ascii="Times New Roman" w:hAnsi="Times New Roman" w:cs="Times New Roman"/>
        </w:rPr>
        <w:t xml:space="preserve"> (everything under donors)</w:t>
      </w:r>
    </w:p>
    <w:p w14:paraId="5B867AA9"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module1_file_verification.tsv</w:t>
      </w:r>
      <w:r w:rsidRPr="007368B5">
        <w:rPr>
          <w:rFonts w:ascii="Times New Roman" w:hAnsi="Times New Roman" w:cs="Times New Roman"/>
        </w:rPr>
        <w:t xml:space="preserve"> (pass/fail on teaching cores)</w:t>
      </w:r>
    </w:p>
    <w:p w14:paraId="511C7CC3"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module1_learner_download_manifest.tsv</w:t>
      </w:r>
      <w:r w:rsidRPr="007368B5">
        <w:rPr>
          <w:rFonts w:ascii="Times New Roman" w:hAnsi="Times New Roman" w:cs="Times New Roman"/>
        </w:rPr>
        <w:t xml:space="preserve"> and </w:t>
      </w:r>
      <w:r w:rsidRPr="007368B5">
        <w:rPr>
          <w:rFonts w:ascii="Times New Roman" w:hAnsi="Times New Roman" w:cs="Times New Roman"/>
          <w:color w:val="1A3E6E"/>
          <w:sz w:val="19"/>
        </w:rPr>
        <w:t>module1_learner_download_summary.tsv</w:t>
      </w:r>
      <w:r w:rsidRPr="007368B5">
        <w:rPr>
          <w:rFonts w:ascii="Times New Roman" w:hAnsi="Times New Roman" w:cs="Times New Roman"/>
        </w:rPr>
        <w:t xml:space="preserve"> (course download budget)</w:t>
      </w:r>
    </w:p>
    <w:p w14:paraId="4CEB16B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Core required snRNA file per teaching block is </w:t>
      </w:r>
      <w:r w:rsidRPr="007368B5">
        <w:rPr>
          <w:rFonts w:ascii="Times New Roman" w:hAnsi="Times New Roman" w:cs="Times New Roman"/>
          <w:color w:val="1A3E6E"/>
          <w:sz w:val="19"/>
        </w:rPr>
        <w:t>raw_expr.h5ad</w:t>
      </w:r>
      <w:r w:rsidRPr="007368B5">
        <w:rPr>
          <w:rFonts w:ascii="Times New Roman" w:hAnsi="Times New Roman" w:cs="Times New Roman"/>
        </w:rPr>
        <w:t xml:space="preserve"> plus block metadata </w:t>
      </w:r>
      <w:r w:rsidRPr="007368B5">
        <w:rPr>
          <w:rFonts w:ascii="Times New Roman" w:hAnsi="Times New Roman" w:cs="Times New Roman"/>
          <w:color w:val="1A3E6E"/>
          <w:sz w:val="19"/>
        </w:rPr>
        <w:t>.tsv</w:t>
      </w:r>
      <w:r w:rsidRPr="007368B5">
        <w:rPr>
          <w:rFonts w:ascii="Times New Roman" w:hAnsi="Times New Roman" w:cs="Times New Roman"/>
        </w:rPr>
        <w:t>. Optional files (</w:t>
      </w:r>
      <w:r w:rsidRPr="007368B5">
        <w:rPr>
          <w:rFonts w:ascii="Times New Roman" w:hAnsi="Times New Roman" w:cs="Times New Roman"/>
          <w:color w:val="1A3E6E"/>
          <w:sz w:val="19"/>
        </w:rPr>
        <w:t>secondary_analysis.h5ad</w:t>
      </w:r>
      <w:r w:rsidRPr="007368B5">
        <w:rPr>
          <w:rFonts w:ascii="Times New Roman" w:hAnsi="Times New Roman" w:cs="Times New Roman"/>
        </w:rPr>
        <w:t xml:space="preserve">, </w:t>
      </w:r>
      <w:r w:rsidRPr="007368B5">
        <w:rPr>
          <w:rFonts w:ascii="Times New Roman" w:hAnsi="Times New Roman" w:cs="Times New Roman"/>
          <w:color w:val="1A3E6E"/>
          <w:sz w:val="19"/>
        </w:rPr>
        <w:t>expr.h5ad</w:t>
      </w:r>
      <w:r w:rsidRPr="007368B5">
        <w:rPr>
          <w:rFonts w:ascii="Times New Roman" w:hAnsi="Times New Roman" w:cs="Times New Roman"/>
        </w:rPr>
        <w:t xml:space="preserve">, </w:t>
      </w:r>
      <w:r w:rsidRPr="007368B5">
        <w:rPr>
          <w:rFonts w:ascii="Times New Roman" w:hAnsi="Times New Roman" w:cs="Times New Roman"/>
          <w:color w:val="1A3E6E"/>
          <w:sz w:val="19"/>
        </w:rPr>
        <w:t>scvelo_annotated.h5ad</w:t>
      </w:r>
      <w:r w:rsidRPr="007368B5">
        <w:rPr>
          <w:rFonts w:ascii="Times New Roman" w:hAnsi="Times New Roman" w:cs="Times New Roman"/>
        </w:rPr>
        <w:t>) are inventoried when present but are not counted in the learner total.</w:t>
      </w:r>
    </w:p>
    <w:p w14:paraId="71D41897"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Parameters: see Appendix B, section 2.</w:t>
      </w:r>
    </w:p>
    <w:p w14:paraId="70C0411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Why.</w:t>
      </w:r>
      <w:r w:rsidRPr="007368B5">
        <w:rPr>
          <w:rFonts w:ascii="Times New Roman" w:hAnsi="Times New Roman" w:cs="Times New Roman"/>
        </w:rPr>
        <w:t xml:space="preserve"> A missing or truncated </w:t>
      </w:r>
      <w:r w:rsidRPr="007368B5">
        <w:rPr>
          <w:rFonts w:ascii="Times New Roman" w:hAnsi="Times New Roman" w:cs="Times New Roman"/>
          <w:color w:val="1A3E6E"/>
          <w:sz w:val="19"/>
        </w:rPr>
        <w:t>raw_expr.h5ad</w:t>
      </w:r>
      <w:r w:rsidRPr="007368B5">
        <w:rPr>
          <w:rFonts w:ascii="Times New Roman" w:hAnsi="Times New Roman" w:cs="Times New Roman"/>
        </w:rPr>
        <w:t xml:space="preserve"> fails later as a shape or join error. Measuring sizes against the build record turns "I think I downloaded it" into an explicit pass/fail. Inventory can show gigabytes of optional blocks without changing the learner download total; the manifest is the checklist. If a file fails, replace it from the portal rather than adjusting the expected size to force a pass.</w:t>
      </w:r>
    </w:p>
    <w:p w14:paraId="1A8D8F95"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3. Provenance and access table</w:t>
      </w:r>
    </w:p>
    <w:p w14:paraId="43CA0F96"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Script.</w:t>
      </w:r>
      <w:r w:rsidRPr="007368B5">
        <w:rPr>
          <w:rFonts w:ascii="Times New Roman" w:hAnsi="Times New Roman" w:cs="Times New Roman"/>
        </w:rPr>
        <w:t xml:space="preserve"> </w:t>
      </w:r>
      <w:r w:rsidRPr="007368B5">
        <w:rPr>
          <w:rFonts w:ascii="Times New Roman" w:hAnsi="Times New Roman" w:cs="Times New Roman"/>
          <w:color w:val="1A3E6E"/>
          <w:sz w:val="19"/>
        </w:rPr>
        <w:t>scripts/nb01_discovery/access_table.py</w:t>
      </w:r>
      <w:r w:rsidRPr="007368B5">
        <w:rPr>
          <w:rFonts w:ascii="Times New Roman" w:hAnsi="Times New Roman" w:cs="Times New Roman"/>
        </w:rPr>
        <w:t xml:space="preserve"> (</w:t>
      </w:r>
      <w:r w:rsidRPr="007368B5">
        <w:rPr>
          <w:rFonts w:ascii="Times New Roman" w:hAnsi="Times New Roman" w:cs="Times New Roman"/>
          <w:color w:val="1A3E6E"/>
          <w:sz w:val="19"/>
        </w:rPr>
        <w:t>build_access_provenance_table</w:t>
      </w:r>
      <w:r w:rsidRPr="007368B5">
        <w:rPr>
          <w:rFonts w:ascii="Times New Roman" w:hAnsi="Times New Roman" w:cs="Times New Roman"/>
        </w:rPr>
        <w:t xml:space="preserve">, </w:t>
      </w:r>
      <w:r w:rsidRPr="007368B5">
        <w:rPr>
          <w:rFonts w:ascii="Times New Roman" w:hAnsi="Times New Roman" w:cs="Times New Roman"/>
          <w:color w:val="1A3E6E"/>
          <w:sz w:val="19"/>
        </w:rPr>
        <w:t>write_access_provenance_table</w:t>
      </w:r>
      <w:r w:rsidRPr="007368B5">
        <w:rPr>
          <w:rFonts w:ascii="Times New Roman" w:hAnsi="Times New Roman" w:cs="Times New Roman"/>
        </w:rPr>
        <w:t>).</w:t>
      </w:r>
    </w:p>
    <w:p w14:paraId="39C4B9C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w:t>
      </w:r>
      <w:r w:rsidRPr="007368B5">
        <w:rPr>
          <w:rFonts w:ascii="Times New Roman" w:hAnsi="Times New Roman" w:cs="Times New Roman"/>
        </w:rPr>
        <w:t xml:space="preserve"> Emit </w:t>
      </w:r>
      <w:r w:rsidRPr="007368B5">
        <w:rPr>
          <w:rFonts w:ascii="Times New Roman" w:hAnsi="Times New Roman" w:cs="Times New Roman"/>
          <w:color w:val="1A3E6E"/>
          <w:sz w:val="19"/>
        </w:rPr>
        <w:t>module1_dataset_access_provenance.tsv</w:t>
      </w:r>
      <w:r w:rsidRPr="007368B5">
        <w:rPr>
          <w:rFonts w:ascii="Times New Roman" w:hAnsi="Times New Roman" w:cs="Times New Roman"/>
        </w:rPr>
        <w:t xml:space="preserve"> with redistribution status </w:t>
      </w:r>
      <w:r w:rsidRPr="007368B5">
        <w:rPr>
          <w:rFonts w:ascii="Times New Roman" w:hAnsi="Times New Roman" w:cs="Times New Roman"/>
          <w:b/>
        </w:rPr>
        <w:t>not redistributed; learner downloads from source portal</w:t>
      </w:r>
      <w:r w:rsidRPr="007368B5">
        <w:rPr>
          <w:rFonts w:ascii="Times New Roman" w:hAnsi="Times New Roman" w:cs="Times New Roman"/>
        </w:rPr>
        <w:t>, plus roles for snRNA teaching blocks, Donor_2 multiome MOFA, and GTEx TPM used later.</w:t>
      </w:r>
    </w:p>
    <w:p w14:paraId="4B1790F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Parameters: see Appendix B, section 3.</w:t>
      </w:r>
    </w:p>
    <w:p w14:paraId="6220F166"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Why.</w:t>
      </w:r>
      <w:r w:rsidRPr="007368B5">
        <w:rPr>
          <w:rFonts w:ascii="Times New Roman" w:hAnsi="Times New Roman" w:cs="Times New Roman"/>
        </w:rPr>
        <w:t xml:space="preserve"> The course package is code and derived tables/figures, not a data mirror. Access status belongs beside inventory so reviewers and learners see redistribution rules once.</w:t>
      </w:r>
    </w:p>
    <w:p w14:paraId="24D9D390"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lastRenderedPageBreak/>
        <w:t>4. Composition gate (airway-lineage epithelial labels)</w:t>
      </w:r>
    </w:p>
    <w:p w14:paraId="5395F84E"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Script.</w:t>
      </w:r>
      <w:r w:rsidRPr="007368B5">
        <w:rPr>
          <w:rFonts w:ascii="Times New Roman" w:hAnsi="Times New Roman" w:cs="Times New Roman"/>
        </w:rPr>
        <w:t xml:space="preserve"> </w:t>
      </w:r>
      <w:r w:rsidRPr="007368B5">
        <w:rPr>
          <w:rFonts w:ascii="Times New Roman" w:hAnsi="Times New Roman" w:cs="Times New Roman"/>
          <w:color w:val="1A3E6E"/>
          <w:sz w:val="19"/>
        </w:rPr>
        <w:t>scripts/nb01_discovery/composition_gate.py</w:t>
      </w:r>
      <w:r w:rsidRPr="007368B5">
        <w:rPr>
          <w:rFonts w:ascii="Times New Roman" w:hAnsi="Times New Roman" w:cs="Times New Roman"/>
        </w:rPr>
        <w:t xml:space="preserve"> (</w:t>
      </w:r>
      <w:r w:rsidRPr="007368B5">
        <w:rPr>
          <w:rFonts w:ascii="Times New Roman" w:hAnsi="Times New Roman" w:cs="Times New Roman"/>
          <w:color w:val="1A3E6E"/>
          <w:sz w:val="19"/>
        </w:rPr>
        <w:t>donor_azimuth_crosstab</w:t>
      </w:r>
      <w:r w:rsidRPr="007368B5">
        <w:rPr>
          <w:rFonts w:ascii="Times New Roman" w:hAnsi="Times New Roman" w:cs="Times New Roman"/>
        </w:rPr>
        <w:t xml:space="preserve">, </w:t>
      </w:r>
      <w:r w:rsidRPr="007368B5">
        <w:rPr>
          <w:rFonts w:ascii="Times New Roman" w:hAnsi="Times New Roman" w:cs="Times New Roman"/>
          <w:color w:val="1A3E6E"/>
          <w:sz w:val="19"/>
        </w:rPr>
        <w:t>epithelial_airway_lineage_summary</w:t>
      </w:r>
      <w:r w:rsidRPr="007368B5">
        <w:rPr>
          <w:rFonts w:ascii="Times New Roman" w:hAnsi="Times New Roman" w:cs="Times New Roman"/>
        </w:rPr>
        <w:t xml:space="preserve">, </w:t>
      </w:r>
      <w:r w:rsidRPr="007368B5">
        <w:rPr>
          <w:rFonts w:ascii="Times New Roman" w:hAnsi="Times New Roman" w:cs="Times New Roman"/>
          <w:color w:val="1A3E6E"/>
          <w:sz w:val="19"/>
        </w:rPr>
        <w:t>write_composition_gate</w:t>
      </w:r>
      <w:r w:rsidRPr="007368B5">
        <w:rPr>
          <w:rFonts w:ascii="Times New Roman" w:hAnsi="Times New Roman" w:cs="Times New Roman"/>
        </w:rPr>
        <w:t xml:space="preserve">). Label set </w:t>
      </w:r>
      <w:r w:rsidRPr="007368B5">
        <w:rPr>
          <w:rFonts w:ascii="Times New Roman" w:hAnsi="Times New Roman" w:cs="Times New Roman"/>
          <w:color w:val="1A3E6E"/>
          <w:sz w:val="19"/>
        </w:rPr>
        <w:t>AIRWAY_LINEAGE_EPITHELIAL</w:t>
      </w:r>
      <w:r w:rsidRPr="007368B5">
        <w:rPr>
          <w:rFonts w:ascii="Times New Roman" w:hAnsi="Times New Roman" w:cs="Times New Roman"/>
        </w:rPr>
        <w:t xml:space="preserve"> (Club, Goblet, Deuterosomal, SMG, Tuft, multiciliated, transitional Club-AT2, and related). Backward-compatible alias </w:t>
      </w:r>
      <w:r w:rsidRPr="007368B5">
        <w:rPr>
          <w:rFonts w:ascii="Times New Roman" w:hAnsi="Times New Roman" w:cs="Times New Roman"/>
          <w:color w:val="1A3E6E"/>
          <w:sz w:val="19"/>
        </w:rPr>
        <w:t>epithelial_gate</w:t>
      </w:r>
      <w:r w:rsidRPr="007368B5">
        <w:rPr>
          <w:rFonts w:ascii="Times New Roman" w:hAnsi="Times New Roman" w:cs="Times New Roman"/>
        </w:rPr>
        <w:t xml:space="preserve"> still calls the same epithelial summary; it is </w:t>
      </w:r>
      <w:r w:rsidRPr="007368B5">
        <w:rPr>
          <w:rFonts w:ascii="Times New Roman" w:hAnsi="Times New Roman" w:cs="Times New Roman"/>
          <w:b/>
        </w:rPr>
        <w:t>not</w:t>
      </w:r>
      <w:r w:rsidRPr="007368B5">
        <w:rPr>
          <w:rFonts w:ascii="Times New Roman" w:hAnsi="Times New Roman" w:cs="Times New Roman"/>
        </w:rPr>
        <w:t xml:space="preserve"> a fifth coarse class.</w:t>
      </w:r>
    </w:p>
    <w:p w14:paraId="3B639CA2"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w:t>
      </w:r>
      <w:r w:rsidRPr="007368B5">
        <w:rPr>
          <w:rFonts w:ascii="Times New Roman" w:hAnsi="Times New Roman" w:cs="Times New Roman"/>
        </w:rPr>
        <w:t xml:space="preserve"> Read </w:t>
      </w:r>
      <w:r w:rsidRPr="007368B5">
        <w:rPr>
          <w:rFonts w:ascii="Times New Roman" w:hAnsi="Times New Roman" w:cs="Times New Roman"/>
          <w:color w:val="1A3E6E"/>
          <w:sz w:val="19"/>
        </w:rPr>
        <w:t>azimuth_label</w:t>
      </w:r>
      <w:r w:rsidRPr="007368B5">
        <w:rPr>
          <w:rFonts w:ascii="Times New Roman" w:hAnsi="Times New Roman" w:cs="Times New Roman"/>
        </w:rPr>
        <w:t xml:space="preserve"> (or fallback annotation columns) from each teaching block's </w:t>
      </w:r>
      <w:r w:rsidRPr="007368B5">
        <w:rPr>
          <w:rFonts w:ascii="Times New Roman" w:hAnsi="Times New Roman" w:cs="Times New Roman"/>
          <w:color w:val="1A3E6E"/>
          <w:sz w:val="19"/>
        </w:rPr>
        <w:t>secondary_analysis.h5ad</w:t>
      </w:r>
      <w:r w:rsidRPr="007368B5">
        <w:rPr>
          <w:rFonts w:ascii="Times New Roman" w:hAnsi="Times New Roman" w:cs="Times New Roman"/>
        </w:rPr>
        <w:t xml:space="preserve"> in backed mode, crosstab labels by donor, and summarize epithelial airway-lineage membership before locking the cohort for Module 2. Outputs include:</w:t>
      </w:r>
    </w:p>
    <w:p w14:paraId="777CB396"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module1_epithelial_airway_lineage_composition.tsv</w:t>
      </w:r>
    </w:p>
    <w:p w14:paraId="06027F4D"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module1_epithelial_airway_lineage_by_donor.tsv</w:t>
      </w:r>
    </w:p>
    <w:p w14:paraId="28DA5F8D"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module1_donor_azimuth_composition.tsv</w:t>
      </w:r>
    </w:p>
    <w:p w14:paraId="5C906F00"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color w:val="1A3E6E"/>
          <w:sz w:val="19"/>
        </w:rPr>
        <w:t>module1_azimuth_join_coverage.tsv</w:t>
      </w:r>
    </w:p>
    <w:p w14:paraId="2BFF377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This gate is a </w:t>
      </w:r>
      <w:r w:rsidRPr="007368B5">
        <w:rPr>
          <w:rFonts w:ascii="Times New Roman" w:hAnsi="Times New Roman" w:cs="Times New Roman"/>
          <w:b/>
        </w:rPr>
        <w:t>pre-QC secondary_analysis inventory</w:t>
      </w:r>
      <w:r w:rsidRPr="007368B5">
        <w:rPr>
          <w:rFonts w:ascii="Times New Roman" w:hAnsi="Times New Roman" w:cs="Times New Roman"/>
        </w:rPr>
        <w:t xml:space="preserve">. It does not use Module 1 QC-filtered or subsampled objects. Module 2 composition and DE use post-QC, possibly subsampled integrated nuclei and map airway secretory / gland Azimuth labels into the coarse </w:t>
      </w:r>
      <w:r w:rsidRPr="007368B5">
        <w:rPr>
          <w:rFonts w:ascii="Times New Roman" w:hAnsi="Times New Roman" w:cs="Times New Roman"/>
          <w:b/>
        </w:rPr>
        <w:t>`epithelial`</w:t>
      </w:r>
      <w:r w:rsidRPr="007368B5">
        <w:rPr>
          <w:rFonts w:ascii="Times New Roman" w:hAnsi="Times New Roman" w:cs="Times New Roman"/>
        </w:rPr>
        <w:t xml:space="preserve"> bucket only (four classes total: epithelial, endothelial, stromal, immune). Never treat a fifth coarse airway bucket as a Module 2 </w:t>
      </w:r>
      <w:r w:rsidRPr="007368B5">
        <w:rPr>
          <w:rFonts w:ascii="Times New Roman" w:hAnsi="Times New Roman" w:cs="Times New Roman"/>
          <w:color w:val="1A3E6E"/>
          <w:sz w:val="19"/>
        </w:rPr>
        <w:t>cell_class</w:t>
      </w:r>
      <w:r w:rsidRPr="007368B5">
        <w:rPr>
          <w:rFonts w:ascii="Times New Roman" w:hAnsi="Times New Roman" w:cs="Times New Roman"/>
        </w:rPr>
        <w:t>.</w:t>
      </w:r>
    </w:p>
    <w:p w14:paraId="7900336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Parameters: see Appendix B, section 4.</w:t>
      </w:r>
    </w:p>
    <w:p w14:paraId="17C1392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Why.</w:t>
      </w:r>
      <w:r w:rsidRPr="007368B5">
        <w:rPr>
          <w:rFonts w:ascii="Times New Roman" w:hAnsi="Times New Roman" w:cs="Times New Roman"/>
        </w:rPr>
        <w:t xml:space="preserve"> If teaching blocks lacked airway-lineage labels entirely, epithelial composition in Module 2 would be alveolar-only by construction. Classic SMG labels may still be rare; Club / transitional labels still contribute to epithelial. Donor_1 historically leaves more raw barcodes without labels than Donor_2/3; that is a join fact, not automatic QC failure.</w:t>
      </w:r>
    </w:p>
    <w:p w14:paraId="6ABA90AA"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5. QC filters</w:t>
      </w:r>
    </w:p>
    <w:p w14:paraId="124CC17F"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Script.</w:t>
      </w:r>
      <w:r w:rsidRPr="007368B5">
        <w:rPr>
          <w:rFonts w:ascii="Times New Roman" w:hAnsi="Times New Roman" w:cs="Times New Roman"/>
        </w:rPr>
        <w:t xml:space="preserve"> </w:t>
      </w:r>
      <w:r w:rsidRPr="007368B5">
        <w:rPr>
          <w:rFonts w:ascii="Times New Roman" w:hAnsi="Times New Roman" w:cs="Times New Roman"/>
          <w:color w:val="1A3E6E"/>
          <w:sz w:val="19"/>
        </w:rPr>
        <w:t>scripts/nb02_qc/qc.py</w:t>
      </w:r>
      <w:r w:rsidRPr="007368B5">
        <w:rPr>
          <w:rFonts w:ascii="Times New Roman" w:hAnsi="Times New Roman" w:cs="Times New Roman"/>
        </w:rPr>
        <w:t xml:space="preserve"> (</w:t>
      </w:r>
      <w:r w:rsidRPr="007368B5">
        <w:rPr>
          <w:rFonts w:ascii="Times New Roman" w:hAnsi="Times New Roman" w:cs="Times New Roman"/>
          <w:color w:val="1A3E6E"/>
          <w:sz w:val="19"/>
        </w:rPr>
        <w:t>compute_qc_metrics</w:t>
      </w:r>
      <w:r w:rsidRPr="007368B5">
        <w:rPr>
          <w:rFonts w:ascii="Times New Roman" w:hAnsi="Times New Roman" w:cs="Times New Roman"/>
        </w:rPr>
        <w:t xml:space="preserve">, </w:t>
      </w:r>
      <w:r w:rsidRPr="007368B5">
        <w:rPr>
          <w:rFonts w:ascii="Times New Roman" w:hAnsi="Times New Roman" w:cs="Times New Roman"/>
          <w:color w:val="1A3E6E"/>
          <w:sz w:val="19"/>
        </w:rPr>
        <w:t>apply_filters</w:t>
      </w:r>
      <w:r w:rsidRPr="007368B5">
        <w:rPr>
          <w:rFonts w:ascii="Times New Roman" w:hAnsi="Times New Roman" w:cs="Times New Roman"/>
        </w:rPr>
        <w:t xml:space="preserve">); load helpers in </w:t>
      </w:r>
      <w:r w:rsidRPr="007368B5">
        <w:rPr>
          <w:rFonts w:ascii="Times New Roman" w:hAnsi="Times New Roman" w:cs="Times New Roman"/>
          <w:color w:val="1A3E6E"/>
          <w:sz w:val="19"/>
        </w:rPr>
        <w:t>scripts/nb02_qc/load.py</w:t>
      </w:r>
      <w:r w:rsidRPr="007368B5">
        <w:rPr>
          <w:rFonts w:ascii="Times New Roman" w:hAnsi="Times New Roman" w:cs="Times New Roman"/>
        </w:rPr>
        <w:t xml:space="preserve">; per-block logs via </w:t>
      </w:r>
      <w:r w:rsidRPr="007368B5">
        <w:rPr>
          <w:rFonts w:ascii="Times New Roman" w:hAnsi="Times New Roman" w:cs="Times New Roman"/>
          <w:color w:val="1A3E6E"/>
          <w:sz w:val="19"/>
        </w:rPr>
        <w:t>scripts/nb02_qc/export.py</w:t>
      </w:r>
      <w:r w:rsidRPr="007368B5">
        <w:rPr>
          <w:rFonts w:ascii="Times New Roman" w:hAnsi="Times New Roman" w:cs="Times New Roman"/>
        </w:rPr>
        <w:t>.</w:t>
      </w:r>
    </w:p>
    <w:p w14:paraId="25A7E2A8"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w:t>
      </w:r>
      <w:r w:rsidRPr="007368B5">
        <w:rPr>
          <w:rFonts w:ascii="Times New Roman" w:hAnsi="Times New Roman" w:cs="Times New Roman"/>
        </w:rPr>
        <w:t xml:space="preserve"> For each teaching block, load </w:t>
      </w:r>
      <w:r w:rsidRPr="007368B5">
        <w:rPr>
          <w:rFonts w:ascii="Times New Roman" w:hAnsi="Times New Roman" w:cs="Times New Roman"/>
          <w:color w:val="1A3E6E"/>
          <w:sz w:val="19"/>
        </w:rPr>
        <w:t>raw_expr.h5ad</w:t>
      </w:r>
      <w:r w:rsidRPr="007368B5">
        <w:rPr>
          <w:rFonts w:ascii="Times New Roman" w:hAnsi="Times New Roman" w:cs="Times New Roman"/>
        </w:rPr>
        <w:t xml:space="preserve">, compute QC metrics (including mitochondrial and ribosomal percent), and apply filters in fixed order: gene prevalence, min genes per nucleus, min counts, max mitochondrial percent, max genes. Doublet calling is </w:t>
      </w:r>
      <w:r w:rsidRPr="007368B5">
        <w:rPr>
          <w:rFonts w:ascii="Times New Roman" w:hAnsi="Times New Roman" w:cs="Times New Roman"/>
          <w:b/>
        </w:rPr>
        <w:t>not</w:t>
      </w:r>
      <w:r w:rsidRPr="007368B5">
        <w:rPr>
          <w:rFonts w:ascii="Times New Roman" w:hAnsi="Times New Roman" w:cs="Times New Roman"/>
        </w:rPr>
        <w:t xml:space="preserve"> applied on the core path (</w:t>
      </w:r>
      <w:r w:rsidRPr="007368B5">
        <w:rPr>
          <w:rFonts w:ascii="Times New Roman" w:hAnsi="Times New Roman" w:cs="Times New Roman"/>
          <w:color w:val="1A3E6E"/>
          <w:sz w:val="19"/>
        </w:rPr>
        <w:t>module1.doublet_filtering: false</w:t>
      </w:r>
      <w:r w:rsidRPr="007368B5">
        <w:rPr>
          <w:rFonts w:ascii="Times New Roman" w:hAnsi="Times New Roman" w:cs="Times New Roman"/>
        </w:rPr>
        <w:t xml:space="preserve">): inputs are already HuBMAP-processed nuclei. Each step is logged with nucleus and gene counts in </w:t>
      </w:r>
      <w:r w:rsidRPr="007368B5">
        <w:rPr>
          <w:rFonts w:ascii="Times New Roman" w:hAnsi="Times New Roman" w:cs="Times New Roman"/>
          <w:color w:val="1A3E6E"/>
          <w:sz w:val="19"/>
        </w:rPr>
        <w:t>module1_qc_filter_log_&lt;block_id&gt;.tsv</w:t>
      </w:r>
      <w:r w:rsidRPr="007368B5">
        <w:rPr>
          <w:rFonts w:ascii="Times New Roman" w:hAnsi="Times New Roman" w:cs="Times New Roman"/>
        </w:rPr>
        <w:t xml:space="preserve"> and combined in </w:t>
      </w:r>
      <w:r w:rsidRPr="007368B5">
        <w:rPr>
          <w:rFonts w:ascii="Times New Roman" w:hAnsi="Times New Roman" w:cs="Times New Roman"/>
          <w:color w:val="1A3E6E"/>
          <w:sz w:val="19"/>
        </w:rPr>
        <w:t>module1_qc_filter_log_all_donors.tsv</w:t>
      </w:r>
      <w:r w:rsidRPr="007368B5">
        <w:rPr>
          <w:rFonts w:ascii="Times New Roman" w:hAnsi="Times New Roman" w:cs="Times New Roman"/>
        </w:rPr>
        <w:t>.</w:t>
      </w:r>
    </w:p>
    <w:p w14:paraId="34AEFF6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Parameters: see Appendix B, section 5.</w:t>
      </w:r>
    </w:p>
    <w:p w14:paraId="3887F67E"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Why.</w:t>
      </w:r>
      <w:r w:rsidRPr="007368B5">
        <w:rPr>
          <w:rFonts w:ascii="Times New Roman" w:hAnsi="Times New Roman" w:cs="Times New Roman"/>
        </w:rPr>
        <w:t xml:space="preserve"> Defaults are transparent, reproducible, and matched to snRNA-seq rather than aggressive cell-line filters. Mitochondrial filtering at 5% is treated as a diagnostic ceiling: on these nuclear objects it often removes almost no nuclei, so depth and complexity dominate the filter path.</w:t>
      </w:r>
    </w:p>
    <w:p w14:paraId="530819D6"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6. Preprocess, teaching subsample, neighbors, and UMAP</w:t>
      </w:r>
    </w:p>
    <w:p w14:paraId="78D40D5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Script.</w:t>
      </w:r>
      <w:r w:rsidRPr="007368B5">
        <w:rPr>
          <w:rFonts w:ascii="Times New Roman" w:hAnsi="Times New Roman" w:cs="Times New Roman"/>
        </w:rPr>
        <w:t xml:space="preserve"> </w:t>
      </w:r>
      <w:r w:rsidRPr="007368B5">
        <w:rPr>
          <w:rFonts w:ascii="Times New Roman" w:hAnsi="Times New Roman" w:cs="Times New Roman"/>
          <w:color w:val="1A3E6E"/>
          <w:sz w:val="19"/>
        </w:rPr>
        <w:t>scripts/nb02_qc/preprocess.py</w:t>
      </w:r>
      <w:r w:rsidRPr="007368B5">
        <w:rPr>
          <w:rFonts w:ascii="Times New Roman" w:hAnsi="Times New Roman" w:cs="Times New Roman"/>
        </w:rPr>
        <w:t xml:space="preserve"> (</w:t>
      </w:r>
      <w:r w:rsidRPr="007368B5">
        <w:rPr>
          <w:rFonts w:ascii="Times New Roman" w:hAnsi="Times New Roman" w:cs="Times New Roman"/>
          <w:color w:val="1A3E6E"/>
          <w:sz w:val="19"/>
        </w:rPr>
        <w:t>normalize_log</w:t>
      </w:r>
      <w:r w:rsidRPr="007368B5">
        <w:rPr>
          <w:rFonts w:ascii="Times New Roman" w:hAnsi="Times New Roman" w:cs="Times New Roman"/>
        </w:rPr>
        <w:t xml:space="preserve">, </w:t>
      </w:r>
      <w:r w:rsidRPr="007368B5">
        <w:rPr>
          <w:rFonts w:ascii="Times New Roman" w:hAnsi="Times New Roman" w:cs="Times New Roman"/>
          <w:color w:val="1A3E6E"/>
          <w:sz w:val="19"/>
        </w:rPr>
        <w:t>hvg_pca</w:t>
      </w:r>
      <w:r w:rsidRPr="007368B5">
        <w:rPr>
          <w:rFonts w:ascii="Times New Roman" w:hAnsi="Times New Roman" w:cs="Times New Roman"/>
        </w:rPr>
        <w:t xml:space="preserve">, </w:t>
      </w:r>
      <w:r w:rsidRPr="007368B5">
        <w:rPr>
          <w:rFonts w:ascii="Times New Roman" w:hAnsi="Times New Roman" w:cs="Times New Roman"/>
          <w:color w:val="1A3E6E"/>
          <w:sz w:val="19"/>
        </w:rPr>
        <w:t>maybe_subsample</w:t>
      </w:r>
      <w:r w:rsidRPr="007368B5">
        <w:rPr>
          <w:rFonts w:ascii="Times New Roman" w:hAnsi="Times New Roman" w:cs="Times New Roman"/>
        </w:rPr>
        <w:t xml:space="preserve">, </w:t>
      </w:r>
      <w:r w:rsidRPr="007368B5">
        <w:rPr>
          <w:rFonts w:ascii="Times New Roman" w:hAnsi="Times New Roman" w:cs="Times New Roman"/>
          <w:color w:val="1A3E6E"/>
          <w:sz w:val="19"/>
        </w:rPr>
        <w:t>neighbors_umap</w:t>
      </w:r>
      <w:r w:rsidRPr="007368B5">
        <w:rPr>
          <w:rFonts w:ascii="Times New Roman" w:hAnsi="Times New Roman" w:cs="Times New Roman"/>
        </w:rPr>
        <w:t xml:space="preserve">); save via </w:t>
      </w:r>
      <w:r w:rsidRPr="007368B5">
        <w:rPr>
          <w:rFonts w:ascii="Times New Roman" w:hAnsi="Times New Roman" w:cs="Times New Roman"/>
          <w:color w:val="1A3E6E"/>
          <w:sz w:val="19"/>
        </w:rPr>
        <w:t>scripts/nb02_qc/export.py</w:t>
      </w:r>
      <w:r w:rsidRPr="007368B5">
        <w:rPr>
          <w:rFonts w:ascii="Times New Roman" w:hAnsi="Times New Roman" w:cs="Times New Roman"/>
        </w:rPr>
        <w:t xml:space="preserve"> (</w:t>
      </w:r>
      <w:r w:rsidRPr="007368B5">
        <w:rPr>
          <w:rFonts w:ascii="Times New Roman" w:hAnsi="Times New Roman" w:cs="Times New Roman"/>
          <w:color w:val="1A3E6E"/>
          <w:sz w:val="19"/>
        </w:rPr>
        <w:t>save_module1_outputs</w:t>
      </w:r>
      <w:r w:rsidRPr="007368B5">
        <w:rPr>
          <w:rFonts w:ascii="Times New Roman" w:hAnsi="Times New Roman" w:cs="Times New Roman"/>
        </w:rPr>
        <w:t xml:space="preserve"> / module1 h5ad writers).</w:t>
      </w:r>
    </w:p>
    <w:p w14:paraId="7A0FCFD0"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w:t>
      </w:r>
      <w:r w:rsidRPr="007368B5">
        <w:rPr>
          <w:rFonts w:ascii="Times New Roman" w:hAnsi="Times New Roman" w:cs="Times New Roman"/>
        </w:rPr>
        <w:t xml:space="preserve"> After QC, run total-count normalization and log1p, select highly variable genes (Seurat flavor on log-normalized X), scale with clipping, and compute PCA. </w:t>
      </w:r>
      <w:r w:rsidRPr="007368B5">
        <w:rPr>
          <w:rFonts w:ascii="Times New Roman" w:hAnsi="Times New Roman" w:cs="Times New Roman"/>
          <w:b/>
        </w:rPr>
        <w:t>Then</w:t>
      </w:r>
      <w:r w:rsidRPr="007368B5">
        <w:rPr>
          <w:rFonts w:ascii="Times New Roman" w:hAnsi="Times New Roman" w:cs="Times New Roman"/>
        </w:rPr>
        <w:t xml:space="preserve"> apply the teaching subsample (</w:t>
      </w:r>
      <w:r w:rsidRPr="007368B5">
        <w:rPr>
          <w:rFonts w:ascii="Times New Roman" w:hAnsi="Times New Roman" w:cs="Times New Roman"/>
          <w:color w:val="1A3E6E"/>
          <w:sz w:val="19"/>
        </w:rPr>
        <w:t>module1.max_nuclei</w:t>
      </w:r>
      <w:r w:rsidRPr="007368B5">
        <w:rPr>
          <w:rFonts w:ascii="Times New Roman" w:hAnsi="Times New Roman" w:cs="Times New Roman"/>
        </w:rPr>
        <w:t xml:space="preserve">) with </w:t>
      </w:r>
      <w:r w:rsidRPr="007368B5">
        <w:rPr>
          <w:rFonts w:ascii="Times New Roman" w:hAnsi="Times New Roman" w:cs="Times New Roman"/>
          <w:color w:val="1A3E6E"/>
          <w:sz w:val="19"/>
        </w:rPr>
        <w:t>module1.random_seed</w:t>
      </w:r>
      <w:r w:rsidRPr="007368B5">
        <w:rPr>
          <w:rFonts w:ascii="Times New Roman" w:hAnsi="Times New Roman" w:cs="Times New Roman"/>
        </w:rPr>
        <w:t xml:space="preserve">. </w:t>
      </w:r>
      <w:r w:rsidRPr="007368B5">
        <w:rPr>
          <w:rFonts w:ascii="Times New Roman" w:hAnsi="Times New Roman" w:cs="Times New Roman"/>
          <w:b/>
        </w:rPr>
        <w:t>Only after</w:t>
      </w:r>
      <w:r w:rsidRPr="007368B5">
        <w:rPr>
          <w:rFonts w:ascii="Times New Roman" w:hAnsi="Times New Roman" w:cs="Times New Roman"/>
        </w:rPr>
        <w:t xml:space="preserve"> subsample compute neighbors and UMAP. Order matters: HVG/PCA see the full post-QC nucleus set; neighborhood graphs and UMAP see the capped teaching set. Preserve raw counts in </w:t>
      </w:r>
      <w:r w:rsidRPr="007368B5">
        <w:rPr>
          <w:rFonts w:ascii="Times New Roman" w:hAnsi="Times New Roman" w:cs="Times New Roman"/>
          <w:color w:val="1A3E6E"/>
          <w:sz w:val="19"/>
        </w:rPr>
        <w:t>layers['counts']</w:t>
      </w:r>
      <w:r w:rsidRPr="007368B5">
        <w:rPr>
          <w:rFonts w:ascii="Times New Roman" w:hAnsi="Times New Roman" w:cs="Times New Roman"/>
        </w:rPr>
        <w:t xml:space="preserve"> for downstream DE. Write </w:t>
      </w:r>
      <w:r w:rsidRPr="007368B5">
        <w:rPr>
          <w:rFonts w:ascii="Times New Roman" w:hAnsi="Times New Roman" w:cs="Times New Roman"/>
          <w:color w:val="1A3E6E"/>
          <w:sz w:val="19"/>
        </w:rPr>
        <w:t>data/processed/hubmap/module1_&lt;block_id&gt;_qc_preprocessed.h5ad</w:t>
      </w:r>
      <w:r w:rsidRPr="007368B5">
        <w:rPr>
          <w:rFonts w:ascii="Times New Roman" w:hAnsi="Times New Roman" w:cs="Times New Roman"/>
        </w:rPr>
        <w:t xml:space="preserve"> for Module 2.</w:t>
      </w:r>
    </w:p>
    <w:p w14:paraId="4BA45446"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lastRenderedPageBreak/>
        <w:t xml:space="preserve">Module 2 does </w:t>
      </w:r>
      <w:r w:rsidRPr="007368B5">
        <w:rPr>
          <w:rFonts w:ascii="Times New Roman" w:hAnsi="Times New Roman" w:cs="Times New Roman"/>
          <w:b/>
        </w:rPr>
        <w:t>not</w:t>
      </w:r>
      <w:r w:rsidRPr="007368B5">
        <w:rPr>
          <w:rFonts w:ascii="Times New Roman" w:hAnsi="Times New Roman" w:cs="Times New Roman"/>
        </w:rPr>
        <w:t xml:space="preserve"> reuse this per-donor embedding for integration: it recomputes joint HVG/PCA (</w:t>
      </w:r>
      <w:r w:rsidRPr="007368B5">
        <w:rPr>
          <w:rFonts w:ascii="Times New Roman" w:hAnsi="Times New Roman" w:cs="Times New Roman"/>
          <w:color w:val="1A3E6E"/>
          <w:sz w:val="19"/>
        </w:rPr>
        <w:t>module2.embedding.n_pcs=40</w:t>
      </w:r>
      <w:r w:rsidRPr="007368B5">
        <w:rPr>
          <w:rFonts w:ascii="Times New Roman" w:hAnsi="Times New Roman" w:cs="Times New Roman"/>
        </w:rPr>
        <w:t>) on the concatenated object. Module 1 UMAP is a teaching QC view.</w:t>
      </w:r>
    </w:p>
    <w:p w14:paraId="7A41E90D"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Parameters: see Appendix B, section 6.</w:t>
      </w:r>
    </w:p>
    <w:p w14:paraId="4D969FF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Why.</w:t>
      </w:r>
      <w:r w:rsidRPr="007368B5">
        <w:rPr>
          <w:rFonts w:ascii="Times New Roman" w:hAnsi="Times New Roman" w:cs="Times New Roman"/>
        </w:rPr>
        <w:t xml:space="preserve"> Module 2 needs a comparable preprocessed object per donor with a counts layer. The 5000-nucleus cap keeps classroom RAM predictable; Donor_1 often finishes QC below the cap and is not subsampled. Subsampling after HVG/PCA avoids re-estimating HVGs on a random subset while still reducing neighbor-graph cost.</w:t>
      </w:r>
    </w:p>
    <w:p w14:paraId="2682C2EF"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Committed parameter stamp:</w:t>
      </w:r>
    </w:p>
    <w:tbl>
      <w:tblPr>
        <w:tblStyle w:val="TableGrid"/>
        <w:tblW w:w="0" w:type="auto"/>
        <w:jc w:val="center"/>
        <w:tblLook w:val="04A0" w:firstRow="1" w:lastRow="0" w:firstColumn="1" w:lastColumn="0" w:noHBand="0" w:noVBand="1"/>
      </w:tblPr>
      <w:tblGrid>
        <w:gridCol w:w="3114"/>
        <w:gridCol w:w="3118"/>
        <w:gridCol w:w="3118"/>
      </w:tblGrid>
      <w:tr w:rsidR="007368B5" w:rsidRPr="007368B5" w14:paraId="7C2CA9DD" w14:textId="77777777" w:rsidTr="00151104">
        <w:trPr>
          <w:jc w:val="center"/>
        </w:trPr>
        <w:tc>
          <w:tcPr>
            <w:tcW w:w="3120" w:type="dxa"/>
            <w:shd w:val="clear" w:color="auto" w:fill="DCE6F1"/>
          </w:tcPr>
          <w:p w14:paraId="017D1143"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step</w:t>
            </w:r>
          </w:p>
        </w:tc>
        <w:tc>
          <w:tcPr>
            <w:tcW w:w="3120" w:type="dxa"/>
            <w:shd w:val="clear" w:color="auto" w:fill="DCE6F1"/>
          </w:tcPr>
          <w:p w14:paraId="360BE0E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parameters</w:t>
            </w:r>
          </w:p>
        </w:tc>
        <w:tc>
          <w:tcPr>
            <w:tcW w:w="3120" w:type="dxa"/>
            <w:shd w:val="clear" w:color="auto" w:fill="DCE6F1"/>
          </w:tcPr>
          <w:p w14:paraId="00C0B6A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package_or_function</w:t>
            </w:r>
          </w:p>
        </w:tc>
      </w:tr>
      <w:tr w:rsidR="007368B5" w:rsidRPr="007368B5" w14:paraId="13DEB300" w14:textId="77777777" w:rsidTr="00151104">
        <w:trPr>
          <w:jc w:val="center"/>
        </w:trPr>
        <w:tc>
          <w:tcPr>
            <w:tcW w:w="3120" w:type="dxa"/>
          </w:tcPr>
          <w:p w14:paraId="587D8B2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Input matrix</w:t>
            </w:r>
          </w:p>
        </w:tc>
        <w:tc>
          <w:tcPr>
            <w:tcW w:w="3120" w:type="dxa"/>
          </w:tcPr>
          <w:p w14:paraId="634F625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HuBMAP Salmon </w:t>
            </w:r>
            <w:r w:rsidRPr="007368B5">
              <w:rPr>
                <w:rFonts w:ascii="Times New Roman" w:hAnsi="Times New Roman" w:cs="Times New Roman"/>
                <w:color w:val="1A3E6E"/>
                <w:sz w:val="15"/>
              </w:rPr>
              <w:t>raw_expr.h5ad</w:t>
            </w:r>
            <w:r w:rsidRPr="007368B5">
              <w:rPr>
                <w:rFonts w:ascii="Times New Roman" w:hAnsi="Times New Roman" w:cs="Times New Roman"/>
                <w:sz w:val="17"/>
              </w:rPr>
              <w:t xml:space="preserve"> (counts-like)</w:t>
            </w:r>
          </w:p>
        </w:tc>
        <w:tc>
          <w:tcPr>
            <w:tcW w:w="3120" w:type="dxa"/>
          </w:tcPr>
          <w:p w14:paraId="777D101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anndata / scanpy</w:t>
            </w:r>
          </w:p>
        </w:tc>
      </w:tr>
      <w:tr w:rsidR="007368B5" w:rsidRPr="007368B5" w14:paraId="164197A7" w14:textId="77777777" w:rsidTr="00151104">
        <w:trPr>
          <w:jc w:val="center"/>
        </w:trPr>
        <w:tc>
          <w:tcPr>
            <w:tcW w:w="3120" w:type="dxa"/>
          </w:tcPr>
          <w:p w14:paraId="6185B17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QC metrics</w:t>
            </w:r>
          </w:p>
        </w:tc>
        <w:tc>
          <w:tcPr>
            <w:tcW w:w="3120" w:type="dxa"/>
          </w:tcPr>
          <w:p w14:paraId="60F6BB8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scanpy.pp.calculate_qc_metrics (mt, ribo)</w:t>
            </w:r>
          </w:p>
        </w:tc>
        <w:tc>
          <w:tcPr>
            <w:tcW w:w="3120" w:type="dxa"/>
          </w:tcPr>
          <w:p w14:paraId="748465C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w:t>
            </w:r>
          </w:p>
        </w:tc>
      </w:tr>
      <w:tr w:rsidR="007368B5" w:rsidRPr="007368B5" w14:paraId="361B10A4" w14:textId="77777777" w:rsidTr="00151104">
        <w:trPr>
          <w:jc w:val="center"/>
        </w:trPr>
        <w:tc>
          <w:tcPr>
            <w:tcW w:w="3120" w:type="dxa"/>
          </w:tcPr>
          <w:p w14:paraId="6D63AE0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Gene filter</w:t>
            </w:r>
          </w:p>
        </w:tc>
        <w:tc>
          <w:tcPr>
            <w:tcW w:w="3120" w:type="dxa"/>
          </w:tcPr>
          <w:p w14:paraId="2417D32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min_cells=3</w:t>
            </w:r>
          </w:p>
        </w:tc>
        <w:tc>
          <w:tcPr>
            <w:tcW w:w="3120" w:type="dxa"/>
          </w:tcPr>
          <w:p w14:paraId="410D4BA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scanpy.pp.filter_genes</w:t>
            </w:r>
          </w:p>
        </w:tc>
      </w:tr>
      <w:tr w:rsidR="007368B5" w:rsidRPr="007368B5" w14:paraId="65F616FC" w14:textId="77777777" w:rsidTr="00151104">
        <w:trPr>
          <w:jc w:val="center"/>
        </w:trPr>
        <w:tc>
          <w:tcPr>
            <w:tcW w:w="3120" w:type="dxa"/>
          </w:tcPr>
          <w:p w14:paraId="475A436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Cell filter: complexity</w:t>
            </w:r>
          </w:p>
        </w:tc>
        <w:tc>
          <w:tcPr>
            <w:tcW w:w="3120" w:type="dxa"/>
          </w:tcPr>
          <w:p w14:paraId="6CD8F93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min_genes=200</w:t>
            </w:r>
          </w:p>
        </w:tc>
        <w:tc>
          <w:tcPr>
            <w:tcW w:w="3120" w:type="dxa"/>
          </w:tcPr>
          <w:p w14:paraId="5ADCDC2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scanpy.pp.filter_cells</w:t>
            </w:r>
          </w:p>
        </w:tc>
      </w:tr>
      <w:tr w:rsidR="007368B5" w:rsidRPr="007368B5" w14:paraId="61521D66" w14:textId="77777777" w:rsidTr="00151104">
        <w:trPr>
          <w:jc w:val="center"/>
        </w:trPr>
        <w:tc>
          <w:tcPr>
            <w:tcW w:w="3120" w:type="dxa"/>
          </w:tcPr>
          <w:p w14:paraId="2CDCAD7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Cell filter: depth</w:t>
            </w:r>
          </w:p>
        </w:tc>
        <w:tc>
          <w:tcPr>
            <w:tcW w:w="3120" w:type="dxa"/>
          </w:tcPr>
          <w:p w14:paraId="28F6B77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min_counts=500</w:t>
            </w:r>
          </w:p>
        </w:tc>
        <w:tc>
          <w:tcPr>
            <w:tcW w:w="3120" w:type="dxa"/>
          </w:tcPr>
          <w:p w14:paraId="1BE9544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obs threshold</w:t>
            </w:r>
          </w:p>
        </w:tc>
      </w:tr>
      <w:tr w:rsidR="007368B5" w:rsidRPr="007368B5" w14:paraId="523E43FE" w14:textId="77777777" w:rsidTr="00151104">
        <w:trPr>
          <w:jc w:val="center"/>
        </w:trPr>
        <w:tc>
          <w:tcPr>
            <w:tcW w:w="3120" w:type="dxa"/>
          </w:tcPr>
          <w:p w14:paraId="263EBF7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Cell filter: mito</w:t>
            </w:r>
          </w:p>
        </w:tc>
        <w:tc>
          <w:tcPr>
            <w:tcW w:w="3120" w:type="dxa"/>
          </w:tcPr>
          <w:p w14:paraId="5043801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max_mito_percent=5.0</w:t>
            </w:r>
          </w:p>
        </w:tc>
        <w:tc>
          <w:tcPr>
            <w:tcW w:w="3120" w:type="dxa"/>
          </w:tcPr>
          <w:p w14:paraId="48968A2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obs threshold</w:t>
            </w:r>
          </w:p>
        </w:tc>
      </w:tr>
      <w:tr w:rsidR="007368B5" w:rsidRPr="007368B5" w14:paraId="7A9B3F1E" w14:textId="77777777" w:rsidTr="00151104">
        <w:trPr>
          <w:jc w:val="center"/>
        </w:trPr>
        <w:tc>
          <w:tcPr>
            <w:tcW w:w="3120" w:type="dxa"/>
          </w:tcPr>
          <w:p w14:paraId="39C35AF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Cell filter: max genes</w:t>
            </w:r>
          </w:p>
        </w:tc>
        <w:tc>
          <w:tcPr>
            <w:tcW w:w="3120" w:type="dxa"/>
          </w:tcPr>
          <w:p w14:paraId="16857A9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max_genes=8000</w:t>
            </w:r>
          </w:p>
        </w:tc>
        <w:tc>
          <w:tcPr>
            <w:tcW w:w="3120" w:type="dxa"/>
          </w:tcPr>
          <w:p w14:paraId="19BCC9E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obs threshold</w:t>
            </w:r>
          </w:p>
        </w:tc>
      </w:tr>
      <w:tr w:rsidR="007368B5" w:rsidRPr="007368B5" w14:paraId="33AC8242" w14:textId="77777777" w:rsidTr="00151104">
        <w:trPr>
          <w:jc w:val="center"/>
        </w:trPr>
        <w:tc>
          <w:tcPr>
            <w:tcW w:w="3120" w:type="dxa"/>
          </w:tcPr>
          <w:p w14:paraId="30D160A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Doublet filtering</w:t>
            </w:r>
          </w:p>
        </w:tc>
        <w:tc>
          <w:tcPr>
            <w:tcW w:w="3120" w:type="dxa"/>
          </w:tcPr>
          <w:p w14:paraId="6B76B39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Not applied in core path (HuBMAP processed nuclei; optional Scrublet deferred)</w:t>
            </w:r>
          </w:p>
        </w:tc>
        <w:tc>
          <w:tcPr>
            <w:tcW w:w="3120" w:type="dxa"/>
          </w:tcPr>
          <w:p w14:paraId="43D3E95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n/a</w:t>
            </w:r>
          </w:p>
        </w:tc>
      </w:tr>
      <w:tr w:rsidR="007368B5" w:rsidRPr="007368B5" w14:paraId="1D3C49DF" w14:textId="77777777" w:rsidTr="00151104">
        <w:trPr>
          <w:jc w:val="center"/>
        </w:trPr>
        <w:tc>
          <w:tcPr>
            <w:tcW w:w="3120" w:type="dxa"/>
          </w:tcPr>
          <w:p w14:paraId="7C0DDFE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Normalization</w:t>
            </w:r>
          </w:p>
        </w:tc>
        <w:tc>
          <w:tcPr>
            <w:tcW w:w="3120" w:type="dxa"/>
          </w:tcPr>
          <w:p w14:paraId="3B53E7D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normalize_total target_sum=10000</w:t>
            </w:r>
          </w:p>
        </w:tc>
        <w:tc>
          <w:tcPr>
            <w:tcW w:w="3120" w:type="dxa"/>
          </w:tcPr>
          <w:p w14:paraId="1CF279E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scanpy.pp.normalize_total</w:t>
            </w:r>
          </w:p>
        </w:tc>
      </w:tr>
      <w:tr w:rsidR="007368B5" w:rsidRPr="007368B5" w14:paraId="77ECC8FC" w14:textId="77777777" w:rsidTr="00151104">
        <w:trPr>
          <w:jc w:val="center"/>
        </w:trPr>
        <w:tc>
          <w:tcPr>
            <w:tcW w:w="3120" w:type="dxa"/>
          </w:tcPr>
          <w:p w14:paraId="2CEAC28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Log transform</w:t>
            </w:r>
          </w:p>
        </w:tc>
        <w:tc>
          <w:tcPr>
            <w:tcW w:w="3120" w:type="dxa"/>
          </w:tcPr>
          <w:p w14:paraId="4534CE8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log1p</w:t>
            </w:r>
          </w:p>
        </w:tc>
        <w:tc>
          <w:tcPr>
            <w:tcW w:w="3120" w:type="dxa"/>
          </w:tcPr>
          <w:p w14:paraId="15E471C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scanpy.pp.log1p</w:t>
            </w:r>
          </w:p>
        </w:tc>
      </w:tr>
      <w:tr w:rsidR="007368B5" w:rsidRPr="007368B5" w14:paraId="06C339B8" w14:textId="77777777" w:rsidTr="00151104">
        <w:trPr>
          <w:jc w:val="center"/>
        </w:trPr>
        <w:tc>
          <w:tcPr>
            <w:tcW w:w="3120" w:type="dxa"/>
          </w:tcPr>
          <w:p w14:paraId="51E75D8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Feature selection</w:t>
            </w:r>
          </w:p>
        </w:tc>
        <w:tc>
          <w:tcPr>
            <w:tcW w:w="3120" w:type="dxa"/>
          </w:tcPr>
          <w:p w14:paraId="33FB4F1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Seurat HVG n_top_genes=2000</w:t>
            </w:r>
          </w:p>
        </w:tc>
        <w:tc>
          <w:tcPr>
            <w:tcW w:w="3120" w:type="dxa"/>
          </w:tcPr>
          <w:p w14:paraId="4B152F4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scanpy.pp.highly_variable_genes</w:t>
            </w:r>
          </w:p>
        </w:tc>
      </w:tr>
      <w:tr w:rsidR="007368B5" w:rsidRPr="007368B5" w14:paraId="619EACEB" w14:textId="77777777" w:rsidTr="00151104">
        <w:trPr>
          <w:jc w:val="center"/>
        </w:trPr>
        <w:tc>
          <w:tcPr>
            <w:tcW w:w="3120" w:type="dxa"/>
          </w:tcPr>
          <w:p w14:paraId="0A89FE8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Scaling</w:t>
            </w:r>
          </w:p>
        </w:tc>
        <w:tc>
          <w:tcPr>
            <w:tcW w:w="3120" w:type="dxa"/>
          </w:tcPr>
          <w:p w14:paraId="6AF6E4E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max_value=10 (HVG subset)</w:t>
            </w:r>
          </w:p>
        </w:tc>
        <w:tc>
          <w:tcPr>
            <w:tcW w:w="3120" w:type="dxa"/>
          </w:tcPr>
          <w:p w14:paraId="1CB8338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scanpy.pp.scale</w:t>
            </w:r>
          </w:p>
        </w:tc>
      </w:tr>
      <w:tr w:rsidR="007368B5" w:rsidRPr="007368B5" w14:paraId="327224D4" w14:textId="77777777" w:rsidTr="00151104">
        <w:trPr>
          <w:jc w:val="center"/>
        </w:trPr>
        <w:tc>
          <w:tcPr>
            <w:tcW w:w="3120" w:type="dxa"/>
          </w:tcPr>
          <w:p w14:paraId="1F5CA78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PCA</w:t>
            </w:r>
          </w:p>
        </w:tc>
        <w:tc>
          <w:tcPr>
            <w:tcW w:w="3120" w:type="dxa"/>
          </w:tcPr>
          <w:p w14:paraId="409314E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n_comps=50, svd_solver=arpack</w:t>
            </w:r>
          </w:p>
        </w:tc>
        <w:tc>
          <w:tcPr>
            <w:tcW w:w="3120" w:type="dxa"/>
          </w:tcPr>
          <w:p w14:paraId="659579E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scanpy.tl.pca</w:t>
            </w:r>
          </w:p>
        </w:tc>
      </w:tr>
      <w:tr w:rsidR="007368B5" w:rsidRPr="007368B5" w14:paraId="279984D9" w14:textId="77777777" w:rsidTr="00151104">
        <w:trPr>
          <w:jc w:val="center"/>
        </w:trPr>
        <w:tc>
          <w:tcPr>
            <w:tcW w:w="3120" w:type="dxa"/>
          </w:tcPr>
          <w:p w14:paraId="5FFB9C4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Neighbors graph</w:t>
            </w:r>
          </w:p>
        </w:tc>
        <w:tc>
          <w:tcPr>
            <w:tcW w:w="3120" w:type="dxa"/>
          </w:tcPr>
          <w:p w14:paraId="52A8142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n_neighbors=15, n_pcs=50</w:t>
            </w:r>
          </w:p>
        </w:tc>
        <w:tc>
          <w:tcPr>
            <w:tcW w:w="3120" w:type="dxa"/>
          </w:tcPr>
          <w:p w14:paraId="151A28B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scanpy.pp.neighbors</w:t>
            </w:r>
          </w:p>
        </w:tc>
      </w:tr>
    </w:tbl>
    <w:p w14:paraId="478A366C" w14:textId="77777777" w:rsidR="007368B5" w:rsidRPr="007368B5" w:rsidRDefault="007368B5" w:rsidP="007368B5">
      <w:pPr>
        <w:rPr>
          <w:rFonts w:ascii="Times New Roman" w:hAnsi="Times New Roman" w:cs="Times New Roman"/>
        </w:rPr>
      </w:pPr>
      <w:r w:rsidRPr="007368B5">
        <w:rPr>
          <w:rFonts w:ascii="Times New Roman" w:hAnsi="Times New Roman" w:cs="Times New Roman"/>
          <w:i/>
          <w:color w:val="444444"/>
          <w:sz w:val="17"/>
        </w:rPr>
        <w:t>Showing 14 of 17 rows. Source: module1_methods_parameters.tsv</w:t>
      </w:r>
    </w:p>
    <w:p w14:paraId="1C56B2EA"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5. Results</w:t>
      </w:r>
    </w:p>
    <w:p w14:paraId="451A8124"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Verification and download total</w:t>
      </w:r>
    </w:p>
    <w:p w14:paraId="24D91C8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Verification covered 23 files: the 10 required teaching files, all present (</w:t>
      </w:r>
      <w:r w:rsidRPr="007368B5">
        <w:rPr>
          <w:rFonts w:ascii="Times New Roman" w:hAnsi="Times New Roman" w:cs="Times New Roman"/>
          <w:color w:val="1A3E6E"/>
          <w:sz w:val="19"/>
        </w:rPr>
        <w:t>n_required_missing = 0</w:t>
      </w:r>
      <w:r w:rsidRPr="007368B5">
        <w:rPr>
          <w:rFonts w:ascii="Times New Roman" w:hAnsi="Times New Roman" w:cs="Times New Roman"/>
        </w:rPr>
        <w:t xml:space="preserve">), and 13 optional files excluded from the budget. Every required row matches the manifest on </w:t>
      </w:r>
      <w:r w:rsidRPr="007368B5">
        <w:rPr>
          <w:rFonts w:ascii="Times New Roman" w:hAnsi="Times New Roman" w:cs="Times New Roman"/>
          <w:color w:val="1A3E6E"/>
          <w:sz w:val="19"/>
        </w:rPr>
        <w:t>size_mb</w:t>
      </w:r>
      <w:r w:rsidRPr="007368B5">
        <w:rPr>
          <w:rFonts w:ascii="Times New Roman" w:hAnsi="Times New Roman" w:cs="Times New Roman"/>
        </w:rPr>
        <w:t xml:space="preserve"> and </w:t>
      </w:r>
      <w:r w:rsidRPr="007368B5">
        <w:rPr>
          <w:rFonts w:ascii="Times New Roman" w:hAnsi="Times New Roman" w:cs="Times New Roman"/>
          <w:color w:val="1A3E6E"/>
          <w:sz w:val="19"/>
        </w:rPr>
        <w:t>sha256</w:t>
      </w:r>
      <w:r w:rsidRPr="007368B5">
        <w:rPr>
          <w:rFonts w:ascii="Times New Roman" w:hAnsi="Times New Roman" w:cs="Times New Roman"/>
        </w:rPr>
        <w:t>, so nothing was truncated. Those optional rows measure 19,253.5 MB together, which is why the manifest, not the inventory, defines the download.</w:t>
      </w:r>
    </w:p>
    <w:p w14:paraId="3827D702"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Module 1 verification covers the HuBMAP files it manages directly. The full course budget, including the GTEx, GEO and OSDR files that Module 4 requires, is itemized under "Option 1: minimum download, recommended" above, with retrieval commands in Appendix A.</w:t>
      </w:r>
    </w:p>
    <w:p w14:paraId="6B704682"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The measured HuBMAP portion of the download is 394.60 MB of </w:t>
      </w:r>
      <w:r w:rsidRPr="007368B5">
        <w:rPr>
          <w:rFonts w:ascii="Times New Roman" w:hAnsi="Times New Roman" w:cs="Times New Roman"/>
          <w:color w:val="1A3E6E"/>
          <w:sz w:val="19"/>
        </w:rPr>
        <w:t>raw_expr.h5ad</w:t>
      </w:r>
      <w:r w:rsidRPr="007368B5">
        <w:rPr>
          <w:rFonts w:ascii="Times New Roman" w:hAnsi="Times New Roman" w:cs="Times New Roman"/>
        </w:rPr>
        <w:t xml:space="preserve"> (68.57, 104.55, 150.92 and 70.56) plus 0.08 MB of block metadata TSVs, and the Donor_2 </w:t>
      </w:r>
      <w:r w:rsidRPr="007368B5">
        <w:rPr>
          <w:rFonts w:ascii="Times New Roman" w:hAnsi="Times New Roman" w:cs="Times New Roman"/>
          <w:color w:val="1A3E6E"/>
          <w:sz w:val="19"/>
        </w:rPr>
        <w:t>multiome_mofa.hdf5</w:t>
      </w:r>
      <w:r w:rsidRPr="007368B5">
        <w:rPr>
          <w:rFonts w:ascii="Times New Roman" w:hAnsi="Times New Roman" w:cs="Times New Roman"/>
        </w:rPr>
        <w:t xml:space="preserve"> listed in the download </w:t>
      </w:r>
      <w:r w:rsidRPr="007368B5">
        <w:rPr>
          <w:rFonts w:ascii="Times New Roman" w:hAnsi="Times New Roman" w:cs="Times New Roman"/>
        </w:rPr>
        <w:lastRenderedPageBreak/>
        <w:t xml:space="preserve">summary. With the GTEx, GEO and OSDR files that Module 4 requires, the full course download is reported in </w:t>
      </w:r>
      <w:r w:rsidRPr="007368B5">
        <w:rPr>
          <w:rFonts w:ascii="Times New Roman" w:hAnsi="Times New Roman" w:cs="Times New Roman"/>
          <w:color w:val="1A3E6E"/>
          <w:sz w:val="19"/>
        </w:rPr>
        <w:t>module1_learner_download_summary.tsv</w:t>
      </w:r>
      <w:r w:rsidRPr="007368B5">
        <w:rPr>
          <w:rFonts w:ascii="Times New Roman" w:hAnsi="Times New Roman" w:cs="Times New Roman"/>
        </w:rPr>
        <w:t>. Module 1 verification reports every required file as present and size-matched against the manifest.</w:t>
      </w:r>
    </w:p>
    <w:p w14:paraId="4D4DE0D0"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QC filter path (all teaching donors)</w:t>
      </w:r>
    </w:p>
    <w:tbl>
      <w:tblPr>
        <w:tblStyle w:val="TableGrid"/>
        <w:tblW w:w="0" w:type="auto"/>
        <w:jc w:val="center"/>
        <w:tblLook w:val="04A0" w:firstRow="1" w:lastRow="0" w:firstColumn="1" w:lastColumn="0" w:noHBand="0" w:noVBand="1"/>
      </w:tblPr>
      <w:tblGrid>
        <w:gridCol w:w="1386"/>
        <w:gridCol w:w="1662"/>
        <w:gridCol w:w="1595"/>
        <w:gridCol w:w="1291"/>
        <w:gridCol w:w="1277"/>
        <w:gridCol w:w="2139"/>
      </w:tblGrid>
      <w:tr w:rsidR="007368B5" w:rsidRPr="007368B5" w14:paraId="59529745" w14:textId="77777777" w:rsidTr="00151104">
        <w:trPr>
          <w:jc w:val="center"/>
        </w:trPr>
        <w:tc>
          <w:tcPr>
            <w:tcW w:w="1560" w:type="dxa"/>
            <w:shd w:val="clear" w:color="auto" w:fill="DCE6F1"/>
          </w:tcPr>
          <w:p w14:paraId="3FB6618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donor_label</w:t>
            </w:r>
          </w:p>
        </w:tc>
        <w:tc>
          <w:tcPr>
            <w:tcW w:w="1560" w:type="dxa"/>
            <w:shd w:val="clear" w:color="auto" w:fill="DCE6F1"/>
          </w:tcPr>
          <w:p w14:paraId="52C778D0"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block_id</w:t>
            </w:r>
          </w:p>
        </w:tc>
        <w:tc>
          <w:tcPr>
            <w:tcW w:w="1560" w:type="dxa"/>
            <w:shd w:val="clear" w:color="auto" w:fill="DCE6F1"/>
          </w:tcPr>
          <w:p w14:paraId="4972B36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step</w:t>
            </w:r>
          </w:p>
        </w:tc>
        <w:tc>
          <w:tcPr>
            <w:tcW w:w="1560" w:type="dxa"/>
            <w:shd w:val="clear" w:color="auto" w:fill="DCE6F1"/>
          </w:tcPr>
          <w:p w14:paraId="505A641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n_nuclei</w:t>
            </w:r>
          </w:p>
        </w:tc>
        <w:tc>
          <w:tcPr>
            <w:tcW w:w="1560" w:type="dxa"/>
            <w:shd w:val="clear" w:color="auto" w:fill="DCE6F1"/>
          </w:tcPr>
          <w:p w14:paraId="36BDC99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n_genes</w:t>
            </w:r>
          </w:p>
        </w:tc>
        <w:tc>
          <w:tcPr>
            <w:tcW w:w="1560" w:type="dxa"/>
            <w:shd w:val="clear" w:color="auto" w:fill="DCE6F1"/>
          </w:tcPr>
          <w:p w14:paraId="29EBE23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rationale</w:t>
            </w:r>
          </w:p>
        </w:tc>
      </w:tr>
      <w:tr w:rsidR="007368B5" w:rsidRPr="007368B5" w14:paraId="16F6B705" w14:textId="77777777" w:rsidTr="00151104">
        <w:trPr>
          <w:jc w:val="center"/>
        </w:trPr>
        <w:tc>
          <w:tcPr>
            <w:tcW w:w="1560" w:type="dxa"/>
          </w:tcPr>
          <w:p w14:paraId="508227D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2C3FC4B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256A774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loaded</w:t>
            </w:r>
          </w:p>
        </w:tc>
        <w:tc>
          <w:tcPr>
            <w:tcW w:w="1560" w:type="dxa"/>
          </w:tcPr>
          <w:p w14:paraId="006D92C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4899</w:t>
            </w:r>
          </w:p>
        </w:tc>
        <w:tc>
          <w:tcPr>
            <w:tcW w:w="1560" w:type="dxa"/>
          </w:tcPr>
          <w:p w14:paraId="06A42BB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98000</w:t>
            </w:r>
          </w:p>
        </w:tc>
        <w:tc>
          <w:tcPr>
            <w:tcW w:w="1560" w:type="dxa"/>
          </w:tcPr>
          <w:p w14:paraId="632ED6E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raw_expr.h5ad as QC starting matrix</w:t>
            </w:r>
          </w:p>
        </w:tc>
      </w:tr>
      <w:tr w:rsidR="007368B5" w:rsidRPr="007368B5" w14:paraId="0045C0F9" w14:textId="77777777" w:rsidTr="00151104">
        <w:trPr>
          <w:jc w:val="center"/>
        </w:trPr>
        <w:tc>
          <w:tcPr>
            <w:tcW w:w="1560" w:type="dxa"/>
          </w:tcPr>
          <w:p w14:paraId="11D7EFF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241CC21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7E4E1E5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min_cells_per_gene</w:t>
            </w:r>
          </w:p>
        </w:tc>
        <w:tc>
          <w:tcPr>
            <w:tcW w:w="1560" w:type="dxa"/>
          </w:tcPr>
          <w:p w14:paraId="15EF5F8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4899</w:t>
            </w:r>
          </w:p>
        </w:tc>
        <w:tc>
          <w:tcPr>
            <w:tcW w:w="1560" w:type="dxa"/>
          </w:tcPr>
          <w:p w14:paraId="1B30890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3006646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Retain genes detected in &gt;= 3 nuclei</w:t>
            </w:r>
          </w:p>
        </w:tc>
      </w:tr>
      <w:tr w:rsidR="007368B5" w:rsidRPr="007368B5" w14:paraId="2D08ECF4" w14:textId="77777777" w:rsidTr="00151104">
        <w:trPr>
          <w:jc w:val="center"/>
        </w:trPr>
        <w:tc>
          <w:tcPr>
            <w:tcW w:w="1560" w:type="dxa"/>
          </w:tcPr>
          <w:p w14:paraId="0F08BAD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5CF5A92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5766D81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min_genes</w:t>
            </w:r>
          </w:p>
        </w:tc>
        <w:tc>
          <w:tcPr>
            <w:tcW w:w="1560" w:type="dxa"/>
          </w:tcPr>
          <w:p w14:paraId="1F7E0DF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4346</w:t>
            </w:r>
          </w:p>
        </w:tc>
        <w:tc>
          <w:tcPr>
            <w:tcW w:w="1560" w:type="dxa"/>
          </w:tcPr>
          <w:p w14:paraId="41EA2AA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4F73EAF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low-complexity nuclei with &lt; 200 genes</w:t>
            </w:r>
          </w:p>
        </w:tc>
      </w:tr>
      <w:tr w:rsidR="007368B5" w:rsidRPr="007368B5" w14:paraId="5A785D5F" w14:textId="77777777" w:rsidTr="00151104">
        <w:trPr>
          <w:jc w:val="center"/>
        </w:trPr>
        <w:tc>
          <w:tcPr>
            <w:tcW w:w="1560" w:type="dxa"/>
          </w:tcPr>
          <w:p w14:paraId="4A77187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55F2868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542038E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min_counts</w:t>
            </w:r>
          </w:p>
        </w:tc>
        <w:tc>
          <w:tcPr>
            <w:tcW w:w="1560" w:type="dxa"/>
          </w:tcPr>
          <w:p w14:paraId="73337E1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3885</w:t>
            </w:r>
          </w:p>
        </w:tc>
        <w:tc>
          <w:tcPr>
            <w:tcW w:w="1560" w:type="dxa"/>
          </w:tcPr>
          <w:p w14:paraId="1978E41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4DD4095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nuclei with &lt; 500 total counts</w:t>
            </w:r>
          </w:p>
        </w:tc>
      </w:tr>
      <w:tr w:rsidR="007368B5" w:rsidRPr="007368B5" w14:paraId="6BA7AEB6" w14:textId="77777777" w:rsidTr="00151104">
        <w:trPr>
          <w:jc w:val="center"/>
        </w:trPr>
        <w:tc>
          <w:tcPr>
            <w:tcW w:w="1560" w:type="dxa"/>
          </w:tcPr>
          <w:p w14:paraId="56A2F9E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4558E39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7E1FC9D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max_mito_percent</w:t>
            </w:r>
          </w:p>
        </w:tc>
        <w:tc>
          <w:tcPr>
            <w:tcW w:w="1560" w:type="dxa"/>
          </w:tcPr>
          <w:p w14:paraId="248ED02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3885</w:t>
            </w:r>
          </w:p>
        </w:tc>
        <w:tc>
          <w:tcPr>
            <w:tcW w:w="1560" w:type="dxa"/>
          </w:tcPr>
          <w:p w14:paraId="15D3ADC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74BF583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nuclei with mitochondrial percent &gt; 5.0 (snRNA typically low mito; threshold is diagnostic)</w:t>
            </w:r>
          </w:p>
        </w:tc>
      </w:tr>
      <w:tr w:rsidR="007368B5" w:rsidRPr="007368B5" w14:paraId="5ABADE5A" w14:textId="77777777" w:rsidTr="00151104">
        <w:trPr>
          <w:jc w:val="center"/>
        </w:trPr>
        <w:tc>
          <w:tcPr>
            <w:tcW w:w="1560" w:type="dxa"/>
          </w:tcPr>
          <w:p w14:paraId="1AE664A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13AFD06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5ADADDA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max_genes</w:t>
            </w:r>
          </w:p>
        </w:tc>
        <w:tc>
          <w:tcPr>
            <w:tcW w:w="1560" w:type="dxa"/>
          </w:tcPr>
          <w:p w14:paraId="1977230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3884</w:t>
            </w:r>
          </w:p>
        </w:tc>
        <w:tc>
          <w:tcPr>
            <w:tcW w:w="1560" w:type="dxa"/>
          </w:tcPr>
          <w:p w14:paraId="0A87433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022B85D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extreme high-gene outliers &gt; 8000</w:t>
            </w:r>
          </w:p>
        </w:tc>
      </w:tr>
      <w:tr w:rsidR="007368B5" w:rsidRPr="007368B5" w14:paraId="473EB9E3" w14:textId="77777777" w:rsidTr="00151104">
        <w:trPr>
          <w:jc w:val="center"/>
        </w:trPr>
        <w:tc>
          <w:tcPr>
            <w:tcW w:w="1560" w:type="dxa"/>
          </w:tcPr>
          <w:p w14:paraId="4DF0FA9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30CA3FC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59FEB09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final_qc</w:t>
            </w:r>
          </w:p>
        </w:tc>
        <w:tc>
          <w:tcPr>
            <w:tcW w:w="1560" w:type="dxa"/>
          </w:tcPr>
          <w:p w14:paraId="1AC9097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3884</w:t>
            </w:r>
          </w:p>
        </w:tc>
        <w:tc>
          <w:tcPr>
            <w:tcW w:w="1560" w:type="dxa"/>
          </w:tcPr>
          <w:p w14:paraId="2D7BE83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0587D68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Input for normalization / HVG / PCA / UMAP</w:t>
            </w:r>
          </w:p>
        </w:tc>
      </w:tr>
      <w:tr w:rsidR="007368B5" w:rsidRPr="007368B5" w14:paraId="5EE099BE" w14:textId="77777777" w:rsidTr="00151104">
        <w:trPr>
          <w:jc w:val="center"/>
        </w:trPr>
        <w:tc>
          <w:tcPr>
            <w:tcW w:w="1560" w:type="dxa"/>
          </w:tcPr>
          <w:p w14:paraId="4C6E0B1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560" w:type="dxa"/>
          </w:tcPr>
          <w:p w14:paraId="34AB373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560" w:type="dxa"/>
          </w:tcPr>
          <w:p w14:paraId="2772CB2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teaching_subsample</w:t>
            </w:r>
          </w:p>
        </w:tc>
        <w:tc>
          <w:tcPr>
            <w:tcW w:w="1560" w:type="dxa"/>
          </w:tcPr>
          <w:p w14:paraId="79E815D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3884</w:t>
            </w:r>
          </w:p>
        </w:tc>
        <w:tc>
          <w:tcPr>
            <w:tcW w:w="1560" w:type="dxa"/>
          </w:tcPr>
          <w:p w14:paraId="5799E8C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45859</w:t>
            </w:r>
          </w:p>
        </w:tc>
        <w:tc>
          <w:tcPr>
            <w:tcW w:w="1560" w:type="dxa"/>
          </w:tcPr>
          <w:p w14:paraId="46845C9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no teaching subsample (n_nuclei=3884 &lt;= module1.max_nuclei=5000)</w:t>
            </w:r>
          </w:p>
        </w:tc>
      </w:tr>
      <w:tr w:rsidR="007368B5" w:rsidRPr="007368B5" w14:paraId="44B14FFB" w14:textId="77777777" w:rsidTr="00151104">
        <w:trPr>
          <w:jc w:val="center"/>
        </w:trPr>
        <w:tc>
          <w:tcPr>
            <w:tcW w:w="1560" w:type="dxa"/>
          </w:tcPr>
          <w:p w14:paraId="6976F12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130E4AE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560" w:type="dxa"/>
          </w:tcPr>
          <w:p w14:paraId="265D0CD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loaded</w:t>
            </w:r>
          </w:p>
        </w:tc>
        <w:tc>
          <w:tcPr>
            <w:tcW w:w="1560" w:type="dxa"/>
          </w:tcPr>
          <w:p w14:paraId="5AC2440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7999</w:t>
            </w:r>
          </w:p>
        </w:tc>
        <w:tc>
          <w:tcPr>
            <w:tcW w:w="1560" w:type="dxa"/>
          </w:tcPr>
          <w:p w14:paraId="69B9D6E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98000</w:t>
            </w:r>
          </w:p>
        </w:tc>
        <w:tc>
          <w:tcPr>
            <w:tcW w:w="1560" w:type="dxa"/>
          </w:tcPr>
          <w:p w14:paraId="1975510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raw_expr.h5ad as QC starting matrix</w:t>
            </w:r>
          </w:p>
        </w:tc>
      </w:tr>
      <w:tr w:rsidR="007368B5" w:rsidRPr="007368B5" w14:paraId="514FBEA9" w14:textId="77777777" w:rsidTr="00151104">
        <w:trPr>
          <w:jc w:val="center"/>
        </w:trPr>
        <w:tc>
          <w:tcPr>
            <w:tcW w:w="1560" w:type="dxa"/>
          </w:tcPr>
          <w:p w14:paraId="615627F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41495D5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560" w:type="dxa"/>
          </w:tcPr>
          <w:p w14:paraId="368ECE8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min_cells_per_gene</w:t>
            </w:r>
          </w:p>
        </w:tc>
        <w:tc>
          <w:tcPr>
            <w:tcW w:w="1560" w:type="dxa"/>
          </w:tcPr>
          <w:p w14:paraId="1F96483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7999</w:t>
            </w:r>
          </w:p>
        </w:tc>
        <w:tc>
          <w:tcPr>
            <w:tcW w:w="1560" w:type="dxa"/>
          </w:tcPr>
          <w:p w14:paraId="635E50A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47770</w:t>
            </w:r>
          </w:p>
        </w:tc>
        <w:tc>
          <w:tcPr>
            <w:tcW w:w="1560" w:type="dxa"/>
          </w:tcPr>
          <w:p w14:paraId="3448361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Retain genes detected in &gt;= 3 nuclei</w:t>
            </w:r>
          </w:p>
        </w:tc>
      </w:tr>
      <w:tr w:rsidR="007368B5" w:rsidRPr="007368B5" w14:paraId="6F305D2F" w14:textId="77777777" w:rsidTr="00151104">
        <w:trPr>
          <w:jc w:val="center"/>
        </w:trPr>
        <w:tc>
          <w:tcPr>
            <w:tcW w:w="1560" w:type="dxa"/>
          </w:tcPr>
          <w:p w14:paraId="7B523CF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1CFA05A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560" w:type="dxa"/>
          </w:tcPr>
          <w:p w14:paraId="3EB7D8C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min_genes</w:t>
            </w:r>
          </w:p>
        </w:tc>
        <w:tc>
          <w:tcPr>
            <w:tcW w:w="1560" w:type="dxa"/>
          </w:tcPr>
          <w:p w14:paraId="2E03D62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7746</w:t>
            </w:r>
          </w:p>
        </w:tc>
        <w:tc>
          <w:tcPr>
            <w:tcW w:w="1560" w:type="dxa"/>
          </w:tcPr>
          <w:p w14:paraId="643AA4A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47770</w:t>
            </w:r>
          </w:p>
        </w:tc>
        <w:tc>
          <w:tcPr>
            <w:tcW w:w="1560" w:type="dxa"/>
          </w:tcPr>
          <w:p w14:paraId="38CB6D6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low-complexity nuclei with &lt; 200 genes</w:t>
            </w:r>
          </w:p>
        </w:tc>
      </w:tr>
      <w:tr w:rsidR="007368B5" w:rsidRPr="007368B5" w14:paraId="05057378" w14:textId="77777777" w:rsidTr="00151104">
        <w:trPr>
          <w:jc w:val="center"/>
        </w:trPr>
        <w:tc>
          <w:tcPr>
            <w:tcW w:w="1560" w:type="dxa"/>
          </w:tcPr>
          <w:p w14:paraId="2D73B55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4B004EE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560" w:type="dxa"/>
          </w:tcPr>
          <w:p w14:paraId="65DECEC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min_counts</w:t>
            </w:r>
          </w:p>
        </w:tc>
        <w:tc>
          <w:tcPr>
            <w:tcW w:w="1560" w:type="dxa"/>
          </w:tcPr>
          <w:p w14:paraId="2FAF753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6282</w:t>
            </w:r>
          </w:p>
        </w:tc>
        <w:tc>
          <w:tcPr>
            <w:tcW w:w="1560" w:type="dxa"/>
          </w:tcPr>
          <w:p w14:paraId="7931BA4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47770</w:t>
            </w:r>
          </w:p>
        </w:tc>
        <w:tc>
          <w:tcPr>
            <w:tcW w:w="1560" w:type="dxa"/>
          </w:tcPr>
          <w:p w14:paraId="03C3AE6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nuclei with &lt; 500 total counts</w:t>
            </w:r>
          </w:p>
        </w:tc>
      </w:tr>
      <w:tr w:rsidR="007368B5" w:rsidRPr="007368B5" w14:paraId="792C3A89" w14:textId="77777777" w:rsidTr="00151104">
        <w:trPr>
          <w:jc w:val="center"/>
        </w:trPr>
        <w:tc>
          <w:tcPr>
            <w:tcW w:w="1560" w:type="dxa"/>
          </w:tcPr>
          <w:p w14:paraId="3D2B66D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4515DC7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560" w:type="dxa"/>
          </w:tcPr>
          <w:p w14:paraId="72B7933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max_mito_percent</w:t>
            </w:r>
          </w:p>
        </w:tc>
        <w:tc>
          <w:tcPr>
            <w:tcW w:w="1560" w:type="dxa"/>
          </w:tcPr>
          <w:p w14:paraId="079700C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6278</w:t>
            </w:r>
          </w:p>
        </w:tc>
        <w:tc>
          <w:tcPr>
            <w:tcW w:w="1560" w:type="dxa"/>
          </w:tcPr>
          <w:p w14:paraId="4706299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47770</w:t>
            </w:r>
          </w:p>
        </w:tc>
        <w:tc>
          <w:tcPr>
            <w:tcW w:w="1560" w:type="dxa"/>
          </w:tcPr>
          <w:p w14:paraId="52754D8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nuclei with mitochondrial percent &gt; 5.0 (snRNA typically low mito; threshold is diagnostic)</w:t>
            </w:r>
          </w:p>
        </w:tc>
      </w:tr>
      <w:tr w:rsidR="007368B5" w:rsidRPr="007368B5" w14:paraId="2E69EE63" w14:textId="77777777" w:rsidTr="00151104">
        <w:trPr>
          <w:jc w:val="center"/>
        </w:trPr>
        <w:tc>
          <w:tcPr>
            <w:tcW w:w="1560" w:type="dxa"/>
          </w:tcPr>
          <w:p w14:paraId="30CE9BB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560" w:type="dxa"/>
          </w:tcPr>
          <w:p w14:paraId="0137D42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560" w:type="dxa"/>
          </w:tcPr>
          <w:p w14:paraId="55D2C9D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max_genes</w:t>
            </w:r>
          </w:p>
        </w:tc>
        <w:tc>
          <w:tcPr>
            <w:tcW w:w="1560" w:type="dxa"/>
          </w:tcPr>
          <w:p w14:paraId="1296FA2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6278</w:t>
            </w:r>
          </w:p>
        </w:tc>
        <w:tc>
          <w:tcPr>
            <w:tcW w:w="1560" w:type="dxa"/>
          </w:tcPr>
          <w:p w14:paraId="450696E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47770</w:t>
            </w:r>
          </w:p>
        </w:tc>
        <w:tc>
          <w:tcPr>
            <w:tcW w:w="1560" w:type="dxa"/>
          </w:tcPr>
          <w:p w14:paraId="28D92B9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 extreme high-gene outliers &gt; 8000</w:t>
            </w:r>
          </w:p>
        </w:tc>
      </w:tr>
    </w:tbl>
    <w:p w14:paraId="30EB1E16" w14:textId="77777777" w:rsidR="007368B5" w:rsidRPr="007368B5" w:rsidRDefault="007368B5" w:rsidP="007368B5">
      <w:pPr>
        <w:rPr>
          <w:rFonts w:ascii="Times New Roman" w:hAnsi="Times New Roman" w:cs="Times New Roman"/>
        </w:rPr>
      </w:pPr>
      <w:r w:rsidRPr="007368B5">
        <w:rPr>
          <w:rFonts w:ascii="Times New Roman" w:hAnsi="Times New Roman" w:cs="Times New Roman"/>
          <w:i/>
          <w:color w:val="444444"/>
          <w:sz w:val="17"/>
        </w:rPr>
        <w:t>Showing 14 of 32 rows. Source: module1_qc_filter_log_all_donors.tsv</w:t>
      </w:r>
    </w:p>
    <w:p w14:paraId="46EE0ED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Reading the table.</w:t>
      </w:r>
      <w:r w:rsidRPr="007368B5">
        <w:rPr>
          <w:rFonts w:ascii="Times New Roman" w:hAnsi="Times New Roman" w:cs="Times New Roman"/>
        </w:rPr>
        <w:t xml:space="preserve"> 35,890 nuclei enter QC (4,899; 10,996; 11,996; 7,999 for Donors 1, 2, 3 and 4) and 28,948 survive to </w:t>
      </w:r>
      <w:r w:rsidRPr="007368B5">
        <w:rPr>
          <w:rFonts w:ascii="Times New Roman" w:hAnsi="Times New Roman" w:cs="Times New Roman"/>
          <w:color w:val="1A3E6E"/>
          <w:sz w:val="19"/>
        </w:rPr>
        <w:t>final_qc</w:t>
      </w:r>
      <w:r w:rsidRPr="007368B5">
        <w:rPr>
          <w:rFonts w:ascii="Times New Roman" w:hAnsi="Times New Roman" w:cs="Times New Roman"/>
        </w:rPr>
        <w:t xml:space="preserve"> (3,884; 8,508; 10,278; 6,278), 77.4 to 85.7 percent per donor. Depth and complexity dominate: </w:t>
      </w:r>
      <w:r w:rsidRPr="007368B5">
        <w:rPr>
          <w:rFonts w:ascii="Times New Roman" w:hAnsi="Times New Roman" w:cs="Times New Roman"/>
          <w:color w:val="1A3E6E"/>
          <w:sz w:val="19"/>
        </w:rPr>
        <w:t>min_genes</w:t>
      </w:r>
      <w:r w:rsidRPr="007368B5">
        <w:rPr>
          <w:rFonts w:ascii="Times New Roman" w:hAnsi="Times New Roman" w:cs="Times New Roman"/>
        </w:rPr>
        <w:t xml:space="preserve"> removes 829 cohort-wide and </w:t>
      </w:r>
      <w:r w:rsidRPr="007368B5">
        <w:rPr>
          <w:rFonts w:ascii="Times New Roman" w:hAnsi="Times New Roman" w:cs="Times New Roman"/>
          <w:color w:val="1A3E6E"/>
          <w:sz w:val="19"/>
        </w:rPr>
        <w:t>min_counts</w:t>
      </w:r>
      <w:r w:rsidRPr="007368B5">
        <w:rPr>
          <w:rFonts w:ascii="Times New Roman" w:hAnsi="Times New Roman" w:cs="Times New Roman"/>
        </w:rPr>
        <w:t xml:space="preserve"> 6,105, while </w:t>
      </w:r>
      <w:r w:rsidRPr="007368B5">
        <w:rPr>
          <w:rFonts w:ascii="Times New Roman" w:hAnsi="Times New Roman" w:cs="Times New Roman"/>
          <w:color w:val="1A3E6E"/>
          <w:sz w:val="19"/>
        </w:rPr>
        <w:t>max_mito_percent</w:t>
      </w:r>
      <w:r w:rsidRPr="007368B5">
        <w:rPr>
          <w:rFonts w:ascii="Times New Roman" w:hAnsi="Times New Roman" w:cs="Times New Roman"/>
        </w:rPr>
        <w:t xml:space="preserve"> at 5.0 removes 4 (all in Donor_4) and </w:t>
      </w:r>
      <w:r w:rsidRPr="007368B5">
        <w:rPr>
          <w:rFonts w:ascii="Times New Roman" w:hAnsi="Times New Roman" w:cs="Times New Roman"/>
          <w:color w:val="1A3E6E"/>
          <w:sz w:val="19"/>
        </w:rPr>
        <w:t>max_genes</w:t>
      </w:r>
      <w:r w:rsidRPr="007368B5">
        <w:rPr>
          <w:rFonts w:ascii="Times New Roman" w:hAnsi="Times New Roman" w:cs="Times New Roman"/>
        </w:rPr>
        <w:t xml:space="preserve"> 4 more. The </w:t>
      </w:r>
      <w:r w:rsidRPr="007368B5">
        <w:rPr>
          <w:rFonts w:ascii="Times New Roman" w:hAnsi="Times New Roman" w:cs="Times New Roman"/>
          <w:color w:val="1A3E6E"/>
          <w:sz w:val="19"/>
        </w:rPr>
        <w:t>teaching_subsample</w:t>
      </w:r>
      <w:r w:rsidRPr="007368B5">
        <w:rPr>
          <w:rFonts w:ascii="Times New Roman" w:hAnsi="Times New Roman" w:cs="Times New Roman"/>
        </w:rPr>
        <w:t xml:space="preserve"> row then caps Donor_2, Donor_3 and Donor_4 at </w:t>
      </w:r>
      <w:r w:rsidRPr="007368B5">
        <w:rPr>
          <w:rFonts w:ascii="Times New Roman" w:hAnsi="Times New Roman" w:cs="Times New Roman"/>
          <w:color w:val="1A3E6E"/>
          <w:sz w:val="19"/>
        </w:rPr>
        <w:t>max_nuclei = 5000</w:t>
      </w:r>
      <w:r w:rsidRPr="007368B5">
        <w:rPr>
          <w:rFonts w:ascii="Times New Roman" w:hAnsi="Times New Roman" w:cs="Times New Roman"/>
        </w:rPr>
        <w:t xml:space="preserve"> with seed 0 and leaves Donor_1 at 3,884, already below the cap and logged as no subsample; 18,884 nuclei reach Module 2.</w:t>
      </w:r>
    </w:p>
    <w:p w14:paraId="35BBB6E1"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lastRenderedPageBreak/>
        <w:t>Azimuth join coverage</w:t>
      </w:r>
    </w:p>
    <w:tbl>
      <w:tblPr>
        <w:tblStyle w:val="TableGrid"/>
        <w:tblW w:w="0" w:type="auto"/>
        <w:jc w:val="center"/>
        <w:tblLook w:val="04A0" w:firstRow="1" w:lastRow="0" w:firstColumn="1" w:lastColumn="0" w:noHBand="0" w:noVBand="1"/>
      </w:tblPr>
      <w:tblGrid>
        <w:gridCol w:w="1836"/>
        <w:gridCol w:w="1817"/>
        <w:gridCol w:w="1829"/>
        <w:gridCol w:w="1867"/>
        <w:gridCol w:w="2001"/>
      </w:tblGrid>
      <w:tr w:rsidR="007368B5" w:rsidRPr="007368B5" w14:paraId="51574FB1" w14:textId="77777777" w:rsidTr="00151104">
        <w:trPr>
          <w:jc w:val="center"/>
        </w:trPr>
        <w:tc>
          <w:tcPr>
            <w:tcW w:w="1872" w:type="dxa"/>
            <w:shd w:val="clear" w:color="auto" w:fill="DCE6F1"/>
          </w:tcPr>
          <w:p w14:paraId="7D63A3BC"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donor_label</w:t>
            </w:r>
          </w:p>
        </w:tc>
        <w:tc>
          <w:tcPr>
            <w:tcW w:w="1872" w:type="dxa"/>
            <w:shd w:val="clear" w:color="auto" w:fill="DCE6F1"/>
          </w:tcPr>
          <w:p w14:paraId="728D66D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n_raw</w:t>
            </w:r>
          </w:p>
        </w:tc>
        <w:tc>
          <w:tcPr>
            <w:tcW w:w="1872" w:type="dxa"/>
            <w:shd w:val="clear" w:color="auto" w:fill="DCE6F1"/>
          </w:tcPr>
          <w:p w14:paraId="35B0515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n_overlap</w:t>
            </w:r>
          </w:p>
        </w:tc>
        <w:tc>
          <w:tcPr>
            <w:tcW w:w="1872" w:type="dxa"/>
            <w:shd w:val="clear" w:color="auto" w:fill="DCE6F1"/>
          </w:tcPr>
          <w:p w14:paraId="482DC987"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n_raw_without_label</w:t>
            </w:r>
          </w:p>
        </w:tc>
        <w:tc>
          <w:tcPr>
            <w:tcW w:w="1872" w:type="dxa"/>
            <w:shd w:val="clear" w:color="auto" w:fill="DCE6F1"/>
          </w:tcPr>
          <w:p w14:paraId="1F992619"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fraction_raw_with_label</w:t>
            </w:r>
          </w:p>
        </w:tc>
      </w:tr>
      <w:tr w:rsidR="007368B5" w:rsidRPr="007368B5" w14:paraId="1E77256A" w14:textId="77777777" w:rsidTr="00151104">
        <w:trPr>
          <w:jc w:val="center"/>
        </w:trPr>
        <w:tc>
          <w:tcPr>
            <w:tcW w:w="1872" w:type="dxa"/>
          </w:tcPr>
          <w:p w14:paraId="1D99258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872" w:type="dxa"/>
          </w:tcPr>
          <w:p w14:paraId="17405E1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4899</w:t>
            </w:r>
          </w:p>
        </w:tc>
        <w:tc>
          <w:tcPr>
            <w:tcW w:w="1872" w:type="dxa"/>
          </w:tcPr>
          <w:p w14:paraId="1B657F5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4251</w:t>
            </w:r>
          </w:p>
        </w:tc>
        <w:tc>
          <w:tcPr>
            <w:tcW w:w="1872" w:type="dxa"/>
          </w:tcPr>
          <w:p w14:paraId="1FD37CF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648.0</w:t>
            </w:r>
          </w:p>
        </w:tc>
        <w:tc>
          <w:tcPr>
            <w:tcW w:w="1872" w:type="dxa"/>
          </w:tcPr>
          <w:p w14:paraId="0F6E887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0.867728</w:t>
            </w:r>
          </w:p>
        </w:tc>
      </w:tr>
      <w:tr w:rsidR="007368B5" w:rsidRPr="007368B5" w14:paraId="18E8164A" w14:textId="77777777" w:rsidTr="00151104">
        <w:trPr>
          <w:jc w:val="center"/>
        </w:trPr>
        <w:tc>
          <w:tcPr>
            <w:tcW w:w="1872" w:type="dxa"/>
          </w:tcPr>
          <w:p w14:paraId="5BE30C9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Donor_2</w:t>
            </w:r>
          </w:p>
        </w:tc>
        <w:tc>
          <w:tcPr>
            <w:tcW w:w="1872" w:type="dxa"/>
          </w:tcPr>
          <w:p w14:paraId="3067598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10996</w:t>
            </w:r>
          </w:p>
        </w:tc>
        <w:tc>
          <w:tcPr>
            <w:tcW w:w="1872" w:type="dxa"/>
          </w:tcPr>
          <w:p w14:paraId="07E21A8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10989</w:t>
            </w:r>
          </w:p>
        </w:tc>
        <w:tc>
          <w:tcPr>
            <w:tcW w:w="1872" w:type="dxa"/>
          </w:tcPr>
          <w:p w14:paraId="0820BDB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7.0</w:t>
            </w:r>
          </w:p>
        </w:tc>
        <w:tc>
          <w:tcPr>
            <w:tcW w:w="1872" w:type="dxa"/>
          </w:tcPr>
          <w:p w14:paraId="6B1B7F1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0.999363</w:t>
            </w:r>
          </w:p>
        </w:tc>
      </w:tr>
      <w:tr w:rsidR="007368B5" w:rsidRPr="007368B5" w14:paraId="30E79F7A" w14:textId="77777777" w:rsidTr="00151104">
        <w:trPr>
          <w:jc w:val="center"/>
        </w:trPr>
        <w:tc>
          <w:tcPr>
            <w:tcW w:w="1872" w:type="dxa"/>
          </w:tcPr>
          <w:p w14:paraId="1AABC28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Donor_3</w:t>
            </w:r>
          </w:p>
        </w:tc>
        <w:tc>
          <w:tcPr>
            <w:tcW w:w="1872" w:type="dxa"/>
          </w:tcPr>
          <w:p w14:paraId="4A520D2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11996</w:t>
            </w:r>
          </w:p>
        </w:tc>
        <w:tc>
          <w:tcPr>
            <w:tcW w:w="1872" w:type="dxa"/>
          </w:tcPr>
          <w:p w14:paraId="48D085A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11980</w:t>
            </w:r>
          </w:p>
        </w:tc>
        <w:tc>
          <w:tcPr>
            <w:tcW w:w="1872" w:type="dxa"/>
          </w:tcPr>
          <w:p w14:paraId="02A3959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16.0</w:t>
            </w:r>
          </w:p>
        </w:tc>
        <w:tc>
          <w:tcPr>
            <w:tcW w:w="1872" w:type="dxa"/>
          </w:tcPr>
          <w:p w14:paraId="58AE470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0.998666</w:t>
            </w:r>
          </w:p>
        </w:tc>
      </w:tr>
      <w:tr w:rsidR="007368B5" w:rsidRPr="007368B5" w14:paraId="5CBFD22D" w14:textId="77777777" w:rsidTr="00151104">
        <w:trPr>
          <w:jc w:val="center"/>
        </w:trPr>
        <w:tc>
          <w:tcPr>
            <w:tcW w:w="1872" w:type="dxa"/>
          </w:tcPr>
          <w:p w14:paraId="40DDE42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872" w:type="dxa"/>
          </w:tcPr>
          <w:p w14:paraId="1B87C94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7999</w:t>
            </w:r>
          </w:p>
        </w:tc>
        <w:tc>
          <w:tcPr>
            <w:tcW w:w="1872" w:type="dxa"/>
          </w:tcPr>
          <w:p w14:paraId="43405E7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7657</w:t>
            </w:r>
          </w:p>
        </w:tc>
        <w:tc>
          <w:tcPr>
            <w:tcW w:w="1872" w:type="dxa"/>
          </w:tcPr>
          <w:p w14:paraId="1775AAC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342.0</w:t>
            </w:r>
          </w:p>
        </w:tc>
        <w:tc>
          <w:tcPr>
            <w:tcW w:w="1872" w:type="dxa"/>
          </w:tcPr>
          <w:p w14:paraId="1824F46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0.957245</w:t>
            </w:r>
          </w:p>
        </w:tc>
      </w:tr>
    </w:tbl>
    <w:p w14:paraId="45EEF73E" w14:textId="77777777" w:rsidR="007368B5" w:rsidRPr="007368B5" w:rsidRDefault="007368B5" w:rsidP="007368B5">
      <w:pPr>
        <w:rPr>
          <w:rFonts w:ascii="Times New Roman" w:hAnsi="Times New Roman" w:cs="Times New Roman"/>
        </w:rPr>
      </w:pPr>
      <w:r w:rsidRPr="007368B5">
        <w:rPr>
          <w:rFonts w:ascii="Times New Roman" w:hAnsi="Times New Roman" w:cs="Times New Roman"/>
          <w:i/>
          <w:color w:val="444444"/>
          <w:sz w:val="17"/>
        </w:rPr>
        <w:t>5 further columns in the source file. Source: module1_azimuth_join_coverage.tsv</w:t>
      </w:r>
    </w:p>
    <w:p w14:paraId="7B8FD8C4"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34,877 of the 35,890 raw barcodes carry a secondary-analysis label, 97.2 percent, and all four joins ran. Donor_2 and Donor_3 are effectively complete (0.9994 and 0.9987; 7 and 16 barcodes missed), Donor_4 sits at 0.9572 (342 unlabeled) and Donor_1 at 0.8677 (648 of 4,899 unlabeled). Module 2 </w:t>
      </w:r>
      <w:r w:rsidRPr="007368B5">
        <w:rPr>
          <w:rFonts w:ascii="Times New Roman" w:hAnsi="Times New Roman" w:cs="Times New Roman"/>
          <w:color w:val="1A3E6E"/>
          <w:sz w:val="19"/>
        </w:rPr>
        <w:t>cell_class</w:t>
      </w:r>
      <w:r w:rsidRPr="007368B5">
        <w:rPr>
          <w:rFonts w:ascii="Times New Roman" w:hAnsi="Times New Roman" w:cs="Times New Roman"/>
        </w:rPr>
        <w:t xml:space="preserve"> mapping inherits this join.</w:t>
      </w:r>
    </w:p>
    <w:p w14:paraId="587BCFD6"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Airway-lineage composition gate</w:t>
      </w:r>
    </w:p>
    <w:tbl>
      <w:tblPr>
        <w:tblStyle w:val="TableGrid"/>
        <w:tblW w:w="0" w:type="auto"/>
        <w:jc w:val="center"/>
        <w:tblLook w:val="04A0" w:firstRow="1" w:lastRow="0" w:firstColumn="1" w:lastColumn="0" w:noHBand="0" w:noVBand="1"/>
      </w:tblPr>
      <w:tblGrid>
        <w:gridCol w:w="1869"/>
        <w:gridCol w:w="1871"/>
        <w:gridCol w:w="1872"/>
        <w:gridCol w:w="1869"/>
        <w:gridCol w:w="1869"/>
      </w:tblGrid>
      <w:tr w:rsidR="007368B5" w:rsidRPr="007368B5" w14:paraId="17110BA4" w14:textId="77777777" w:rsidTr="00151104">
        <w:trPr>
          <w:jc w:val="center"/>
        </w:trPr>
        <w:tc>
          <w:tcPr>
            <w:tcW w:w="1872" w:type="dxa"/>
            <w:shd w:val="clear" w:color="auto" w:fill="DCE6F1"/>
          </w:tcPr>
          <w:p w14:paraId="20E12F84"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donor_label</w:t>
            </w:r>
          </w:p>
        </w:tc>
        <w:tc>
          <w:tcPr>
            <w:tcW w:w="1872" w:type="dxa"/>
            <w:shd w:val="clear" w:color="auto" w:fill="DCE6F1"/>
          </w:tcPr>
          <w:p w14:paraId="79E8AE9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block_id</w:t>
            </w:r>
          </w:p>
        </w:tc>
        <w:tc>
          <w:tcPr>
            <w:tcW w:w="1872" w:type="dxa"/>
            <w:shd w:val="clear" w:color="auto" w:fill="DCE6F1"/>
          </w:tcPr>
          <w:p w14:paraId="6E7E0C26"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airway_lineage_nuclei</w:t>
            </w:r>
          </w:p>
        </w:tc>
        <w:tc>
          <w:tcPr>
            <w:tcW w:w="1872" w:type="dxa"/>
            <w:shd w:val="clear" w:color="auto" w:fill="DCE6F1"/>
          </w:tcPr>
          <w:p w14:paraId="74A50A6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labels_present</w:t>
            </w:r>
          </w:p>
        </w:tc>
        <w:tc>
          <w:tcPr>
            <w:tcW w:w="1872" w:type="dxa"/>
            <w:shd w:val="clear" w:color="auto" w:fill="DCE6F1"/>
          </w:tcPr>
          <w:p w14:paraId="7A8D3AA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note</w:t>
            </w:r>
          </w:p>
        </w:tc>
      </w:tr>
      <w:tr w:rsidR="007368B5" w:rsidRPr="007368B5" w14:paraId="277BDD5F" w14:textId="77777777" w:rsidTr="00151104">
        <w:trPr>
          <w:jc w:val="center"/>
        </w:trPr>
        <w:tc>
          <w:tcPr>
            <w:tcW w:w="1872" w:type="dxa"/>
          </w:tcPr>
          <w:p w14:paraId="03F851B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Donor_1</w:t>
            </w:r>
          </w:p>
        </w:tc>
        <w:tc>
          <w:tcPr>
            <w:tcW w:w="1872" w:type="dxa"/>
          </w:tcPr>
          <w:p w14:paraId="6864C49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HBM347.VDHS.379</w:t>
            </w:r>
          </w:p>
        </w:tc>
        <w:tc>
          <w:tcPr>
            <w:tcW w:w="1872" w:type="dxa"/>
          </w:tcPr>
          <w:p w14:paraId="7CD66AC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183</w:t>
            </w:r>
          </w:p>
        </w:tc>
        <w:tc>
          <w:tcPr>
            <w:tcW w:w="1872" w:type="dxa"/>
          </w:tcPr>
          <w:p w14:paraId="48CC698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Basal resting; Club (non-nasal); Ionocyte; Multiciliated (non-nasal); Suprabasal; Transitional Club-AT2</w:t>
            </w:r>
          </w:p>
        </w:tc>
        <w:tc>
          <w:tcPr>
            <w:tcW w:w="1872" w:type="dxa"/>
          </w:tcPr>
          <w:p w14:paraId="64F85FB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composition summary only; not a DE group certificate</w:t>
            </w:r>
          </w:p>
        </w:tc>
      </w:tr>
      <w:tr w:rsidR="007368B5" w:rsidRPr="007368B5" w14:paraId="5BEFAADE" w14:textId="77777777" w:rsidTr="00151104">
        <w:trPr>
          <w:jc w:val="center"/>
        </w:trPr>
        <w:tc>
          <w:tcPr>
            <w:tcW w:w="1872" w:type="dxa"/>
          </w:tcPr>
          <w:p w14:paraId="55E857B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Donor_2</w:t>
            </w:r>
          </w:p>
        </w:tc>
        <w:tc>
          <w:tcPr>
            <w:tcW w:w="1872" w:type="dxa"/>
          </w:tcPr>
          <w:p w14:paraId="4D799E8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HBM473.NKMR.872</w:t>
            </w:r>
          </w:p>
        </w:tc>
        <w:tc>
          <w:tcPr>
            <w:tcW w:w="1872" w:type="dxa"/>
          </w:tcPr>
          <w:p w14:paraId="4DC4ABB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429</w:t>
            </w:r>
          </w:p>
        </w:tc>
        <w:tc>
          <w:tcPr>
            <w:tcW w:w="1872" w:type="dxa"/>
          </w:tcPr>
          <w:p w14:paraId="0CFB73A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Basal resting; Ionocyte; Multiciliated (non-nasal); Suprabasal; Transitional Club-AT2</w:t>
            </w:r>
          </w:p>
        </w:tc>
        <w:tc>
          <w:tcPr>
            <w:tcW w:w="1872" w:type="dxa"/>
          </w:tcPr>
          <w:p w14:paraId="25918D8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composition summary only; not a DE group certificate</w:t>
            </w:r>
          </w:p>
        </w:tc>
      </w:tr>
      <w:tr w:rsidR="007368B5" w:rsidRPr="007368B5" w14:paraId="4B7AC312" w14:textId="77777777" w:rsidTr="00151104">
        <w:trPr>
          <w:jc w:val="center"/>
        </w:trPr>
        <w:tc>
          <w:tcPr>
            <w:tcW w:w="1872" w:type="dxa"/>
          </w:tcPr>
          <w:p w14:paraId="147AE84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Donor_3</w:t>
            </w:r>
          </w:p>
        </w:tc>
        <w:tc>
          <w:tcPr>
            <w:tcW w:w="1872" w:type="dxa"/>
          </w:tcPr>
          <w:p w14:paraId="4A2DDFA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HBM484.RGWP.797</w:t>
            </w:r>
          </w:p>
        </w:tc>
        <w:tc>
          <w:tcPr>
            <w:tcW w:w="1872" w:type="dxa"/>
          </w:tcPr>
          <w:p w14:paraId="5CE91CA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622</w:t>
            </w:r>
          </w:p>
        </w:tc>
        <w:tc>
          <w:tcPr>
            <w:tcW w:w="1872" w:type="dxa"/>
          </w:tcPr>
          <w:p w14:paraId="75FCDB2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Basal resting; Club (non-nasal); Ionocyte; Multiciliated (non-nasal); Transitional Club-AT2</w:t>
            </w:r>
          </w:p>
        </w:tc>
        <w:tc>
          <w:tcPr>
            <w:tcW w:w="1872" w:type="dxa"/>
          </w:tcPr>
          <w:p w14:paraId="006F5E2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composition summary only; not a DE group certificate</w:t>
            </w:r>
          </w:p>
        </w:tc>
      </w:tr>
      <w:tr w:rsidR="007368B5" w:rsidRPr="007368B5" w14:paraId="76013D19" w14:textId="77777777" w:rsidTr="00151104">
        <w:trPr>
          <w:jc w:val="center"/>
        </w:trPr>
        <w:tc>
          <w:tcPr>
            <w:tcW w:w="1872" w:type="dxa"/>
          </w:tcPr>
          <w:p w14:paraId="3F9A746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1872" w:type="dxa"/>
          </w:tcPr>
          <w:p w14:paraId="236FE00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HBM379.QCJT.435</w:t>
            </w:r>
          </w:p>
        </w:tc>
        <w:tc>
          <w:tcPr>
            <w:tcW w:w="1872" w:type="dxa"/>
          </w:tcPr>
          <w:p w14:paraId="15F1E26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412</w:t>
            </w:r>
          </w:p>
        </w:tc>
        <w:tc>
          <w:tcPr>
            <w:tcW w:w="1872" w:type="dxa"/>
          </w:tcPr>
          <w:p w14:paraId="7B885BC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Basal resting; Club (non-nasal); Deuterosomal; Goblet (bronchial); Ionocyte; Multiciliated (non-nasal); Transitional Club-AT2</w:t>
            </w:r>
          </w:p>
        </w:tc>
        <w:tc>
          <w:tcPr>
            <w:tcW w:w="1872" w:type="dxa"/>
          </w:tcPr>
          <w:p w14:paraId="39365FA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composition summary only; not a DE group certificate</w:t>
            </w:r>
          </w:p>
        </w:tc>
      </w:tr>
    </w:tbl>
    <w:p w14:paraId="2891CC56" w14:textId="77777777" w:rsidR="007368B5" w:rsidRPr="007368B5" w:rsidRDefault="007368B5" w:rsidP="007368B5">
      <w:pPr>
        <w:rPr>
          <w:rFonts w:ascii="Times New Roman" w:hAnsi="Times New Roman" w:cs="Times New Roman"/>
        </w:rPr>
      </w:pPr>
      <w:r w:rsidRPr="007368B5">
        <w:rPr>
          <w:rFonts w:ascii="Times New Roman" w:hAnsi="Times New Roman" w:cs="Times New Roman"/>
          <w:i/>
          <w:color w:val="444444"/>
          <w:sz w:val="17"/>
        </w:rPr>
        <w:t>Source: module1_epithelial_airway_lineage_composition.tsv</w:t>
      </w:r>
    </w:p>
    <w:tbl>
      <w:tblPr>
        <w:tblStyle w:val="TableGrid"/>
        <w:tblW w:w="0" w:type="auto"/>
        <w:jc w:val="center"/>
        <w:tblLook w:val="04A0" w:firstRow="1" w:lastRow="0" w:firstColumn="1" w:lastColumn="0" w:noHBand="0" w:noVBand="1"/>
      </w:tblPr>
      <w:tblGrid>
        <w:gridCol w:w="1137"/>
        <w:gridCol w:w="1533"/>
        <w:gridCol w:w="1079"/>
        <w:gridCol w:w="1069"/>
        <w:gridCol w:w="1159"/>
        <w:gridCol w:w="1128"/>
        <w:gridCol w:w="1098"/>
        <w:gridCol w:w="1147"/>
      </w:tblGrid>
      <w:tr w:rsidR="007368B5" w:rsidRPr="007368B5" w14:paraId="1D09AA0D" w14:textId="77777777" w:rsidTr="00151104">
        <w:trPr>
          <w:jc w:val="center"/>
        </w:trPr>
        <w:tc>
          <w:tcPr>
            <w:tcW w:w="1170" w:type="dxa"/>
            <w:shd w:val="clear" w:color="auto" w:fill="DCE6F1"/>
          </w:tcPr>
          <w:p w14:paraId="7C58DA6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donor_label</w:t>
            </w:r>
          </w:p>
        </w:tc>
        <w:tc>
          <w:tcPr>
            <w:tcW w:w="1170" w:type="dxa"/>
            <w:shd w:val="clear" w:color="auto" w:fill="DCE6F1"/>
          </w:tcPr>
          <w:p w14:paraId="77C089F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block_id</w:t>
            </w:r>
          </w:p>
        </w:tc>
        <w:tc>
          <w:tcPr>
            <w:tcW w:w="1170" w:type="dxa"/>
            <w:shd w:val="clear" w:color="auto" w:fill="DCE6F1"/>
          </w:tcPr>
          <w:p w14:paraId="3079F165"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Basal resting</w:t>
            </w:r>
          </w:p>
        </w:tc>
        <w:tc>
          <w:tcPr>
            <w:tcW w:w="1170" w:type="dxa"/>
            <w:shd w:val="clear" w:color="auto" w:fill="DCE6F1"/>
          </w:tcPr>
          <w:p w14:paraId="512E84BC"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Club (non-nasal)</w:t>
            </w:r>
          </w:p>
        </w:tc>
        <w:tc>
          <w:tcPr>
            <w:tcW w:w="1170" w:type="dxa"/>
            <w:shd w:val="clear" w:color="auto" w:fill="DCE6F1"/>
          </w:tcPr>
          <w:p w14:paraId="00A7005C"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Deuterosomal</w:t>
            </w:r>
          </w:p>
        </w:tc>
        <w:tc>
          <w:tcPr>
            <w:tcW w:w="1170" w:type="dxa"/>
            <w:shd w:val="clear" w:color="auto" w:fill="DCE6F1"/>
          </w:tcPr>
          <w:p w14:paraId="21C577A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Goblet (bronchial)</w:t>
            </w:r>
          </w:p>
        </w:tc>
        <w:tc>
          <w:tcPr>
            <w:tcW w:w="1170" w:type="dxa"/>
            <w:shd w:val="clear" w:color="auto" w:fill="DCE6F1"/>
          </w:tcPr>
          <w:p w14:paraId="2F8C1E48"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Ionocyte</w:t>
            </w:r>
          </w:p>
        </w:tc>
        <w:tc>
          <w:tcPr>
            <w:tcW w:w="1170" w:type="dxa"/>
            <w:shd w:val="clear" w:color="auto" w:fill="DCE6F1"/>
          </w:tcPr>
          <w:p w14:paraId="2D72829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5"/>
              </w:rPr>
              <w:t>Multiciliated (non-nasal)</w:t>
            </w:r>
          </w:p>
        </w:tc>
      </w:tr>
      <w:tr w:rsidR="007368B5" w:rsidRPr="007368B5" w14:paraId="00F453C7" w14:textId="77777777" w:rsidTr="00151104">
        <w:trPr>
          <w:jc w:val="center"/>
        </w:trPr>
        <w:tc>
          <w:tcPr>
            <w:tcW w:w="1170" w:type="dxa"/>
          </w:tcPr>
          <w:p w14:paraId="16CD6AD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Donor_1</w:t>
            </w:r>
          </w:p>
        </w:tc>
        <w:tc>
          <w:tcPr>
            <w:tcW w:w="1170" w:type="dxa"/>
          </w:tcPr>
          <w:p w14:paraId="6189499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HBM347.VDHS.379</w:t>
            </w:r>
          </w:p>
        </w:tc>
        <w:tc>
          <w:tcPr>
            <w:tcW w:w="1170" w:type="dxa"/>
          </w:tcPr>
          <w:p w14:paraId="6AD9B30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20</w:t>
            </w:r>
          </w:p>
        </w:tc>
        <w:tc>
          <w:tcPr>
            <w:tcW w:w="1170" w:type="dxa"/>
          </w:tcPr>
          <w:p w14:paraId="3CB63BD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15</w:t>
            </w:r>
          </w:p>
        </w:tc>
        <w:tc>
          <w:tcPr>
            <w:tcW w:w="1170" w:type="dxa"/>
          </w:tcPr>
          <w:p w14:paraId="362232D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59065C5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641172C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3</w:t>
            </w:r>
          </w:p>
        </w:tc>
        <w:tc>
          <w:tcPr>
            <w:tcW w:w="1170" w:type="dxa"/>
          </w:tcPr>
          <w:p w14:paraId="0C6E5D0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55</w:t>
            </w:r>
          </w:p>
        </w:tc>
      </w:tr>
      <w:tr w:rsidR="007368B5" w:rsidRPr="007368B5" w14:paraId="1B186A36" w14:textId="77777777" w:rsidTr="00151104">
        <w:trPr>
          <w:jc w:val="center"/>
        </w:trPr>
        <w:tc>
          <w:tcPr>
            <w:tcW w:w="1170" w:type="dxa"/>
          </w:tcPr>
          <w:p w14:paraId="383EB88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Donor_2</w:t>
            </w:r>
          </w:p>
        </w:tc>
        <w:tc>
          <w:tcPr>
            <w:tcW w:w="1170" w:type="dxa"/>
          </w:tcPr>
          <w:p w14:paraId="593A1EE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HBM473.NKMR.872</w:t>
            </w:r>
          </w:p>
        </w:tc>
        <w:tc>
          <w:tcPr>
            <w:tcW w:w="1170" w:type="dxa"/>
          </w:tcPr>
          <w:p w14:paraId="25C1A0D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3</w:t>
            </w:r>
          </w:p>
        </w:tc>
        <w:tc>
          <w:tcPr>
            <w:tcW w:w="1170" w:type="dxa"/>
          </w:tcPr>
          <w:p w14:paraId="10447F8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2EDBFCB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487B8AB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4685873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167</w:t>
            </w:r>
          </w:p>
        </w:tc>
        <w:tc>
          <w:tcPr>
            <w:tcW w:w="1170" w:type="dxa"/>
          </w:tcPr>
          <w:p w14:paraId="0BA02E2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171</w:t>
            </w:r>
          </w:p>
        </w:tc>
      </w:tr>
      <w:tr w:rsidR="007368B5" w:rsidRPr="007368B5" w14:paraId="6A95BBEA" w14:textId="77777777" w:rsidTr="00151104">
        <w:trPr>
          <w:jc w:val="center"/>
        </w:trPr>
        <w:tc>
          <w:tcPr>
            <w:tcW w:w="1170" w:type="dxa"/>
          </w:tcPr>
          <w:p w14:paraId="12AF68B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Donor_3</w:t>
            </w:r>
          </w:p>
        </w:tc>
        <w:tc>
          <w:tcPr>
            <w:tcW w:w="1170" w:type="dxa"/>
          </w:tcPr>
          <w:p w14:paraId="6E5213A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HBM484.RGWP.797</w:t>
            </w:r>
          </w:p>
        </w:tc>
        <w:tc>
          <w:tcPr>
            <w:tcW w:w="1170" w:type="dxa"/>
          </w:tcPr>
          <w:p w14:paraId="5DC96E5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42</w:t>
            </w:r>
          </w:p>
        </w:tc>
        <w:tc>
          <w:tcPr>
            <w:tcW w:w="1170" w:type="dxa"/>
          </w:tcPr>
          <w:p w14:paraId="139C17E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4</w:t>
            </w:r>
          </w:p>
        </w:tc>
        <w:tc>
          <w:tcPr>
            <w:tcW w:w="1170" w:type="dxa"/>
          </w:tcPr>
          <w:p w14:paraId="664D567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3FFA64B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0</w:t>
            </w:r>
          </w:p>
        </w:tc>
        <w:tc>
          <w:tcPr>
            <w:tcW w:w="1170" w:type="dxa"/>
          </w:tcPr>
          <w:p w14:paraId="03F6089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74</w:t>
            </w:r>
          </w:p>
        </w:tc>
        <w:tc>
          <w:tcPr>
            <w:tcW w:w="1170" w:type="dxa"/>
          </w:tcPr>
          <w:p w14:paraId="10B4290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226</w:t>
            </w:r>
          </w:p>
        </w:tc>
      </w:tr>
      <w:tr w:rsidR="007368B5" w:rsidRPr="007368B5" w14:paraId="5F8FE4FC" w14:textId="77777777" w:rsidTr="00151104">
        <w:trPr>
          <w:jc w:val="center"/>
        </w:trPr>
        <w:tc>
          <w:tcPr>
            <w:tcW w:w="1170" w:type="dxa"/>
          </w:tcPr>
          <w:p w14:paraId="0D56F4D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Donor_4</w:t>
            </w:r>
          </w:p>
        </w:tc>
        <w:tc>
          <w:tcPr>
            <w:tcW w:w="1170" w:type="dxa"/>
          </w:tcPr>
          <w:p w14:paraId="5BFAFCF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HBM379.QCJT.435</w:t>
            </w:r>
          </w:p>
        </w:tc>
        <w:tc>
          <w:tcPr>
            <w:tcW w:w="1170" w:type="dxa"/>
          </w:tcPr>
          <w:p w14:paraId="46C6B5E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w:t>
            </w:r>
          </w:p>
        </w:tc>
        <w:tc>
          <w:tcPr>
            <w:tcW w:w="1170" w:type="dxa"/>
          </w:tcPr>
          <w:p w14:paraId="503CCDD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25</w:t>
            </w:r>
          </w:p>
        </w:tc>
        <w:tc>
          <w:tcPr>
            <w:tcW w:w="1170" w:type="dxa"/>
          </w:tcPr>
          <w:p w14:paraId="47B154B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w:t>
            </w:r>
          </w:p>
        </w:tc>
        <w:tc>
          <w:tcPr>
            <w:tcW w:w="1170" w:type="dxa"/>
          </w:tcPr>
          <w:p w14:paraId="790B153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w:t>
            </w:r>
          </w:p>
        </w:tc>
        <w:tc>
          <w:tcPr>
            <w:tcW w:w="1170" w:type="dxa"/>
          </w:tcPr>
          <w:p w14:paraId="3939D60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33</w:t>
            </w:r>
          </w:p>
        </w:tc>
        <w:tc>
          <w:tcPr>
            <w:tcW w:w="1170" w:type="dxa"/>
          </w:tcPr>
          <w:p w14:paraId="7AD52F9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5"/>
              </w:rPr>
              <w:t>295</w:t>
            </w:r>
          </w:p>
        </w:tc>
      </w:tr>
    </w:tbl>
    <w:p w14:paraId="2E5080AC" w14:textId="77777777" w:rsidR="007368B5" w:rsidRPr="007368B5" w:rsidRDefault="007368B5" w:rsidP="007368B5">
      <w:pPr>
        <w:rPr>
          <w:rFonts w:ascii="Times New Roman" w:hAnsi="Times New Roman" w:cs="Times New Roman"/>
        </w:rPr>
      </w:pPr>
      <w:r w:rsidRPr="007368B5">
        <w:rPr>
          <w:rFonts w:ascii="Times New Roman" w:hAnsi="Times New Roman" w:cs="Times New Roman"/>
          <w:i/>
          <w:color w:val="444444"/>
          <w:sz w:val="17"/>
        </w:rPr>
        <w:t>2 further columns in the source file. Source: module1_epithelial_airway_lineage_by_donor.tsv</w:t>
      </w:r>
    </w:p>
    <w:p w14:paraId="61651A4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Reading the gate.</w:t>
      </w:r>
      <w:r w:rsidRPr="007368B5">
        <w:rPr>
          <w:rFonts w:ascii="Times New Roman" w:hAnsi="Times New Roman" w:cs="Times New Roman"/>
        </w:rPr>
        <w:t xml:space="preserve"> The gate passes: all four donors contribute airway-lineage nuclei, 1,646 across the cohort (183, 429, 622 and 412 for Donors 1, 2, 3 and 4) over eight labels. Multiciliated (non-nasal) leads at 747, then Transitional Club-AT2 at 505 and Ionocyte at 277, each in every donor. The tail is thin: Basal resting 67, Club (non-nasal) 44, Suprabasal 2, Deuterosomal and Goblet (bronchial) 2 each and only in Donor_4, and no </w:t>
      </w:r>
      <w:r w:rsidRPr="007368B5">
        <w:rPr>
          <w:rFonts w:ascii="Times New Roman" w:hAnsi="Times New Roman" w:cs="Times New Roman"/>
        </w:rPr>
        <w:lastRenderedPageBreak/>
        <w:t xml:space="preserve">submucosal gland label. Module 2 therefore gets airway-aware </w:t>
      </w:r>
      <w:r w:rsidRPr="007368B5">
        <w:rPr>
          <w:rFonts w:ascii="Times New Roman" w:hAnsi="Times New Roman" w:cs="Times New Roman"/>
          <w:b/>
        </w:rPr>
        <w:t>epithelial</w:t>
      </w:r>
      <w:r w:rsidRPr="007368B5">
        <w:rPr>
          <w:rFonts w:ascii="Times New Roman" w:hAnsi="Times New Roman" w:cs="Times New Roman"/>
        </w:rPr>
        <w:t xml:space="preserve"> membership, thin outside the top three labels, with no fifth coarse airway class.</w:t>
      </w:r>
    </w:p>
    <w:p w14:paraId="7EAD0C4C"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QC figures (Donor_1 teaching scaffold)</w:t>
      </w:r>
    </w:p>
    <w:p w14:paraId="4FBDB3E6"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Donor_1 is the notebook's single-block dry-run; the same plots exist for every teaching block under </w:t>
      </w:r>
      <w:r w:rsidRPr="007368B5">
        <w:rPr>
          <w:rFonts w:ascii="Times New Roman" w:hAnsi="Times New Roman" w:cs="Times New Roman"/>
          <w:color w:val="1A3E6E"/>
          <w:sz w:val="19"/>
        </w:rPr>
        <w:t>outputs/figures/</w:t>
      </w:r>
      <w:r w:rsidRPr="007368B5">
        <w:rPr>
          <w:rFonts w:ascii="Times New Roman" w:hAnsi="Times New Roman" w:cs="Times New Roman"/>
        </w:rPr>
        <w:t>.</w:t>
      </w:r>
    </w:p>
    <w:p w14:paraId="3BAB54CC" w14:textId="77777777" w:rsidR="007368B5" w:rsidRPr="007368B5" w:rsidRDefault="007368B5" w:rsidP="007368B5">
      <w:pPr>
        <w:jc w:val="center"/>
        <w:rPr>
          <w:rFonts w:ascii="Times New Roman" w:hAnsi="Times New Roman" w:cs="Times New Roman"/>
        </w:rPr>
      </w:pPr>
      <w:r w:rsidRPr="007368B5">
        <w:rPr>
          <w:rFonts w:ascii="Times New Roman" w:hAnsi="Times New Roman" w:cs="Times New Roman"/>
          <w:noProof/>
        </w:rPr>
        <w:drawing>
          <wp:inline distT="0" distB="0" distL="0" distR="0" wp14:anchorId="58A2854A" wp14:editId="79B13C84">
            <wp:extent cx="5943600" cy="2127491"/>
            <wp:effectExtent l="0" t="0" r="0" b="0"/>
            <wp:docPr id="1" name="Picture 1" descr="A diagram of a number of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number of blue and white lines&#10;&#10;AI-generated content may be incorrect."/>
                    <pic:cNvPicPr/>
                  </pic:nvPicPr>
                  <pic:blipFill>
                    <a:blip r:embed="rId5"/>
                    <a:stretch>
                      <a:fillRect/>
                    </a:stretch>
                  </pic:blipFill>
                  <pic:spPr>
                    <a:xfrm>
                      <a:off x="0" y="0"/>
                      <a:ext cx="5943600" cy="2127491"/>
                    </a:xfrm>
                    <a:prstGeom prst="rect">
                      <a:avLst/>
                    </a:prstGeom>
                  </pic:spPr>
                </pic:pic>
              </a:graphicData>
            </a:graphic>
          </wp:inline>
        </w:drawing>
      </w:r>
    </w:p>
    <w:p w14:paraId="36E0F292" w14:textId="77777777" w:rsidR="007368B5" w:rsidRPr="007368B5" w:rsidRDefault="007368B5" w:rsidP="007368B5">
      <w:pPr>
        <w:jc w:val="center"/>
        <w:rPr>
          <w:rFonts w:ascii="Times New Roman" w:hAnsi="Times New Roman" w:cs="Times New Roman"/>
        </w:rPr>
      </w:pPr>
      <w:r w:rsidRPr="007368B5">
        <w:rPr>
          <w:rFonts w:ascii="Times New Roman" w:hAnsi="Times New Roman" w:cs="Times New Roman"/>
          <w:i/>
          <w:color w:val="444444"/>
          <w:sz w:val="18"/>
        </w:rPr>
        <w:t>Violin plots of QC metrics for Donor_1 teaching block HBM347.VDHS.379</w:t>
      </w:r>
    </w:p>
    <w:p w14:paraId="6EC6AA6C" w14:textId="77777777" w:rsidR="007368B5" w:rsidRPr="007368B5" w:rsidRDefault="007368B5" w:rsidP="007368B5">
      <w:pPr>
        <w:jc w:val="center"/>
        <w:rPr>
          <w:rFonts w:ascii="Times New Roman" w:hAnsi="Times New Roman" w:cs="Times New Roman"/>
        </w:rPr>
      </w:pPr>
      <w:r w:rsidRPr="007368B5">
        <w:rPr>
          <w:rFonts w:ascii="Times New Roman" w:hAnsi="Times New Roman" w:cs="Times New Roman"/>
          <w:noProof/>
        </w:rPr>
        <w:drawing>
          <wp:inline distT="0" distB="0" distL="0" distR="0" wp14:anchorId="4F54873B" wp14:editId="1F6B7D61">
            <wp:extent cx="5943600" cy="3748761"/>
            <wp:effectExtent l="0" t="0" r="0" b="0"/>
            <wp:docPr id="2" name="Picture 2" descr="A graph of a falling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falling line&#10;&#10;AI-generated content may be incorrect."/>
                    <pic:cNvPicPr/>
                  </pic:nvPicPr>
                  <pic:blipFill>
                    <a:blip r:embed="rId6"/>
                    <a:stretch>
                      <a:fillRect/>
                    </a:stretch>
                  </pic:blipFill>
                  <pic:spPr>
                    <a:xfrm>
                      <a:off x="0" y="0"/>
                      <a:ext cx="5943600" cy="3748761"/>
                    </a:xfrm>
                    <a:prstGeom prst="rect">
                      <a:avLst/>
                    </a:prstGeom>
                  </pic:spPr>
                </pic:pic>
              </a:graphicData>
            </a:graphic>
          </wp:inline>
        </w:drawing>
      </w:r>
    </w:p>
    <w:p w14:paraId="5684D3D7" w14:textId="77777777" w:rsidR="007368B5" w:rsidRPr="007368B5" w:rsidRDefault="007368B5" w:rsidP="007368B5">
      <w:pPr>
        <w:jc w:val="center"/>
        <w:rPr>
          <w:rFonts w:ascii="Times New Roman" w:hAnsi="Times New Roman" w:cs="Times New Roman"/>
        </w:rPr>
      </w:pPr>
      <w:r w:rsidRPr="007368B5">
        <w:rPr>
          <w:rFonts w:ascii="Times New Roman" w:hAnsi="Times New Roman" w:cs="Times New Roman"/>
          <w:i/>
          <w:color w:val="444444"/>
          <w:sz w:val="18"/>
        </w:rPr>
        <w:t>Total counts versus genes detected for Donor_1 after QC metrics calculation</w:t>
      </w:r>
    </w:p>
    <w:p w14:paraId="40BFBA71" w14:textId="77777777" w:rsidR="007368B5" w:rsidRPr="007368B5" w:rsidRDefault="007368B5" w:rsidP="007368B5">
      <w:pPr>
        <w:jc w:val="center"/>
        <w:rPr>
          <w:rFonts w:ascii="Times New Roman" w:hAnsi="Times New Roman" w:cs="Times New Roman"/>
        </w:rPr>
      </w:pPr>
      <w:r w:rsidRPr="007368B5">
        <w:rPr>
          <w:rFonts w:ascii="Times New Roman" w:hAnsi="Times New Roman" w:cs="Times New Roman"/>
          <w:noProof/>
        </w:rPr>
        <w:lastRenderedPageBreak/>
        <w:drawing>
          <wp:inline distT="0" distB="0" distL="0" distR="0" wp14:anchorId="16E27D1A" wp14:editId="79B5BB97">
            <wp:extent cx="5943600" cy="3361956"/>
            <wp:effectExtent l="0" t="0" r="0" b="0"/>
            <wp:docPr id="3" name="Picture 3" descr="A screenshot of different colored m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different colored maps&#10;&#10;AI-generated content may be incorrect."/>
                    <pic:cNvPicPr/>
                  </pic:nvPicPr>
                  <pic:blipFill>
                    <a:blip r:embed="rId7"/>
                    <a:stretch>
                      <a:fillRect/>
                    </a:stretch>
                  </pic:blipFill>
                  <pic:spPr>
                    <a:xfrm>
                      <a:off x="0" y="0"/>
                      <a:ext cx="5943600" cy="3361956"/>
                    </a:xfrm>
                    <a:prstGeom prst="rect">
                      <a:avLst/>
                    </a:prstGeom>
                  </pic:spPr>
                </pic:pic>
              </a:graphicData>
            </a:graphic>
          </wp:inline>
        </w:drawing>
      </w:r>
    </w:p>
    <w:p w14:paraId="16606B01" w14:textId="77777777" w:rsidR="007368B5" w:rsidRPr="007368B5" w:rsidRDefault="007368B5" w:rsidP="007368B5">
      <w:pPr>
        <w:jc w:val="center"/>
        <w:rPr>
          <w:rFonts w:ascii="Times New Roman" w:hAnsi="Times New Roman" w:cs="Times New Roman"/>
        </w:rPr>
      </w:pPr>
      <w:r w:rsidRPr="007368B5">
        <w:rPr>
          <w:rFonts w:ascii="Times New Roman" w:hAnsi="Times New Roman" w:cs="Times New Roman"/>
          <w:i/>
          <w:color w:val="444444"/>
          <w:sz w:val="18"/>
        </w:rPr>
        <w:t>UMAP of QC-preprocessed nuclei for Donor_1 teaching block HBM347.VDHS.379</w:t>
      </w:r>
    </w:p>
    <w:p w14:paraId="0BF5B2B3"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6. Interpretation</w:t>
      </w:r>
    </w:p>
    <w:p w14:paraId="6BD52C61"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Module 1 establishes a verified local teaching set and a documented QC trail. The scientific claim at this stage is modest and procedural: the four HuBMAP lung snRNA blocks required for Module 2 are present, size-checked, composition-gated, and preprocessed under explicit thresholds.</w:t>
      </w:r>
    </w:p>
    <w:p w14:paraId="6C147DA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What the results support.</w:t>
      </w:r>
    </w:p>
    <w:p w14:paraId="69251F3F"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A learner can reconstruct which files are required for the whole course and where they belong on disk from this companion alone.</w:t>
      </w:r>
    </w:p>
    <w:p w14:paraId="502C9AEA"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QC logs show which filters remove nuclei; preprocess objects are ready for Harmony integration.</w:t>
      </w:r>
    </w:p>
    <w:p w14:paraId="5A3FD37B"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Primary DOI vs processed download ID is an operational fact of HuBMAP access, not a paperwork detail.</w:t>
      </w:r>
    </w:p>
    <w:p w14:paraId="5DA0F2AB"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rPr>
        <w:t>Airway-lineage labels are present across donors at teaching-relevant counts, with donor-to-donor imbalance that Module 2 must not over-interpret.</w:t>
      </w:r>
    </w:p>
    <w:p w14:paraId="028A73ED"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Interpretation of the QC pattern.</w:t>
      </w:r>
      <w:r w:rsidRPr="007368B5">
        <w:rPr>
          <w:rFonts w:ascii="Times New Roman" w:hAnsi="Times New Roman" w:cs="Times New Roman"/>
        </w:rPr>
        <w:t xml:space="preserve"> Depth and complexity filters dominate removals; mitochondrial filtering at 5% is nearly inactive on these snRNA objects. That pattern matches nuclear RNA expectations and is why the mito threshold is described as diagnostic rather than as the main cleaning lever. The teaching subsample then equalizes RAM: three donors are capped at 5000 nuclei while Donor_1 remains at its post-QC count when already below the cap.</w:t>
      </w:r>
    </w:p>
    <w:p w14:paraId="148DEA7F"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Interpretation of label join.</w:t>
      </w:r>
      <w:r w:rsidRPr="007368B5">
        <w:rPr>
          <w:rFonts w:ascii="Times New Roman" w:hAnsi="Times New Roman" w:cs="Times New Roman"/>
        </w:rPr>
        <w:t xml:space="preserve"> Incomplete Azimuth join on Donor_1 (hundreds of raw barcodes without labels) means composition summaries that require labels are conditioned on the overlapping barcode set. Reporting </w:t>
      </w:r>
      <w:r w:rsidRPr="007368B5">
        <w:rPr>
          <w:rFonts w:ascii="Times New Roman" w:hAnsi="Times New Roman" w:cs="Times New Roman"/>
          <w:color w:val="1A3E6E"/>
          <w:sz w:val="19"/>
        </w:rPr>
        <w:t>module1_azimuth_join_coverage.tsv</w:t>
      </w:r>
      <w:r w:rsidRPr="007368B5">
        <w:rPr>
          <w:rFonts w:ascii="Times New Roman" w:hAnsi="Times New Roman" w:cs="Times New Roman"/>
        </w:rPr>
        <w:t xml:space="preserve"> keeps that conditioning visible when Module 2 maps </w:t>
      </w:r>
      <w:r w:rsidRPr="007368B5">
        <w:rPr>
          <w:rFonts w:ascii="Times New Roman" w:hAnsi="Times New Roman" w:cs="Times New Roman"/>
          <w:color w:val="1A3E6E"/>
          <w:sz w:val="19"/>
        </w:rPr>
        <w:t>cell_class</w:t>
      </w:r>
      <w:r w:rsidRPr="007368B5">
        <w:rPr>
          <w:rFonts w:ascii="Times New Roman" w:hAnsi="Times New Roman" w:cs="Times New Roman"/>
        </w:rPr>
        <w:t>.</w:t>
      </w:r>
    </w:p>
    <w:p w14:paraId="2369C1BD"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lastRenderedPageBreak/>
        <w:t>7. Extending this analysis</w:t>
      </w:r>
    </w:p>
    <w:p w14:paraId="2B3A319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Each item below states what a stronger version of this work would require to support a claim Module 1 leaves open, and what the current evidence does support.</w:t>
      </w:r>
    </w:p>
    <w:p w14:paraId="728D8E6D"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b/>
        </w:rPr>
        <w:t>Cohort selection by live query.</w:t>
      </w:r>
      <w:r w:rsidRPr="007368B5">
        <w:rPr>
          <w:rFonts w:ascii="Times New Roman" w:hAnsi="Times New Roman" w:cs="Times New Roman"/>
        </w:rPr>
        <w:t xml:space="preserve"> Showing that a live Search API query selects this cohort would mean running the query at teaching time and recording the returned IDs beside the curated list; </w:t>
      </w:r>
      <w:r w:rsidRPr="007368B5">
        <w:rPr>
          <w:rFonts w:ascii="Times New Roman" w:hAnsi="Times New Roman" w:cs="Times New Roman"/>
          <w:color w:val="1A3E6E"/>
          <w:sz w:val="19"/>
        </w:rPr>
        <w:t>module1.discovery.live_query</w:t>
      </w:r>
      <w:r w:rsidRPr="007368B5">
        <w:rPr>
          <w:rFonts w:ascii="Times New Roman" w:hAnsi="Times New Roman" w:cs="Times New Roman"/>
        </w:rPr>
        <w:t xml:space="preserve"> (default </w:t>
      </w:r>
      <w:r w:rsidRPr="007368B5">
        <w:rPr>
          <w:rFonts w:ascii="Times New Roman" w:hAnsi="Times New Roman" w:cs="Times New Roman"/>
          <w:color w:val="1A3E6E"/>
          <w:sz w:val="19"/>
        </w:rPr>
        <w:t>false</w:t>
      </w:r>
      <w:r w:rsidRPr="007368B5">
        <w:rPr>
          <w:rFonts w:ascii="Times New Roman" w:hAnsi="Times New Roman" w:cs="Times New Roman"/>
        </w:rPr>
        <w:t>) turns that check on. This cohort was curated for teaching value, so the two lists have not yet been compared.</w:t>
      </w:r>
    </w:p>
    <w:p w14:paraId="3B9DCF41"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b/>
        </w:rPr>
        <w:t>Donor integration and biological contrasts.</w:t>
      </w:r>
      <w:r w:rsidRPr="007368B5">
        <w:rPr>
          <w:rFonts w:ascii="Times New Roman" w:hAnsi="Times New Roman" w:cs="Times New Roman"/>
        </w:rPr>
        <w:t xml:space="preserve"> Testing differences across age or disease needs a joint embedding and a DE model, which is exactly what Module 2 builds on these QC objects and Module 4 extends across ecosystems. Module 1 stops at per-donor objects on purpose; the next step is Module 2 concatenation.</w:t>
      </w:r>
    </w:p>
    <w:p w14:paraId="3024BA6B"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b/>
        </w:rPr>
        <w:t>A powered donor-age contrast</w:t>
      </w:r>
      <w:r w:rsidRPr="007368B5">
        <w:rPr>
          <w:rFonts w:ascii="Times New Roman" w:hAnsi="Times New Roman" w:cs="Times New Roman"/>
        </w:rPr>
        <w:t xml:space="preserve"> would need many more donors per arm. This four-donor split (younger Donor_2 and Donor_1 versus older Donor_4 and Donor_3) is a design illustration of how an age variable enters the design, and the next step is a larger cohort pulled through the same HuBMAP access path.</w:t>
      </w:r>
    </w:p>
    <w:p w14:paraId="0C10717E"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b/>
        </w:rPr>
        <w:t>Label quality.</w:t>
      </w:r>
      <w:r w:rsidRPr="007368B5">
        <w:rPr>
          <w:rFonts w:ascii="Times New Roman" w:hAnsi="Times New Roman" w:cs="Times New Roman"/>
        </w:rPr>
        <w:t xml:space="preserve"> Treating Azimuth labels as ground truth would require an independent annotation, marker-based or expert, to compare against. Until that exists, </w:t>
      </w:r>
      <w:r w:rsidRPr="007368B5">
        <w:rPr>
          <w:rFonts w:ascii="Times New Roman" w:hAnsi="Times New Roman" w:cs="Times New Roman"/>
          <w:color w:val="1A3E6E"/>
          <w:sz w:val="19"/>
        </w:rPr>
        <w:t>module1_azimuth_join_coverage.tsv</w:t>
      </w:r>
      <w:r w:rsidRPr="007368B5">
        <w:rPr>
          <w:rFonts w:ascii="Times New Roman" w:hAnsi="Times New Roman" w:cs="Times New Roman"/>
        </w:rPr>
        <w:t xml:space="preserve"> travels with the labels so any label-conditioned count can be discounted by the barcodes that never received one (648 of 4,899 in Donor_1).</w:t>
      </w:r>
    </w:p>
    <w:p w14:paraId="6DDEA159" w14:textId="77777777" w:rsidR="007368B5" w:rsidRPr="007368B5" w:rsidRDefault="007368B5" w:rsidP="007368B5">
      <w:pPr>
        <w:pStyle w:val="ListBullet"/>
        <w:tabs>
          <w:tab w:val="num" w:pos="360"/>
        </w:tabs>
        <w:spacing w:after="40"/>
        <w:ind w:left="360" w:hanging="360"/>
        <w:rPr>
          <w:rFonts w:ascii="Times New Roman" w:hAnsi="Times New Roman" w:cs="Times New Roman"/>
        </w:rPr>
      </w:pPr>
      <w:r w:rsidRPr="007368B5">
        <w:rPr>
          <w:rFonts w:ascii="Times New Roman" w:hAnsi="Times New Roman" w:cs="Times New Roman"/>
          <w:b/>
        </w:rPr>
        <w:t>Blocks outside the manifest.</w:t>
      </w:r>
      <w:r w:rsidRPr="007368B5">
        <w:rPr>
          <w:rFonts w:ascii="Times New Roman" w:hAnsi="Times New Roman" w:cs="Times New Roman"/>
        </w:rPr>
        <w:t xml:space="preserve"> Bringing an extra HuBMAP block from </w:t>
      </w:r>
      <w:r w:rsidRPr="007368B5">
        <w:rPr>
          <w:rFonts w:ascii="Times New Roman" w:hAnsi="Times New Roman" w:cs="Times New Roman"/>
          <w:color w:val="1A3E6E"/>
          <w:sz w:val="19"/>
        </w:rPr>
        <w:t>data/source/</w:t>
      </w:r>
      <w:r w:rsidRPr="007368B5">
        <w:rPr>
          <w:rFonts w:ascii="Times New Roman" w:hAnsi="Times New Roman" w:cs="Times New Roman"/>
        </w:rPr>
        <w:t xml:space="preserve"> into the analysis means adding it to </w:t>
      </w:r>
      <w:r w:rsidRPr="007368B5">
        <w:rPr>
          <w:rFonts w:ascii="Times New Roman" w:hAnsi="Times New Roman" w:cs="Times New Roman"/>
          <w:color w:val="1A3E6E"/>
          <w:sz w:val="19"/>
        </w:rPr>
        <w:t>module2.inputs</w:t>
      </w:r>
      <w:r w:rsidRPr="007368B5">
        <w:rPr>
          <w:rFonts w:ascii="Times New Roman" w:hAnsi="Times New Roman" w:cs="Times New Roman"/>
        </w:rPr>
        <w:t>, then re-running verification, the composition gate, and QC before Module 2; that is the same path used to widen the cohort. Until then those blocks are inventoried only, which is what keeps the download budget stable.</w:t>
      </w:r>
    </w:p>
    <w:p w14:paraId="10E0C47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b/>
        </w:rPr>
        <w:t>Forward link.</w:t>
      </w:r>
      <w:r w:rsidRPr="007368B5">
        <w:rPr>
          <w:rFonts w:ascii="Times New Roman" w:hAnsi="Times New Roman" w:cs="Times New Roman"/>
        </w:rPr>
        <w:t xml:space="preserve"> Module 2 concatenates these QC objects, measures donor mixing with Harmony, and runs within-HuBMAP DE and pathway enrichment. GTEx, GEO, and OSDR appear in Module 4; Donor_2 multiome (</w:t>
      </w:r>
      <w:r w:rsidRPr="007368B5">
        <w:rPr>
          <w:rFonts w:ascii="Times New Roman" w:hAnsi="Times New Roman" w:cs="Times New Roman"/>
          <w:color w:val="1A3E6E"/>
          <w:sz w:val="19"/>
        </w:rPr>
        <w:t>multiome_mofa.hdf5</w:t>
      </w:r>
      <w:r w:rsidRPr="007368B5">
        <w:rPr>
          <w:rFonts w:ascii="Times New Roman" w:hAnsi="Times New Roman" w:cs="Times New Roman"/>
        </w:rPr>
        <w:t>) is interpreted in Module 3.</w:t>
      </w:r>
    </w:p>
    <w:p w14:paraId="19DE3A70"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8. Open questions</w:t>
      </w:r>
    </w:p>
    <w:p w14:paraId="7D74A46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Use the Module 1 tables and figures already written under </w:t>
      </w:r>
      <w:r w:rsidRPr="007368B5">
        <w:rPr>
          <w:rFonts w:ascii="Times New Roman" w:hAnsi="Times New Roman" w:cs="Times New Roman"/>
          <w:color w:val="1A3E6E"/>
          <w:sz w:val="19"/>
        </w:rPr>
        <w:t>outputs/</w:t>
      </w:r>
      <w:r w:rsidRPr="007368B5">
        <w:rPr>
          <w:rFonts w:ascii="Times New Roman" w:hAnsi="Times New Roman" w:cs="Times New Roman"/>
        </w:rPr>
        <w:t>.</w:t>
      </w:r>
    </w:p>
    <w:p w14:paraId="7ED46C84"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Which QC threshold removed the most nuclei, and would a neighboring cut change the donor composition story?</w:t>
      </w:r>
    </w:p>
    <w:p w14:paraId="36540774"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What does Azimuth join coverage tell you about unlabeled barcodes on Donor_1 versus Donor_4?</w:t>
      </w:r>
    </w:p>
    <w:p w14:paraId="50AEBE96"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 xml:space="preserve">What claim about airway lineages is </w:t>
      </w:r>
      <w:r w:rsidRPr="007368B5">
        <w:rPr>
          <w:rFonts w:ascii="Times New Roman" w:hAnsi="Times New Roman" w:cs="Times New Roman"/>
          <w:b/>
        </w:rPr>
        <w:t>not</w:t>
      </w:r>
      <w:r w:rsidRPr="007368B5">
        <w:rPr>
          <w:rFonts w:ascii="Times New Roman" w:hAnsi="Times New Roman" w:cs="Times New Roman"/>
        </w:rPr>
        <w:t xml:space="preserve"> supported by this cohort after QC?</w:t>
      </w:r>
    </w:p>
    <w:p w14:paraId="5AD26B57"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If a colleague treated HubMAP processed IDs as interchangeable with primary DOIs, what would go wrong?</w:t>
      </w:r>
    </w:p>
    <w:p w14:paraId="556CC331" w14:textId="77777777" w:rsidR="007368B5" w:rsidRPr="007368B5" w:rsidRDefault="007368B5" w:rsidP="007368B5">
      <w:pPr>
        <w:rPr>
          <w:rFonts w:ascii="Times New Roman" w:hAnsi="Times New Roman" w:cs="Times New Roman"/>
        </w:rPr>
      </w:pPr>
      <w:r w:rsidRPr="007368B5">
        <w:rPr>
          <w:rFonts w:ascii="Times New Roman" w:hAnsi="Times New Roman" w:cs="Times New Roman"/>
        </w:rPr>
        <w:br w:type="page"/>
      </w:r>
    </w:p>
    <w:p w14:paraId="48891FCB"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lastRenderedPageBreak/>
        <w:t>Appendix A: obtaining the files from a terminal</w:t>
      </w:r>
    </w:p>
    <w:p w14:paraId="4F95854A"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screencast walks the same acquisition through each portal's web interface. This appendix is the equivalent from a terminal, for a learner who prefers a scripted, repeatable pull. Every command was executed against the live endpoints and every size confirmed against the download manifest.</w:t>
      </w:r>
    </w:p>
    <w:p w14:paraId="362739D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Run these from the package root. Each command writes into the folder </w:t>
      </w:r>
      <w:r w:rsidRPr="007368B5">
        <w:rPr>
          <w:rFonts w:ascii="Times New Roman" w:hAnsi="Times New Roman" w:cs="Times New Roman"/>
          <w:color w:val="1A3E6E"/>
          <w:sz w:val="19"/>
        </w:rPr>
        <w:t>config/paths.yaml</w:t>
      </w:r>
      <w:r w:rsidRPr="007368B5">
        <w:rPr>
          <w:rFonts w:ascii="Times New Roman" w:hAnsi="Times New Roman" w:cs="Times New Roman"/>
        </w:rPr>
        <w:t xml:space="preserve"> expects, so no file needs moving afterwards.</w:t>
      </w:r>
    </w:p>
    <w:p w14:paraId="19E35576"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A.1 Finding the APIs: the SmartAPI registry</w:t>
      </w:r>
    </w:p>
    <w:p w14:paraId="41524D9C"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The registry is the entry point. This returns the registered HuBMAP entries, including the Search and Entity APIs used below:</w:t>
      </w:r>
    </w:p>
    <w:p w14:paraId="0D7826ED"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curl -s "https://smart-api.info/api/query?q=hubmap&amp;fields=info.title,info.version,servers"</w:t>
      </w:r>
    </w:p>
    <w:p w14:paraId="557A0FFD"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A.2 Resolving a HuBMAP identifier to an asset UUID</w:t>
      </w:r>
    </w:p>
    <w:p w14:paraId="46C4381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Asset URLs are addressed by UUID, not by the HuBMAP identifier you see in a portal. The Entity API performs the translation. For the Donor_1 processed release:</w:t>
      </w:r>
    </w:p>
    <w:p w14:paraId="70A8F317"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curl -s https://entity.api.hubmapconsortium.org/entities/HBM675.RVGB.258 \</w:t>
      </w:r>
      <w:r w:rsidRPr="007368B5">
        <w:rPr>
          <w:rFonts w:ascii="Times New Roman" w:hAnsi="Times New Roman" w:cs="Times New Roman"/>
          <w:sz w:val="17"/>
        </w:rPr>
        <w:br/>
        <w:t xml:space="preserve">  | python -c "import json,sys; print(json.load(sys.stdin)['uuid'])"</w:t>
      </w:r>
    </w:p>
    <w:p w14:paraId="1C82BBA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The same call on a primary block returns </w:t>
      </w:r>
      <w:r w:rsidRPr="007368B5">
        <w:rPr>
          <w:rFonts w:ascii="Times New Roman" w:hAnsi="Times New Roman" w:cs="Times New Roman"/>
          <w:color w:val="1A3E6E"/>
          <w:sz w:val="19"/>
        </w:rPr>
        <w:t>data_access_level: protected</w:t>
      </w:r>
      <w:r w:rsidRPr="007368B5">
        <w:rPr>
          <w:rFonts w:ascii="Times New Roman" w:hAnsi="Times New Roman" w:cs="Times New Roman"/>
        </w:rPr>
        <w:t>, which is the access tier distinction above expressed as a field you can test in code.</w:t>
      </w:r>
    </w:p>
    <w:p w14:paraId="5E65F113"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A.3 HuBMAP matrices and the multiome object</w:t>
      </w:r>
    </w:p>
    <w:p w14:paraId="07DE45F7"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mkdir -p data/source/HUBMAP/Donor_1/snRNAseq/HBM347.VDHS.379 \</w:t>
      </w:r>
      <w:r w:rsidRPr="007368B5">
        <w:rPr>
          <w:rFonts w:ascii="Times New Roman" w:hAnsi="Times New Roman" w:cs="Times New Roman"/>
          <w:sz w:val="17"/>
        </w:rPr>
        <w:br/>
        <w:t xml:space="preserve">         data/source/HUBMAP/Donor_2/snRNAseq/HBM473.NKMR.872 \</w:t>
      </w:r>
      <w:r w:rsidRPr="007368B5">
        <w:rPr>
          <w:rFonts w:ascii="Times New Roman" w:hAnsi="Times New Roman" w:cs="Times New Roman"/>
          <w:sz w:val="17"/>
        </w:rPr>
        <w:br/>
        <w:t xml:space="preserve">         data/source/HUBMAP/Donor_3/snRNAseq/HBM484.RGWP.797 \</w:t>
      </w:r>
      <w:r w:rsidRPr="007368B5">
        <w:rPr>
          <w:rFonts w:ascii="Times New Roman" w:hAnsi="Times New Roman" w:cs="Times New Roman"/>
          <w:sz w:val="17"/>
        </w:rPr>
        <w:br/>
        <w:t xml:space="preserve">         data/source/HUBMAP/Donor_4/snRNAseq/HBM379.QCJT.435 \</w:t>
      </w:r>
      <w:r w:rsidRPr="007368B5">
        <w:rPr>
          <w:rFonts w:ascii="Times New Roman" w:hAnsi="Times New Roman" w:cs="Times New Roman"/>
          <w:sz w:val="17"/>
        </w:rPr>
        <w:br/>
        <w:t xml:space="preserve">         data/source/HUBMAP/Donor_2/SNAREseq/HBM828.GPVG.252</w:t>
      </w:r>
      <w:r w:rsidRPr="007368B5">
        <w:rPr>
          <w:rFonts w:ascii="Times New Roman" w:hAnsi="Times New Roman" w:cs="Times New Roman"/>
          <w:sz w:val="17"/>
        </w:rPr>
        <w:br/>
      </w:r>
      <w:r w:rsidRPr="007368B5">
        <w:rPr>
          <w:rFonts w:ascii="Times New Roman" w:hAnsi="Times New Roman" w:cs="Times New Roman"/>
          <w:sz w:val="17"/>
        </w:rPr>
        <w:br/>
        <w:t>BASE=https://assets.hubmapconsortium.org</w:t>
      </w:r>
      <w:r w:rsidRPr="007368B5">
        <w:rPr>
          <w:rFonts w:ascii="Times New Roman" w:hAnsi="Times New Roman" w:cs="Times New Roman"/>
          <w:sz w:val="17"/>
        </w:rPr>
        <w:br/>
        <w:t>curl -L -o data/source/HUBMAP/Donor_1/snRNAseq/HBM347.VDHS.379/raw_expr.h5ad \</w:t>
      </w:r>
      <w:r w:rsidRPr="007368B5">
        <w:rPr>
          <w:rFonts w:ascii="Times New Roman" w:hAnsi="Times New Roman" w:cs="Times New Roman"/>
          <w:sz w:val="17"/>
        </w:rPr>
        <w:br/>
        <w:t xml:space="preserve">  $BASE/171bd6114652ce2a1ff0e4757b5eaef9/raw_expr.h5ad</w:t>
      </w:r>
      <w:r w:rsidRPr="007368B5">
        <w:rPr>
          <w:rFonts w:ascii="Times New Roman" w:hAnsi="Times New Roman" w:cs="Times New Roman"/>
          <w:sz w:val="17"/>
        </w:rPr>
        <w:br/>
        <w:t>curl -L -o data/source/HUBMAP/Donor_2/snRNAseq/HBM473.NKMR.872/raw_expr.h5ad \</w:t>
      </w:r>
      <w:r w:rsidRPr="007368B5">
        <w:rPr>
          <w:rFonts w:ascii="Times New Roman" w:hAnsi="Times New Roman" w:cs="Times New Roman"/>
          <w:sz w:val="17"/>
        </w:rPr>
        <w:br/>
        <w:t xml:space="preserve">  $BASE/4c031c4aba3b656a07a5ab14a305cbba/raw_expr.h5ad</w:t>
      </w:r>
      <w:r w:rsidRPr="007368B5">
        <w:rPr>
          <w:rFonts w:ascii="Times New Roman" w:hAnsi="Times New Roman" w:cs="Times New Roman"/>
          <w:sz w:val="17"/>
        </w:rPr>
        <w:br/>
        <w:t>curl -L -o data/source/HUBMAP/Donor_3/snRNAseq/HBM484.RGWP.797/raw_expr.h5ad \</w:t>
      </w:r>
      <w:r w:rsidRPr="007368B5">
        <w:rPr>
          <w:rFonts w:ascii="Times New Roman" w:hAnsi="Times New Roman" w:cs="Times New Roman"/>
          <w:sz w:val="17"/>
        </w:rPr>
        <w:br/>
        <w:t xml:space="preserve">  $BASE/ab3942cee59a994d73f6f89f8f5eb84a/raw_expr.h5ad</w:t>
      </w:r>
      <w:r w:rsidRPr="007368B5">
        <w:rPr>
          <w:rFonts w:ascii="Times New Roman" w:hAnsi="Times New Roman" w:cs="Times New Roman"/>
          <w:sz w:val="17"/>
        </w:rPr>
        <w:br/>
        <w:t>curl -L -o data/source/HUBMAP/Donor_4/snRNAseq/HBM379.QCJT.435/raw_expr.h5ad \</w:t>
      </w:r>
      <w:r w:rsidRPr="007368B5">
        <w:rPr>
          <w:rFonts w:ascii="Times New Roman" w:hAnsi="Times New Roman" w:cs="Times New Roman"/>
          <w:sz w:val="17"/>
        </w:rPr>
        <w:br/>
        <w:t xml:space="preserve">  $BASE/f5ce0bfcef8d17a18e0a3911fb2b2726/raw_expr.h5ad</w:t>
      </w:r>
      <w:r w:rsidRPr="007368B5">
        <w:rPr>
          <w:rFonts w:ascii="Times New Roman" w:hAnsi="Times New Roman" w:cs="Times New Roman"/>
          <w:sz w:val="17"/>
        </w:rPr>
        <w:br/>
        <w:t>curl -L -o data/source/HUBMAP/Donor_2/SNAREseq/HBM828.GPVG.252/multiome_mofa.hdf5 \</w:t>
      </w:r>
      <w:r w:rsidRPr="007368B5">
        <w:rPr>
          <w:rFonts w:ascii="Times New Roman" w:hAnsi="Times New Roman" w:cs="Times New Roman"/>
          <w:sz w:val="17"/>
        </w:rPr>
        <w:br/>
        <w:t xml:space="preserve">  $BASE/772d0ce4657bb306359c0230c57ee1e9/multiome_mofa.hdf5</w:t>
      </w:r>
    </w:p>
    <w:p w14:paraId="752EC2F5"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A.4 The four block metadata TSVs: portal interface only</w:t>
      </w:r>
    </w:p>
    <w:p w14:paraId="1DFA33FB"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These four files have no scriptable URL. The pipeline reads them in HuBMAP's Key/Value export format, with columns </w:t>
      </w:r>
      <w:r w:rsidRPr="007368B5">
        <w:rPr>
          <w:rFonts w:ascii="Times New Roman" w:hAnsi="Times New Roman" w:cs="Times New Roman"/>
          <w:color w:val="1A3E6E"/>
          <w:sz w:val="19"/>
        </w:rPr>
        <w:t>HuBMAP ID</w:t>
      </w:r>
      <w:r w:rsidRPr="007368B5">
        <w:rPr>
          <w:rFonts w:ascii="Times New Roman" w:hAnsi="Times New Roman" w:cs="Times New Roman"/>
        </w:rPr>
        <w:t xml:space="preserve">, </w:t>
      </w:r>
      <w:r w:rsidRPr="007368B5">
        <w:rPr>
          <w:rFonts w:ascii="Times New Roman" w:hAnsi="Times New Roman" w:cs="Times New Roman"/>
          <w:color w:val="1A3E6E"/>
          <w:sz w:val="19"/>
        </w:rPr>
        <w:t>Entity</w:t>
      </w:r>
      <w:r w:rsidRPr="007368B5">
        <w:rPr>
          <w:rFonts w:ascii="Times New Roman" w:hAnsi="Times New Roman" w:cs="Times New Roman"/>
        </w:rPr>
        <w:t xml:space="preserve">, </w:t>
      </w:r>
      <w:r w:rsidRPr="007368B5">
        <w:rPr>
          <w:rFonts w:ascii="Times New Roman" w:hAnsi="Times New Roman" w:cs="Times New Roman"/>
          <w:color w:val="1A3E6E"/>
          <w:sz w:val="19"/>
        </w:rPr>
        <w:t>Key</w:t>
      </w:r>
      <w:r w:rsidRPr="007368B5">
        <w:rPr>
          <w:rFonts w:ascii="Times New Roman" w:hAnsi="Times New Roman" w:cs="Times New Roman"/>
        </w:rPr>
        <w:t xml:space="preserve"> and </w:t>
      </w:r>
      <w:r w:rsidRPr="007368B5">
        <w:rPr>
          <w:rFonts w:ascii="Times New Roman" w:hAnsi="Times New Roman" w:cs="Times New Roman"/>
          <w:color w:val="1A3E6E"/>
          <w:sz w:val="19"/>
        </w:rPr>
        <w:t>Value</w:t>
      </w:r>
      <w:r w:rsidRPr="007368B5">
        <w:rPr>
          <w:rFonts w:ascii="Times New Roman" w:hAnsi="Times New Roman" w:cs="Times New Roman"/>
        </w:rPr>
        <w:t xml:space="preserve">, and </w:t>
      </w:r>
      <w:r w:rsidRPr="007368B5">
        <w:rPr>
          <w:rFonts w:ascii="Times New Roman" w:hAnsi="Times New Roman" w:cs="Times New Roman"/>
          <w:color w:val="1A3E6E"/>
          <w:sz w:val="19"/>
        </w:rPr>
        <w:t>scripts/common/io.py</w:t>
      </w:r>
      <w:r w:rsidRPr="007368B5">
        <w:rPr>
          <w:rFonts w:ascii="Times New Roman" w:hAnsi="Times New Roman" w:cs="Times New Roman"/>
        </w:rPr>
        <w:t xml:space="preserve"> raises if any is absent. The programmatic metadata endpoints return a different, wide layout that will not parse.</w:t>
      </w:r>
    </w:p>
    <w:p w14:paraId="22A8EB25"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Obtain each from the portal instead, at </w:t>
      </w:r>
      <w:r w:rsidRPr="007368B5">
        <w:rPr>
          <w:rFonts w:ascii="Times New Roman" w:hAnsi="Times New Roman" w:cs="Times New Roman"/>
          <w:color w:val="1A3E6E"/>
          <w:sz w:val="19"/>
        </w:rPr>
        <w:t>https://portal.hubmapconsortium.org/browse/dataset/&lt;primary block ID&gt;</w:t>
      </w:r>
      <w:r w:rsidRPr="007368B5">
        <w:rPr>
          <w:rFonts w:ascii="Times New Roman" w:hAnsi="Times New Roman" w:cs="Times New Roman"/>
        </w:rPr>
        <w:t xml:space="preserve">, using the metadata download control on the dataset page, and save it beside that donor's </w:t>
      </w:r>
      <w:r w:rsidRPr="007368B5">
        <w:rPr>
          <w:rFonts w:ascii="Times New Roman" w:hAnsi="Times New Roman" w:cs="Times New Roman"/>
          <w:color w:val="1A3E6E"/>
          <w:sz w:val="19"/>
        </w:rPr>
        <w:t>raw_expr.h5ad</w:t>
      </w:r>
      <w:r w:rsidRPr="007368B5">
        <w:rPr>
          <w:rFonts w:ascii="Times New Roman" w:hAnsi="Times New Roman" w:cs="Times New Roman"/>
        </w:rPr>
        <w:t xml:space="preserve"> under the primary block ID with a </w:t>
      </w:r>
      <w:r w:rsidRPr="007368B5">
        <w:rPr>
          <w:rFonts w:ascii="Times New Roman" w:hAnsi="Times New Roman" w:cs="Times New Roman"/>
          <w:color w:val="1A3E6E"/>
          <w:sz w:val="19"/>
        </w:rPr>
        <w:t>.tsv</w:t>
      </w:r>
      <w:r w:rsidRPr="007368B5">
        <w:rPr>
          <w:rFonts w:ascii="Times New Roman" w:hAnsi="Times New Roman" w:cs="Times New Roman"/>
        </w:rPr>
        <w:t xml:space="preserve"> extension:</w:t>
      </w:r>
    </w:p>
    <w:tbl>
      <w:tblPr>
        <w:tblStyle w:val="TableGrid"/>
        <w:tblW w:w="0" w:type="auto"/>
        <w:jc w:val="center"/>
        <w:tblLook w:val="04A0" w:firstRow="1" w:lastRow="0" w:firstColumn="1" w:lastColumn="0" w:noHBand="0" w:noVBand="1"/>
      </w:tblPr>
      <w:tblGrid>
        <w:gridCol w:w="2374"/>
        <w:gridCol w:w="2605"/>
        <w:gridCol w:w="4371"/>
      </w:tblGrid>
      <w:tr w:rsidR="007368B5" w:rsidRPr="007368B5" w14:paraId="37EC1A9C" w14:textId="77777777" w:rsidTr="00151104">
        <w:trPr>
          <w:jc w:val="center"/>
        </w:trPr>
        <w:tc>
          <w:tcPr>
            <w:tcW w:w="3120" w:type="dxa"/>
            <w:shd w:val="clear" w:color="auto" w:fill="DCE6F1"/>
          </w:tcPr>
          <w:p w14:paraId="45519E7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Donor</w:t>
            </w:r>
          </w:p>
        </w:tc>
        <w:tc>
          <w:tcPr>
            <w:tcW w:w="3120" w:type="dxa"/>
            <w:shd w:val="clear" w:color="auto" w:fill="DCE6F1"/>
          </w:tcPr>
          <w:p w14:paraId="67383123"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Portal page</w:t>
            </w:r>
          </w:p>
        </w:tc>
        <w:tc>
          <w:tcPr>
            <w:tcW w:w="3120" w:type="dxa"/>
            <w:shd w:val="clear" w:color="auto" w:fill="DCE6F1"/>
          </w:tcPr>
          <w:p w14:paraId="71C1EE9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Save as</w:t>
            </w:r>
          </w:p>
        </w:tc>
      </w:tr>
      <w:tr w:rsidR="007368B5" w:rsidRPr="007368B5" w14:paraId="6297B16C" w14:textId="77777777" w:rsidTr="00151104">
        <w:trPr>
          <w:jc w:val="center"/>
        </w:trPr>
        <w:tc>
          <w:tcPr>
            <w:tcW w:w="3120" w:type="dxa"/>
          </w:tcPr>
          <w:p w14:paraId="77C5AC3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lastRenderedPageBreak/>
              <w:t>Donor_1</w:t>
            </w:r>
          </w:p>
        </w:tc>
        <w:tc>
          <w:tcPr>
            <w:tcW w:w="3120" w:type="dxa"/>
          </w:tcPr>
          <w:p w14:paraId="756C6FC7"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HBM347.VDHS.379</w:t>
            </w:r>
          </w:p>
        </w:tc>
        <w:tc>
          <w:tcPr>
            <w:tcW w:w="3120" w:type="dxa"/>
          </w:tcPr>
          <w:p w14:paraId="5C090F2A"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Donor_1/snRNAseq/HBM347.VDHS.379/HBM347.VDHS.379.tsv</w:t>
            </w:r>
          </w:p>
        </w:tc>
      </w:tr>
      <w:tr w:rsidR="007368B5" w:rsidRPr="007368B5" w14:paraId="4448C4B3" w14:textId="77777777" w:rsidTr="00151104">
        <w:trPr>
          <w:jc w:val="center"/>
        </w:trPr>
        <w:tc>
          <w:tcPr>
            <w:tcW w:w="3120" w:type="dxa"/>
          </w:tcPr>
          <w:p w14:paraId="707E5D0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Donor_2</w:t>
            </w:r>
          </w:p>
        </w:tc>
        <w:tc>
          <w:tcPr>
            <w:tcW w:w="3120" w:type="dxa"/>
          </w:tcPr>
          <w:p w14:paraId="3AC43C8C"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HBM473.NKMR.872</w:t>
            </w:r>
          </w:p>
        </w:tc>
        <w:tc>
          <w:tcPr>
            <w:tcW w:w="3120" w:type="dxa"/>
          </w:tcPr>
          <w:p w14:paraId="1553A0B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Donor_2/snRNAseq/HBM473.NKMR.872/HBM473.NKMR.872.tsv</w:t>
            </w:r>
          </w:p>
        </w:tc>
      </w:tr>
      <w:tr w:rsidR="007368B5" w:rsidRPr="007368B5" w14:paraId="32752ECC" w14:textId="77777777" w:rsidTr="00151104">
        <w:trPr>
          <w:jc w:val="center"/>
        </w:trPr>
        <w:tc>
          <w:tcPr>
            <w:tcW w:w="3120" w:type="dxa"/>
          </w:tcPr>
          <w:p w14:paraId="36AEE06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Donor_3</w:t>
            </w:r>
          </w:p>
        </w:tc>
        <w:tc>
          <w:tcPr>
            <w:tcW w:w="3120" w:type="dxa"/>
          </w:tcPr>
          <w:p w14:paraId="6DE4371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HBM484.RGWP.797</w:t>
            </w:r>
          </w:p>
        </w:tc>
        <w:tc>
          <w:tcPr>
            <w:tcW w:w="3120" w:type="dxa"/>
          </w:tcPr>
          <w:p w14:paraId="672285D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Donor_3/snRNAseq/HBM484.RGWP.797/HBM484.RGWP.797.tsv</w:t>
            </w:r>
          </w:p>
        </w:tc>
      </w:tr>
      <w:tr w:rsidR="007368B5" w:rsidRPr="007368B5" w14:paraId="0EEFEB73" w14:textId="77777777" w:rsidTr="00151104">
        <w:trPr>
          <w:jc w:val="center"/>
        </w:trPr>
        <w:tc>
          <w:tcPr>
            <w:tcW w:w="3120" w:type="dxa"/>
          </w:tcPr>
          <w:p w14:paraId="5491099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Donor_4</w:t>
            </w:r>
          </w:p>
        </w:tc>
        <w:tc>
          <w:tcPr>
            <w:tcW w:w="3120" w:type="dxa"/>
          </w:tcPr>
          <w:p w14:paraId="5B2A02F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HBM379.QCJT.435</w:t>
            </w:r>
          </w:p>
        </w:tc>
        <w:tc>
          <w:tcPr>
            <w:tcW w:w="3120" w:type="dxa"/>
          </w:tcPr>
          <w:p w14:paraId="75C12D33"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Donor_4/snRNAseq/HBM379.QCJT.435/HBM379.QCJT.435.tsv</w:t>
            </w:r>
          </w:p>
        </w:tc>
      </w:tr>
    </w:tbl>
    <w:p w14:paraId="2528603D"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That a public repository serves most of its files at stable URLs and one export only through a browser is worth noticing rather than working around. Automating an acquisition means finding these boundaries, and they are not documented anywhere except by trying.</w:t>
      </w:r>
    </w:p>
    <w:p w14:paraId="1900C640"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A.5 GTEx</w:t>
      </w:r>
    </w:p>
    <w:p w14:paraId="4DC240AB"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mkdir -p data/source/GTEX</w:t>
      </w:r>
      <w:r w:rsidRPr="007368B5">
        <w:rPr>
          <w:rFonts w:ascii="Times New Roman" w:hAnsi="Times New Roman" w:cs="Times New Roman"/>
          <w:sz w:val="17"/>
        </w:rPr>
        <w:br/>
        <w:t>GTEX=https://storage.googleapis.com/adult-gtex</w:t>
      </w:r>
      <w:r w:rsidRPr="007368B5">
        <w:rPr>
          <w:rFonts w:ascii="Times New Roman" w:hAnsi="Times New Roman" w:cs="Times New Roman"/>
          <w:sz w:val="17"/>
        </w:rPr>
        <w:br/>
        <w:t>curl -L -o data/source/GTEX/gene_tpm_v10_lung.gct.gz \</w:t>
      </w:r>
      <w:r w:rsidRPr="007368B5">
        <w:rPr>
          <w:rFonts w:ascii="Times New Roman" w:hAnsi="Times New Roman" w:cs="Times New Roman"/>
          <w:sz w:val="17"/>
        </w:rPr>
        <w:br/>
        <w:t xml:space="preserve">  $GTEX/bulk-gex/v10/rna-seq/tpms-by-tissue/gene_tpm_v10_lung.gct.gz</w:t>
      </w:r>
      <w:r w:rsidRPr="007368B5">
        <w:rPr>
          <w:rFonts w:ascii="Times New Roman" w:hAnsi="Times New Roman" w:cs="Times New Roman"/>
          <w:sz w:val="17"/>
        </w:rPr>
        <w:br/>
        <w:t>curl -L -o data/source/GTEX/gene_reads_v10_lung.gct.gz \</w:t>
      </w:r>
      <w:r w:rsidRPr="007368B5">
        <w:rPr>
          <w:rFonts w:ascii="Times New Roman" w:hAnsi="Times New Roman" w:cs="Times New Roman"/>
          <w:sz w:val="17"/>
        </w:rPr>
        <w:br/>
        <w:t xml:space="preserve">  $GTEX/bulk-gex/v10/rna-seq/counts-by-tissue/gene_reads_v10_lung.gct.gz</w:t>
      </w:r>
      <w:r w:rsidRPr="007368B5">
        <w:rPr>
          <w:rFonts w:ascii="Times New Roman" w:hAnsi="Times New Roman" w:cs="Times New Roman"/>
          <w:sz w:val="17"/>
        </w:rPr>
        <w:br/>
        <w:t>curl -L -o data/source/GTEX/GTEx_Analysis_v10_Annotations_SampleAttributesDS.txt \</w:t>
      </w:r>
      <w:r w:rsidRPr="007368B5">
        <w:rPr>
          <w:rFonts w:ascii="Times New Roman" w:hAnsi="Times New Roman" w:cs="Times New Roman"/>
          <w:sz w:val="17"/>
        </w:rPr>
        <w:br/>
        <w:t xml:space="preserve">  $GTEX/annotations/v10/metadata-files/GTEx_Analysis_v10_Annotations_SampleAttributesDS.txt</w:t>
      </w:r>
      <w:r w:rsidRPr="007368B5">
        <w:rPr>
          <w:rFonts w:ascii="Times New Roman" w:hAnsi="Times New Roman" w:cs="Times New Roman"/>
          <w:sz w:val="17"/>
        </w:rPr>
        <w:br/>
        <w:t>curl -L -o data/source/GTEX/GTEx_Analysis_v10_Annotations_SubjectPhenotypesDS.txt \</w:t>
      </w:r>
      <w:r w:rsidRPr="007368B5">
        <w:rPr>
          <w:rFonts w:ascii="Times New Roman" w:hAnsi="Times New Roman" w:cs="Times New Roman"/>
          <w:sz w:val="17"/>
        </w:rPr>
        <w:br/>
        <w:t xml:space="preserve">  $GTEX/annotations/v10/metadata-files/GTEx_Analysis_v10_Annotations_SubjectPhenotypesDS.txt</w:t>
      </w:r>
    </w:p>
    <w:p w14:paraId="3037BB89"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A.6 GEO</w:t>
      </w:r>
    </w:p>
    <w:p w14:paraId="65224152"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mkdir -p data/source/GEO/GSE150910</w:t>
      </w:r>
      <w:r w:rsidRPr="007368B5">
        <w:rPr>
          <w:rFonts w:ascii="Times New Roman" w:hAnsi="Times New Roman" w:cs="Times New Roman"/>
          <w:sz w:val="17"/>
        </w:rPr>
        <w:br/>
        <w:t>GEO=https://ftp.ncbi.nlm.nih.gov/geo/series/GSE150nnn/GSE150910</w:t>
      </w:r>
      <w:r w:rsidRPr="007368B5">
        <w:rPr>
          <w:rFonts w:ascii="Times New Roman" w:hAnsi="Times New Roman" w:cs="Times New Roman"/>
          <w:sz w:val="17"/>
        </w:rPr>
        <w:br/>
        <w:t>curl -L -o data/source/GEO/GSE150910/GSE150910_gene-level_count_file.csv.gz \</w:t>
      </w:r>
      <w:r w:rsidRPr="007368B5">
        <w:rPr>
          <w:rFonts w:ascii="Times New Roman" w:hAnsi="Times New Roman" w:cs="Times New Roman"/>
          <w:sz w:val="17"/>
        </w:rPr>
        <w:br/>
        <w:t xml:space="preserve">  $GEO/suppl/GSE150910_gene-level_count_file.csv.gz</w:t>
      </w:r>
      <w:r w:rsidRPr="007368B5">
        <w:rPr>
          <w:rFonts w:ascii="Times New Roman" w:hAnsi="Times New Roman" w:cs="Times New Roman"/>
          <w:sz w:val="17"/>
        </w:rPr>
        <w:br/>
        <w:t>curl -L -o data/source/GEO/GSE150910/GSE150910_series_matrix.txt.gz \</w:t>
      </w:r>
      <w:r w:rsidRPr="007368B5">
        <w:rPr>
          <w:rFonts w:ascii="Times New Roman" w:hAnsi="Times New Roman" w:cs="Times New Roman"/>
          <w:sz w:val="17"/>
        </w:rPr>
        <w:br/>
        <w:t xml:space="preserve">  $GEO/matrix/GSE150910_series_matrix.txt.gz</w:t>
      </w:r>
    </w:p>
    <w:p w14:paraId="6E30DCB9"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A.7 NASA OSDR</w:t>
      </w:r>
    </w:p>
    <w:p w14:paraId="6390A1A9"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OSDR serves files through a study-scoped download endpoint. The ISA metadata arrives as one archive whose members are flat, so it must be expanded into the directory name the config resolves:</w:t>
      </w:r>
    </w:p>
    <w:p w14:paraId="3E96C55C"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mkdir -p data/source/OSDR/OSD-248</w:t>
      </w:r>
      <w:r w:rsidRPr="007368B5">
        <w:rPr>
          <w:rFonts w:ascii="Times New Roman" w:hAnsi="Times New Roman" w:cs="Times New Roman"/>
          <w:sz w:val="17"/>
        </w:rPr>
        <w:br/>
        <w:t>OSDR="https://osdr.nasa.gov/geode-py/ws/studies/OSD-248/download?source=datamanager&amp;file="</w:t>
      </w:r>
      <w:r w:rsidRPr="007368B5">
        <w:rPr>
          <w:rFonts w:ascii="Times New Roman" w:hAnsi="Times New Roman" w:cs="Times New Roman"/>
          <w:sz w:val="17"/>
        </w:rPr>
        <w:br/>
        <w:t>cd data/source/OSDR/OSD-248</w:t>
      </w:r>
      <w:r w:rsidRPr="007368B5">
        <w:rPr>
          <w:rFonts w:ascii="Times New Roman" w:hAnsi="Times New Roman" w:cs="Times New Roman"/>
          <w:sz w:val="17"/>
        </w:rPr>
        <w:br/>
        <w:t>curl -L -o GLDS-248_rna_seq_RSEM_Unnormalized_Counts_rRNArm_GLbulkRNAseq.csv \</w:t>
      </w:r>
      <w:r w:rsidRPr="007368B5">
        <w:rPr>
          <w:rFonts w:ascii="Times New Roman" w:hAnsi="Times New Roman" w:cs="Times New Roman"/>
          <w:sz w:val="17"/>
        </w:rPr>
        <w:br/>
        <w:t xml:space="preserve">  "${OSDR}GLDS-248_rna_seq_RSEM_Unnormalized_Counts_rRNArm_GLbulkRNAseq.csv"</w:t>
      </w:r>
      <w:r w:rsidRPr="007368B5">
        <w:rPr>
          <w:rFonts w:ascii="Times New Roman" w:hAnsi="Times New Roman" w:cs="Times New Roman"/>
          <w:sz w:val="17"/>
        </w:rPr>
        <w:br/>
        <w:t>curl -L -o GLDS-248_rna_seq_differential_expression_rRNArm_GLbulkRNAseq.csv \</w:t>
      </w:r>
      <w:r w:rsidRPr="007368B5">
        <w:rPr>
          <w:rFonts w:ascii="Times New Roman" w:hAnsi="Times New Roman" w:cs="Times New Roman"/>
          <w:sz w:val="17"/>
        </w:rPr>
        <w:br/>
        <w:t xml:space="preserve">  "${OSDR}GLDS-248_rna_seq_differential_expression_rRNArm_GLbulkRNAseq.csv"</w:t>
      </w:r>
      <w:r w:rsidRPr="007368B5">
        <w:rPr>
          <w:rFonts w:ascii="Times New Roman" w:hAnsi="Times New Roman" w:cs="Times New Roman"/>
          <w:sz w:val="17"/>
        </w:rPr>
        <w:br/>
        <w:t>curl -L -o GLDS-248_rna_seq_contrasts_GLbulkRNAseq.csv \</w:t>
      </w:r>
      <w:r w:rsidRPr="007368B5">
        <w:rPr>
          <w:rFonts w:ascii="Times New Roman" w:hAnsi="Times New Roman" w:cs="Times New Roman"/>
          <w:sz w:val="17"/>
        </w:rPr>
        <w:br/>
        <w:t xml:space="preserve">  "${OSDR}GLDS-248_rna_seq_contrasts_GLbulkRNAseq.csv"</w:t>
      </w:r>
      <w:r w:rsidRPr="007368B5">
        <w:rPr>
          <w:rFonts w:ascii="Times New Roman" w:hAnsi="Times New Roman" w:cs="Times New Roman"/>
          <w:sz w:val="17"/>
        </w:rPr>
        <w:br/>
        <w:t>curl -L -o isa.zip "${OSDR}OSD-248_metadata_OSD-248-ISA.zip"</w:t>
      </w:r>
      <w:r w:rsidRPr="007368B5">
        <w:rPr>
          <w:rFonts w:ascii="Times New Roman" w:hAnsi="Times New Roman" w:cs="Times New Roman"/>
          <w:sz w:val="17"/>
        </w:rPr>
        <w:br/>
        <w:t>unzip -o isa.zip -d OSD-248_metadata_GLDS-248-ISA &amp;&amp; rm isa.zip</w:t>
      </w:r>
      <w:r w:rsidRPr="007368B5">
        <w:rPr>
          <w:rFonts w:ascii="Times New Roman" w:hAnsi="Times New Roman" w:cs="Times New Roman"/>
          <w:sz w:val="17"/>
        </w:rPr>
        <w:br/>
        <w:t>cd -</w:t>
      </w:r>
    </w:p>
    <w:p w14:paraId="391E22A7"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The archive is named </w:t>
      </w:r>
      <w:r w:rsidRPr="007368B5">
        <w:rPr>
          <w:rFonts w:ascii="Times New Roman" w:hAnsi="Times New Roman" w:cs="Times New Roman"/>
          <w:color w:val="1A3E6E"/>
          <w:sz w:val="19"/>
        </w:rPr>
        <w:t>OSD-248_metadata_OSD-248-ISA.zip</w:t>
      </w:r>
      <w:r w:rsidRPr="007368B5">
        <w:rPr>
          <w:rFonts w:ascii="Times New Roman" w:hAnsi="Times New Roman" w:cs="Times New Roman"/>
        </w:rPr>
        <w:t xml:space="preserve"> while </w:t>
      </w:r>
      <w:r w:rsidRPr="007368B5">
        <w:rPr>
          <w:rFonts w:ascii="Times New Roman" w:hAnsi="Times New Roman" w:cs="Times New Roman"/>
          <w:color w:val="1A3E6E"/>
          <w:sz w:val="19"/>
        </w:rPr>
        <w:t>config/paths.yaml</w:t>
      </w:r>
      <w:r w:rsidRPr="007368B5">
        <w:rPr>
          <w:rFonts w:ascii="Times New Roman" w:hAnsi="Times New Roman" w:cs="Times New Roman"/>
        </w:rPr>
        <w:t xml:space="preserve"> resolves </w:t>
      </w:r>
      <w:r w:rsidRPr="007368B5">
        <w:rPr>
          <w:rFonts w:ascii="Times New Roman" w:hAnsi="Times New Roman" w:cs="Times New Roman"/>
          <w:color w:val="1A3E6E"/>
          <w:sz w:val="19"/>
        </w:rPr>
        <w:t>OSD-248_metadata_GLDS-248-ISA/</w:t>
      </w:r>
      <w:r w:rsidRPr="007368B5">
        <w:rPr>
          <w:rFonts w:ascii="Times New Roman" w:hAnsi="Times New Roman" w:cs="Times New Roman"/>
        </w:rPr>
        <w:t xml:space="preserve">, which is why </w:t>
      </w:r>
      <w:r w:rsidRPr="007368B5">
        <w:rPr>
          <w:rFonts w:ascii="Times New Roman" w:hAnsi="Times New Roman" w:cs="Times New Roman"/>
          <w:color w:val="1A3E6E"/>
          <w:sz w:val="19"/>
        </w:rPr>
        <w:t>unzip -d</w:t>
      </w:r>
      <w:r w:rsidRPr="007368B5">
        <w:rPr>
          <w:rFonts w:ascii="Times New Roman" w:hAnsi="Times New Roman" w:cs="Times New Roman"/>
        </w:rPr>
        <w:t xml:space="preserve"> names the destination explicitly. To see what a study holds before choosing files, </w:t>
      </w:r>
      <w:r w:rsidRPr="007368B5">
        <w:rPr>
          <w:rFonts w:ascii="Times New Roman" w:hAnsi="Times New Roman" w:cs="Times New Roman"/>
          <w:color w:val="1A3E6E"/>
          <w:sz w:val="19"/>
        </w:rPr>
        <w:t>https://osdr.nasa.gov/osdr/data/osd/files/248</w:t>
      </w:r>
      <w:r w:rsidRPr="007368B5">
        <w:rPr>
          <w:rFonts w:ascii="Times New Roman" w:hAnsi="Times New Roman" w:cs="Times New Roman"/>
        </w:rPr>
        <w:t xml:space="preserve"> returns the full listing as JSON.</w:t>
      </w:r>
    </w:p>
    <w:p w14:paraId="54243E67"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A.8 Confirming what you retrieved</w:t>
      </w:r>
    </w:p>
    <w:p w14:paraId="0D7AD82D" w14:textId="77777777" w:rsidR="007368B5" w:rsidRPr="007368B5" w:rsidRDefault="007368B5" w:rsidP="007368B5">
      <w:pPr>
        <w:shd w:val="clear" w:color="auto" w:fill="F4F4F4"/>
        <w:spacing w:before="80" w:after="160"/>
        <w:ind w:left="317"/>
        <w:rPr>
          <w:rFonts w:ascii="Times New Roman" w:hAnsi="Times New Roman" w:cs="Times New Roman"/>
        </w:rPr>
      </w:pPr>
      <w:r w:rsidRPr="007368B5">
        <w:rPr>
          <w:rFonts w:ascii="Times New Roman" w:hAnsi="Times New Roman" w:cs="Times New Roman"/>
          <w:sz w:val="17"/>
        </w:rPr>
        <w:t>python scripts/verify_access.py</w:t>
      </w:r>
    </w:p>
    <w:p w14:paraId="3CC3F942"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One caution, and it is the reason this course asks you to date-stamp a measurement. Portal files are republished. The OSD-248 ISA assay table measured 0.16 MB on the authoring run and measures 0.22 MB today, so a total </w:t>
      </w:r>
      <w:r w:rsidRPr="007368B5">
        <w:rPr>
          <w:rFonts w:ascii="Times New Roman" w:hAnsi="Times New Roman" w:cs="Times New Roman"/>
        </w:rPr>
        <w:lastRenderedPageBreak/>
        <w:t>recomputed now will not match the committed manifest to the last decimal. That is the repository behaving normally, not an error in your download. A size that is wildly different, or a file that is absent, is a real failure; a small drift in a metadata table is provenance, and the right response is to record what you measured and when.</w:t>
      </w:r>
    </w:p>
    <w:p w14:paraId="453E3AAF" w14:textId="77777777" w:rsidR="007368B5" w:rsidRPr="007368B5" w:rsidRDefault="007368B5" w:rsidP="007368B5">
      <w:pPr>
        <w:rPr>
          <w:rFonts w:ascii="Times New Roman" w:hAnsi="Times New Roman" w:cs="Times New Roman"/>
        </w:rPr>
      </w:pPr>
      <w:r w:rsidRPr="007368B5">
        <w:rPr>
          <w:rFonts w:ascii="Times New Roman" w:hAnsi="Times New Roman" w:cs="Times New Roman"/>
        </w:rPr>
        <w:br w:type="page"/>
      </w:r>
    </w:p>
    <w:p w14:paraId="7F5E2004"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lastRenderedPageBreak/>
        <w:t>Appendix B: parameters</w:t>
      </w:r>
    </w:p>
    <w:p w14:paraId="58FF2E7D" w14:textId="77777777" w:rsidR="007368B5" w:rsidRPr="007368B5" w:rsidRDefault="007368B5" w:rsidP="007368B5">
      <w:pPr>
        <w:spacing w:after="140"/>
        <w:rPr>
          <w:rFonts w:ascii="Times New Roman" w:hAnsi="Times New Roman" w:cs="Times New Roman"/>
        </w:rPr>
      </w:pPr>
      <w:r w:rsidRPr="007368B5">
        <w:rPr>
          <w:rFonts w:ascii="Times New Roman" w:hAnsi="Times New Roman" w:cs="Times New Roman"/>
        </w:rPr>
        <w:t xml:space="preserve">Config keys and defaults for each Methods step. Section numbers match the Methods subsections; values are the live entries in </w:t>
      </w:r>
      <w:r w:rsidRPr="007368B5">
        <w:rPr>
          <w:rFonts w:ascii="Times New Roman" w:hAnsi="Times New Roman" w:cs="Times New Roman"/>
          <w:color w:val="1A3E6E"/>
          <w:sz w:val="19"/>
        </w:rPr>
        <w:t>config/paths.yaml</w:t>
      </w:r>
      <w:r w:rsidRPr="007368B5">
        <w:rPr>
          <w:rFonts w:ascii="Times New Roman" w:hAnsi="Times New Roman" w:cs="Times New Roman"/>
        </w:rPr>
        <w:t xml:space="preserve"> under </w:t>
      </w:r>
      <w:r w:rsidRPr="007368B5">
        <w:rPr>
          <w:rFonts w:ascii="Times New Roman" w:hAnsi="Times New Roman" w:cs="Times New Roman"/>
          <w:color w:val="1A3E6E"/>
          <w:sz w:val="19"/>
        </w:rPr>
        <w:t>module1</w:t>
      </w:r>
      <w:r w:rsidRPr="007368B5">
        <w:rPr>
          <w:rFonts w:ascii="Times New Roman" w:hAnsi="Times New Roman" w:cs="Times New Roman"/>
        </w:rPr>
        <w:t xml:space="preserve"> (and related keys).</w:t>
      </w:r>
    </w:p>
    <w:p w14:paraId="50A766F9"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1. Identify and place teaching files</w:t>
      </w:r>
    </w:p>
    <w:tbl>
      <w:tblPr>
        <w:tblStyle w:val="TableGrid"/>
        <w:tblW w:w="0" w:type="auto"/>
        <w:jc w:val="center"/>
        <w:tblLook w:val="04A0" w:firstRow="1" w:lastRow="0" w:firstColumn="1" w:lastColumn="0" w:noHBand="0" w:noVBand="1"/>
      </w:tblPr>
      <w:tblGrid>
        <w:gridCol w:w="1847"/>
        <w:gridCol w:w="2096"/>
        <w:gridCol w:w="1808"/>
        <w:gridCol w:w="1802"/>
        <w:gridCol w:w="1797"/>
      </w:tblGrid>
      <w:tr w:rsidR="007368B5" w:rsidRPr="007368B5" w14:paraId="758B1AA4" w14:textId="77777777" w:rsidTr="00151104">
        <w:trPr>
          <w:jc w:val="center"/>
        </w:trPr>
        <w:tc>
          <w:tcPr>
            <w:tcW w:w="1872" w:type="dxa"/>
            <w:shd w:val="clear" w:color="auto" w:fill="DCE6F1"/>
          </w:tcPr>
          <w:p w14:paraId="4126381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Config key</w:t>
            </w:r>
          </w:p>
        </w:tc>
        <w:tc>
          <w:tcPr>
            <w:tcW w:w="1872" w:type="dxa"/>
            <w:shd w:val="clear" w:color="auto" w:fill="DCE6F1"/>
          </w:tcPr>
          <w:p w14:paraId="7241EDAB"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Default</w:t>
            </w:r>
          </w:p>
        </w:tc>
        <w:tc>
          <w:tcPr>
            <w:tcW w:w="1872" w:type="dxa"/>
            <w:shd w:val="clear" w:color="auto" w:fill="DCE6F1"/>
          </w:tcPr>
          <w:p w14:paraId="66479EDF"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Definition</w:t>
            </w:r>
          </w:p>
        </w:tc>
        <w:tc>
          <w:tcPr>
            <w:tcW w:w="1872" w:type="dxa"/>
            <w:shd w:val="clear" w:color="auto" w:fill="DCE6F1"/>
          </w:tcPr>
          <w:p w14:paraId="64A6C479"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If modified</w:t>
            </w:r>
          </w:p>
        </w:tc>
        <w:tc>
          <w:tcPr>
            <w:tcW w:w="1872" w:type="dxa"/>
            <w:shd w:val="clear" w:color="auto" w:fill="DCE6F1"/>
          </w:tcPr>
          <w:p w14:paraId="6CCC52A3"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Impact on results</w:t>
            </w:r>
          </w:p>
        </w:tc>
      </w:tr>
      <w:tr w:rsidR="007368B5" w:rsidRPr="007368B5" w14:paraId="7382FAC0" w14:textId="77777777" w:rsidTr="00151104">
        <w:trPr>
          <w:jc w:val="center"/>
        </w:trPr>
        <w:tc>
          <w:tcPr>
            <w:tcW w:w="1872" w:type="dxa"/>
          </w:tcPr>
          <w:p w14:paraId="748A0747"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module1.donor_label</w:t>
            </w:r>
          </w:p>
        </w:tc>
        <w:tc>
          <w:tcPr>
            <w:tcW w:w="1872" w:type="dxa"/>
          </w:tcPr>
          <w:p w14:paraId="6E4618D0"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Donor_1</w:t>
            </w:r>
          </w:p>
        </w:tc>
        <w:tc>
          <w:tcPr>
            <w:tcW w:w="1872" w:type="dxa"/>
          </w:tcPr>
          <w:p w14:paraId="1232E4A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Notebook dry-run donor for single-block QC figures</w:t>
            </w:r>
          </w:p>
        </w:tc>
        <w:tc>
          <w:tcPr>
            <w:tcW w:w="1872" w:type="dxa"/>
          </w:tcPr>
          <w:p w14:paraId="457B266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Switch donor</w:t>
            </w:r>
          </w:p>
        </w:tc>
        <w:tc>
          <w:tcPr>
            <w:tcW w:w="1872" w:type="dxa"/>
          </w:tcPr>
          <w:p w14:paraId="207CEC5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Changes which block is used for Module 1 scaffold plots only</w:t>
            </w:r>
          </w:p>
        </w:tc>
      </w:tr>
      <w:tr w:rsidR="007368B5" w:rsidRPr="007368B5" w14:paraId="0DBB6352" w14:textId="77777777" w:rsidTr="00151104">
        <w:trPr>
          <w:jc w:val="center"/>
        </w:trPr>
        <w:tc>
          <w:tcPr>
            <w:tcW w:w="1872" w:type="dxa"/>
          </w:tcPr>
          <w:p w14:paraId="02DA865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module1.block_id</w:t>
            </w:r>
            <w:r w:rsidRPr="007368B5">
              <w:rPr>
                <w:rFonts w:ascii="Times New Roman" w:hAnsi="Times New Roman" w:cs="Times New Roman"/>
                <w:sz w:val="17"/>
              </w:rPr>
              <w:t xml:space="preserve"> / </w:t>
            </w:r>
            <w:r w:rsidRPr="007368B5">
              <w:rPr>
                <w:rFonts w:ascii="Times New Roman" w:hAnsi="Times New Roman" w:cs="Times New Roman"/>
                <w:color w:val="1A3E6E"/>
                <w:sz w:val="15"/>
              </w:rPr>
              <w:t>primary_id</w:t>
            </w:r>
          </w:p>
        </w:tc>
        <w:tc>
          <w:tcPr>
            <w:tcW w:w="1872" w:type="dxa"/>
          </w:tcPr>
          <w:p w14:paraId="1460BBB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HBM347.VDHS.379</w:t>
            </w:r>
          </w:p>
        </w:tc>
        <w:tc>
          <w:tcPr>
            <w:tcW w:w="1872" w:type="dxa"/>
          </w:tcPr>
          <w:p w14:paraId="5E0DCB2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Primary teaching block ID and folder name</w:t>
            </w:r>
          </w:p>
        </w:tc>
        <w:tc>
          <w:tcPr>
            <w:tcW w:w="1872" w:type="dxa"/>
          </w:tcPr>
          <w:p w14:paraId="52374AB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Pin another primary</w:t>
            </w:r>
          </w:p>
        </w:tc>
        <w:tc>
          <w:tcPr>
            <w:tcW w:w="1872" w:type="dxa"/>
          </w:tcPr>
          <w:p w14:paraId="2E3A4D7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New matrix and barcodes; full Module 1+2 rebuild</w:t>
            </w:r>
          </w:p>
        </w:tc>
      </w:tr>
      <w:tr w:rsidR="007368B5" w:rsidRPr="007368B5" w14:paraId="5085D3FE" w14:textId="77777777" w:rsidTr="00151104">
        <w:trPr>
          <w:jc w:val="center"/>
        </w:trPr>
        <w:tc>
          <w:tcPr>
            <w:tcW w:w="1872" w:type="dxa"/>
          </w:tcPr>
          <w:p w14:paraId="68DDE906"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module1.processed_id</w:t>
            </w:r>
          </w:p>
        </w:tc>
        <w:tc>
          <w:tcPr>
            <w:tcW w:w="1872" w:type="dxa"/>
          </w:tcPr>
          <w:p w14:paraId="244179C7"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HBM675.RVGB.258</w:t>
            </w:r>
          </w:p>
        </w:tc>
        <w:tc>
          <w:tcPr>
            <w:tcW w:w="1872" w:type="dxa"/>
          </w:tcPr>
          <w:p w14:paraId="7EE97EA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Public processed release actually downloaded</w:t>
            </w:r>
          </w:p>
        </w:tc>
        <w:tc>
          <w:tcPr>
            <w:tcW w:w="1872" w:type="dxa"/>
          </w:tcPr>
          <w:p w14:paraId="5EAD228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Pin different descendant</w:t>
            </w:r>
          </w:p>
        </w:tc>
        <w:tc>
          <w:tcPr>
            <w:tcW w:w="1872" w:type="dxa"/>
          </w:tcPr>
          <w:p w14:paraId="3311E4D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Different bytes and possibly barcode set; re-verify sizes</w:t>
            </w:r>
          </w:p>
        </w:tc>
      </w:tr>
      <w:tr w:rsidR="007368B5" w:rsidRPr="007368B5" w14:paraId="3527317B" w14:textId="77777777" w:rsidTr="00151104">
        <w:trPr>
          <w:jc w:val="center"/>
        </w:trPr>
        <w:tc>
          <w:tcPr>
            <w:tcW w:w="1872" w:type="dxa"/>
          </w:tcPr>
          <w:p w14:paraId="39228BB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module1.primary_doi</w:t>
            </w:r>
          </w:p>
        </w:tc>
        <w:tc>
          <w:tcPr>
            <w:tcW w:w="1872" w:type="dxa"/>
          </w:tcPr>
          <w:p w14:paraId="7D56E08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10.35079/HBM347.VDHS.379</w:t>
            </w:r>
          </w:p>
        </w:tc>
        <w:tc>
          <w:tcPr>
            <w:tcW w:w="1872" w:type="dxa"/>
          </w:tcPr>
          <w:p w14:paraId="08F01D8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Citation DOI for the primary</w:t>
            </w:r>
          </w:p>
        </w:tc>
        <w:tc>
          <w:tcPr>
            <w:tcW w:w="1872" w:type="dxa"/>
          </w:tcPr>
          <w:p w14:paraId="7EA92AA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Editorial only</w:t>
            </w:r>
          </w:p>
        </w:tc>
        <w:tc>
          <w:tcPr>
            <w:tcW w:w="1872" w:type="dxa"/>
          </w:tcPr>
          <w:p w14:paraId="3AD5BFA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Does not change analysis matrices</w:t>
            </w:r>
          </w:p>
        </w:tc>
      </w:tr>
      <w:tr w:rsidR="007368B5" w:rsidRPr="007368B5" w14:paraId="17660A5F" w14:textId="77777777" w:rsidTr="00151104">
        <w:trPr>
          <w:jc w:val="center"/>
        </w:trPr>
        <w:tc>
          <w:tcPr>
            <w:tcW w:w="1872" w:type="dxa"/>
          </w:tcPr>
          <w:p w14:paraId="3BA2092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module2.inputs[*]</w:t>
            </w:r>
          </w:p>
        </w:tc>
        <w:tc>
          <w:tcPr>
            <w:tcW w:w="1872" w:type="dxa"/>
          </w:tcPr>
          <w:p w14:paraId="52463CB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four donor blocks</w:t>
            </w:r>
          </w:p>
        </w:tc>
        <w:tc>
          <w:tcPr>
            <w:tcW w:w="1872" w:type="dxa"/>
          </w:tcPr>
          <w:p w14:paraId="6B93211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Full integration cohort Module 1 verifies</w:t>
            </w:r>
          </w:p>
        </w:tc>
        <w:tc>
          <w:tcPr>
            <w:tcW w:w="1872" w:type="dxa"/>
          </w:tcPr>
          <w:p w14:paraId="066AA5C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Add/drop a donor</w:t>
            </w:r>
          </w:p>
        </w:tc>
        <w:tc>
          <w:tcPr>
            <w:tcW w:w="1872" w:type="dxa"/>
          </w:tcPr>
          <w:p w14:paraId="4465FB4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Changes inventory, QC objects, and all Module 2 counts</w:t>
            </w:r>
          </w:p>
        </w:tc>
      </w:tr>
    </w:tbl>
    <w:p w14:paraId="40A892BD"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2. Inventory and measured-size verification</w:t>
      </w:r>
    </w:p>
    <w:tbl>
      <w:tblPr>
        <w:tblStyle w:val="TableGrid"/>
        <w:tblW w:w="0" w:type="auto"/>
        <w:jc w:val="center"/>
        <w:tblLook w:val="04A0" w:firstRow="1" w:lastRow="0" w:firstColumn="1" w:lastColumn="0" w:noHBand="0" w:noVBand="1"/>
      </w:tblPr>
      <w:tblGrid>
        <w:gridCol w:w="2274"/>
        <w:gridCol w:w="2954"/>
        <w:gridCol w:w="1509"/>
        <w:gridCol w:w="1264"/>
        <w:gridCol w:w="1349"/>
      </w:tblGrid>
      <w:tr w:rsidR="007368B5" w:rsidRPr="007368B5" w14:paraId="36275B80" w14:textId="77777777" w:rsidTr="00151104">
        <w:trPr>
          <w:jc w:val="center"/>
        </w:trPr>
        <w:tc>
          <w:tcPr>
            <w:tcW w:w="1872" w:type="dxa"/>
            <w:shd w:val="clear" w:color="auto" w:fill="DCE6F1"/>
          </w:tcPr>
          <w:p w14:paraId="1E12274B"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Config key</w:t>
            </w:r>
          </w:p>
        </w:tc>
        <w:tc>
          <w:tcPr>
            <w:tcW w:w="1872" w:type="dxa"/>
            <w:shd w:val="clear" w:color="auto" w:fill="DCE6F1"/>
          </w:tcPr>
          <w:p w14:paraId="397A186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Default</w:t>
            </w:r>
          </w:p>
        </w:tc>
        <w:tc>
          <w:tcPr>
            <w:tcW w:w="1872" w:type="dxa"/>
            <w:shd w:val="clear" w:color="auto" w:fill="DCE6F1"/>
          </w:tcPr>
          <w:p w14:paraId="1C07DF9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Definition</w:t>
            </w:r>
          </w:p>
        </w:tc>
        <w:tc>
          <w:tcPr>
            <w:tcW w:w="1872" w:type="dxa"/>
            <w:shd w:val="clear" w:color="auto" w:fill="DCE6F1"/>
          </w:tcPr>
          <w:p w14:paraId="7518B2F0"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If modified</w:t>
            </w:r>
          </w:p>
        </w:tc>
        <w:tc>
          <w:tcPr>
            <w:tcW w:w="1872" w:type="dxa"/>
            <w:shd w:val="clear" w:color="auto" w:fill="DCE6F1"/>
          </w:tcPr>
          <w:p w14:paraId="4F95854B"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Impact on results</w:t>
            </w:r>
          </w:p>
        </w:tc>
      </w:tr>
      <w:tr w:rsidR="007368B5" w:rsidRPr="007368B5" w14:paraId="500DF872" w14:textId="77777777" w:rsidTr="00151104">
        <w:trPr>
          <w:jc w:val="center"/>
        </w:trPr>
        <w:tc>
          <w:tcPr>
            <w:tcW w:w="1872" w:type="dxa"/>
          </w:tcPr>
          <w:p w14:paraId="1EEDFB6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paths.hubmap_source</w:t>
            </w:r>
          </w:p>
        </w:tc>
        <w:tc>
          <w:tcPr>
            <w:tcW w:w="1872" w:type="dxa"/>
          </w:tcPr>
          <w:p w14:paraId="2AD2068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data/source/HUBMAP</w:t>
            </w:r>
          </w:p>
        </w:tc>
        <w:tc>
          <w:tcPr>
            <w:tcW w:w="1872" w:type="dxa"/>
          </w:tcPr>
          <w:p w14:paraId="5650D1F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Root for donor trees</w:t>
            </w:r>
          </w:p>
        </w:tc>
        <w:tc>
          <w:tcPr>
            <w:tcW w:w="1872" w:type="dxa"/>
          </w:tcPr>
          <w:p w14:paraId="7593CCA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Relocate tree</w:t>
            </w:r>
          </w:p>
        </w:tc>
        <w:tc>
          <w:tcPr>
            <w:tcW w:w="1872" w:type="dxa"/>
          </w:tcPr>
          <w:p w14:paraId="421F911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Inventory and verification paths break until files move</w:t>
            </w:r>
          </w:p>
        </w:tc>
      </w:tr>
      <w:tr w:rsidR="007368B5" w:rsidRPr="007368B5" w14:paraId="57D65C74" w14:textId="77777777" w:rsidTr="00151104">
        <w:trPr>
          <w:jc w:val="center"/>
        </w:trPr>
        <w:tc>
          <w:tcPr>
            <w:tcW w:w="1872" w:type="dxa"/>
          </w:tcPr>
          <w:p w14:paraId="4301062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module2.inputs</w:t>
            </w:r>
          </w:p>
        </w:tc>
        <w:tc>
          <w:tcPr>
            <w:tcW w:w="1872" w:type="dxa"/>
          </w:tcPr>
          <w:p w14:paraId="1954FC3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four blocks</w:t>
            </w:r>
          </w:p>
        </w:tc>
        <w:tc>
          <w:tcPr>
            <w:tcW w:w="1872" w:type="dxa"/>
          </w:tcPr>
          <w:p w14:paraId="6C5D078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Teaching set used by </w:t>
            </w:r>
            <w:r w:rsidRPr="007368B5">
              <w:rPr>
                <w:rFonts w:ascii="Times New Roman" w:hAnsi="Times New Roman" w:cs="Times New Roman"/>
                <w:color w:val="1A3E6E"/>
                <w:sz w:val="15"/>
              </w:rPr>
              <w:t>teaching_inputs()</w:t>
            </w:r>
          </w:p>
        </w:tc>
        <w:tc>
          <w:tcPr>
            <w:tcW w:w="1872" w:type="dxa"/>
          </w:tcPr>
          <w:p w14:paraId="47F774D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 cohort</w:t>
            </w:r>
          </w:p>
        </w:tc>
        <w:tc>
          <w:tcPr>
            <w:tcW w:w="1872" w:type="dxa"/>
          </w:tcPr>
          <w:p w14:paraId="7B49C34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Manifest rows and verification targets change</w:t>
            </w:r>
          </w:p>
        </w:tc>
      </w:tr>
      <w:tr w:rsidR="007368B5" w:rsidRPr="007368B5" w14:paraId="7CFCCBE8" w14:textId="77777777" w:rsidTr="00151104">
        <w:trPr>
          <w:jc w:val="center"/>
        </w:trPr>
        <w:tc>
          <w:tcPr>
            <w:tcW w:w="1872" w:type="dxa"/>
          </w:tcPr>
          <w:p w14:paraId="55A5B52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module1.discovery.live_query</w:t>
            </w:r>
          </w:p>
        </w:tc>
        <w:tc>
          <w:tcPr>
            <w:tcW w:w="1872" w:type="dxa"/>
          </w:tcPr>
          <w:p w14:paraId="5124031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false</w:t>
            </w:r>
          </w:p>
        </w:tc>
        <w:tc>
          <w:tcPr>
            <w:tcW w:w="1872" w:type="dxa"/>
          </w:tcPr>
          <w:p w14:paraId="6D978CB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Live SmartAPI / Search API (deferred)</w:t>
            </w:r>
          </w:p>
        </w:tc>
        <w:tc>
          <w:tcPr>
            <w:tcW w:w="1872" w:type="dxa"/>
          </w:tcPr>
          <w:p w14:paraId="69FDBF3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Set </w:t>
            </w:r>
            <w:r w:rsidRPr="007368B5">
              <w:rPr>
                <w:rFonts w:ascii="Times New Roman" w:hAnsi="Times New Roman" w:cs="Times New Roman"/>
                <w:color w:val="1A3E6E"/>
                <w:sz w:val="15"/>
              </w:rPr>
              <w:t>true</w:t>
            </w:r>
          </w:p>
        </w:tc>
        <w:tc>
          <w:tcPr>
            <w:tcW w:w="1872" w:type="dxa"/>
          </w:tcPr>
          <w:p w14:paraId="469C808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Optional registry tables; does not replace local verify</w:t>
            </w:r>
          </w:p>
        </w:tc>
      </w:tr>
      <w:tr w:rsidR="007368B5" w:rsidRPr="007368B5" w14:paraId="7EDECAD5" w14:textId="77777777" w:rsidTr="00151104">
        <w:trPr>
          <w:jc w:val="center"/>
        </w:trPr>
        <w:tc>
          <w:tcPr>
            <w:tcW w:w="1872" w:type="dxa"/>
          </w:tcPr>
          <w:p w14:paraId="09277AF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module1.discovery.cache_registry</w:t>
            </w:r>
          </w:p>
        </w:tc>
        <w:tc>
          <w:tcPr>
            <w:tcW w:w="1872" w:type="dxa"/>
          </w:tcPr>
          <w:p w14:paraId="4AA44C8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outputs/tables/module1_smartapi_registry.tsv</w:t>
            </w:r>
          </w:p>
        </w:tc>
        <w:tc>
          <w:tcPr>
            <w:tcW w:w="1872" w:type="dxa"/>
          </w:tcPr>
          <w:p w14:paraId="1C190D9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Offline cache path for registry</w:t>
            </w:r>
          </w:p>
        </w:tc>
        <w:tc>
          <w:tcPr>
            <w:tcW w:w="1872" w:type="dxa"/>
          </w:tcPr>
          <w:p w14:paraId="082A5FC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Path change</w:t>
            </w:r>
          </w:p>
        </w:tc>
        <w:tc>
          <w:tcPr>
            <w:tcW w:w="1872" w:type="dxa"/>
          </w:tcPr>
          <w:p w14:paraId="5CA9F31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Affects discovery cache only</w:t>
            </w:r>
          </w:p>
        </w:tc>
      </w:tr>
    </w:tbl>
    <w:p w14:paraId="441850A7"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3. Provenance and access table</w:t>
      </w:r>
    </w:p>
    <w:tbl>
      <w:tblPr>
        <w:tblStyle w:val="TableGrid"/>
        <w:tblW w:w="0" w:type="auto"/>
        <w:jc w:val="center"/>
        <w:tblLook w:val="04A0" w:firstRow="1" w:lastRow="0" w:firstColumn="1" w:lastColumn="0" w:noHBand="0" w:noVBand="1"/>
      </w:tblPr>
      <w:tblGrid>
        <w:gridCol w:w="1781"/>
        <w:gridCol w:w="3016"/>
        <w:gridCol w:w="1520"/>
        <w:gridCol w:w="1488"/>
        <w:gridCol w:w="1545"/>
      </w:tblGrid>
      <w:tr w:rsidR="007368B5" w:rsidRPr="007368B5" w14:paraId="51F77221" w14:textId="77777777" w:rsidTr="00151104">
        <w:trPr>
          <w:jc w:val="center"/>
        </w:trPr>
        <w:tc>
          <w:tcPr>
            <w:tcW w:w="1872" w:type="dxa"/>
            <w:shd w:val="clear" w:color="auto" w:fill="DCE6F1"/>
          </w:tcPr>
          <w:p w14:paraId="73DAF97F"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Config key</w:t>
            </w:r>
          </w:p>
        </w:tc>
        <w:tc>
          <w:tcPr>
            <w:tcW w:w="1872" w:type="dxa"/>
            <w:shd w:val="clear" w:color="auto" w:fill="DCE6F1"/>
          </w:tcPr>
          <w:p w14:paraId="32A26D6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Default</w:t>
            </w:r>
          </w:p>
        </w:tc>
        <w:tc>
          <w:tcPr>
            <w:tcW w:w="1872" w:type="dxa"/>
            <w:shd w:val="clear" w:color="auto" w:fill="DCE6F1"/>
          </w:tcPr>
          <w:p w14:paraId="1C4AFFD4"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Definition</w:t>
            </w:r>
          </w:p>
        </w:tc>
        <w:tc>
          <w:tcPr>
            <w:tcW w:w="1872" w:type="dxa"/>
            <w:shd w:val="clear" w:color="auto" w:fill="DCE6F1"/>
          </w:tcPr>
          <w:p w14:paraId="0445167A"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If modified</w:t>
            </w:r>
          </w:p>
        </w:tc>
        <w:tc>
          <w:tcPr>
            <w:tcW w:w="1872" w:type="dxa"/>
            <w:shd w:val="clear" w:color="auto" w:fill="DCE6F1"/>
          </w:tcPr>
          <w:p w14:paraId="697BEB1C"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Impact on results</w:t>
            </w:r>
          </w:p>
        </w:tc>
      </w:tr>
      <w:tr w:rsidR="007368B5" w:rsidRPr="007368B5" w14:paraId="5D313A36" w14:textId="77777777" w:rsidTr="00151104">
        <w:trPr>
          <w:jc w:val="center"/>
        </w:trPr>
        <w:tc>
          <w:tcPr>
            <w:tcW w:w="1872" w:type="dxa"/>
          </w:tcPr>
          <w:p w14:paraId="1CE2377A"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module1.primary_doi</w:t>
            </w:r>
            <w:r w:rsidRPr="007368B5">
              <w:rPr>
                <w:rFonts w:ascii="Times New Roman" w:hAnsi="Times New Roman" w:cs="Times New Roman"/>
                <w:sz w:val="17"/>
              </w:rPr>
              <w:t xml:space="preserve"> / per-donor </w:t>
            </w:r>
            <w:r w:rsidRPr="007368B5">
              <w:rPr>
                <w:rFonts w:ascii="Times New Roman" w:hAnsi="Times New Roman" w:cs="Times New Roman"/>
                <w:color w:val="1A3E6E"/>
                <w:sz w:val="15"/>
              </w:rPr>
              <w:t>primary_doi</w:t>
            </w:r>
          </w:p>
        </w:tc>
        <w:tc>
          <w:tcPr>
            <w:tcW w:w="1872" w:type="dxa"/>
          </w:tcPr>
          <w:p w14:paraId="2D7714D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see cohort block</w:t>
            </w:r>
          </w:p>
        </w:tc>
        <w:tc>
          <w:tcPr>
            <w:tcW w:w="1872" w:type="dxa"/>
          </w:tcPr>
          <w:p w14:paraId="4C676DE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DOI cited for each primary</w:t>
            </w:r>
          </w:p>
        </w:tc>
        <w:tc>
          <w:tcPr>
            <w:tcW w:w="1872" w:type="dxa"/>
          </w:tcPr>
          <w:p w14:paraId="36F0CD3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Editorial</w:t>
            </w:r>
          </w:p>
        </w:tc>
        <w:tc>
          <w:tcPr>
            <w:tcW w:w="1872" w:type="dxa"/>
          </w:tcPr>
          <w:p w14:paraId="4EFD0EE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Provenance text only</w:t>
            </w:r>
          </w:p>
        </w:tc>
      </w:tr>
      <w:tr w:rsidR="007368B5" w:rsidRPr="007368B5" w14:paraId="334093F9" w14:textId="77777777" w:rsidTr="00151104">
        <w:trPr>
          <w:jc w:val="center"/>
        </w:trPr>
        <w:tc>
          <w:tcPr>
            <w:tcW w:w="1872" w:type="dxa"/>
          </w:tcPr>
          <w:p w14:paraId="44930D5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module3.dataset_id</w:t>
            </w:r>
          </w:p>
        </w:tc>
        <w:tc>
          <w:tcPr>
            <w:tcW w:w="1872" w:type="dxa"/>
          </w:tcPr>
          <w:p w14:paraId="5873E01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HBM828.GPVG.252</w:t>
            </w:r>
          </w:p>
        </w:tc>
        <w:tc>
          <w:tcPr>
            <w:tcW w:w="1872" w:type="dxa"/>
          </w:tcPr>
          <w:p w14:paraId="70693E4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Multiome product listed for access</w:t>
            </w:r>
          </w:p>
        </w:tc>
        <w:tc>
          <w:tcPr>
            <w:tcW w:w="1872" w:type="dxa"/>
          </w:tcPr>
          <w:p w14:paraId="10880FA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 product</w:t>
            </w:r>
          </w:p>
        </w:tc>
        <w:tc>
          <w:tcPr>
            <w:tcW w:w="1872" w:type="dxa"/>
          </w:tcPr>
          <w:p w14:paraId="4ECD40E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Provenance row for Module 3 input</w:t>
            </w:r>
          </w:p>
        </w:tc>
      </w:tr>
      <w:tr w:rsidR="007368B5" w:rsidRPr="007368B5" w14:paraId="095DA025" w14:textId="77777777" w:rsidTr="00151104">
        <w:trPr>
          <w:jc w:val="center"/>
        </w:trPr>
        <w:tc>
          <w:tcPr>
            <w:tcW w:w="1872" w:type="dxa"/>
          </w:tcPr>
          <w:p w14:paraId="4F79830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module4.data.gtex_tpm</w:t>
            </w:r>
          </w:p>
        </w:tc>
        <w:tc>
          <w:tcPr>
            <w:tcW w:w="1872" w:type="dxa"/>
          </w:tcPr>
          <w:p w14:paraId="03A5BAD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data/source/GTEX/gene_tpm_v10_lung.gct.gz</w:t>
            </w:r>
          </w:p>
        </w:tc>
        <w:tc>
          <w:tcPr>
            <w:tcW w:w="1872" w:type="dxa"/>
          </w:tcPr>
          <w:p w14:paraId="07FE265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GTEx TPM path in access map</w:t>
            </w:r>
          </w:p>
        </w:tc>
        <w:tc>
          <w:tcPr>
            <w:tcW w:w="1872" w:type="dxa"/>
          </w:tcPr>
          <w:p w14:paraId="3C10EB8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Relocate</w:t>
            </w:r>
          </w:p>
        </w:tc>
        <w:tc>
          <w:tcPr>
            <w:tcW w:w="1872" w:type="dxa"/>
          </w:tcPr>
          <w:p w14:paraId="7029A9A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Provenance path string; Module 4 load must match</w:t>
            </w:r>
          </w:p>
        </w:tc>
      </w:tr>
    </w:tbl>
    <w:p w14:paraId="67D55B52"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lastRenderedPageBreak/>
        <w:t>4. Composition gate (airway-lineage epithelial labels)</w:t>
      </w:r>
    </w:p>
    <w:tbl>
      <w:tblPr>
        <w:tblStyle w:val="TableGrid"/>
        <w:tblW w:w="0" w:type="auto"/>
        <w:jc w:val="center"/>
        <w:tblLook w:val="04A0" w:firstRow="1" w:lastRow="0" w:firstColumn="1" w:lastColumn="0" w:noHBand="0" w:noVBand="1"/>
      </w:tblPr>
      <w:tblGrid>
        <w:gridCol w:w="1995"/>
        <w:gridCol w:w="2812"/>
        <w:gridCol w:w="1544"/>
        <w:gridCol w:w="1459"/>
        <w:gridCol w:w="1540"/>
      </w:tblGrid>
      <w:tr w:rsidR="007368B5" w:rsidRPr="007368B5" w14:paraId="304785FC" w14:textId="77777777" w:rsidTr="00151104">
        <w:trPr>
          <w:jc w:val="center"/>
        </w:trPr>
        <w:tc>
          <w:tcPr>
            <w:tcW w:w="1872" w:type="dxa"/>
            <w:shd w:val="clear" w:color="auto" w:fill="DCE6F1"/>
          </w:tcPr>
          <w:p w14:paraId="7F1D353F"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Config key</w:t>
            </w:r>
          </w:p>
        </w:tc>
        <w:tc>
          <w:tcPr>
            <w:tcW w:w="1872" w:type="dxa"/>
            <w:shd w:val="clear" w:color="auto" w:fill="DCE6F1"/>
          </w:tcPr>
          <w:p w14:paraId="1E90B7A3"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Default</w:t>
            </w:r>
          </w:p>
        </w:tc>
        <w:tc>
          <w:tcPr>
            <w:tcW w:w="1872" w:type="dxa"/>
            <w:shd w:val="clear" w:color="auto" w:fill="DCE6F1"/>
          </w:tcPr>
          <w:p w14:paraId="30E1A489"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Definition</w:t>
            </w:r>
          </w:p>
        </w:tc>
        <w:tc>
          <w:tcPr>
            <w:tcW w:w="1872" w:type="dxa"/>
            <w:shd w:val="clear" w:color="auto" w:fill="DCE6F1"/>
          </w:tcPr>
          <w:p w14:paraId="5B71D7B6"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If modified</w:t>
            </w:r>
          </w:p>
        </w:tc>
        <w:tc>
          <w:tcPr>
            <w:tcW w:w="1872" w:type="dxa"/>
            <w:shd w:val="clear" w:color="auto" w:fill="DCE6F1"/>
          </w:tcPr>
          <w:p w14:paraId="396D46F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Impact on results</w:t>
            </w:r>
          </w:p>
        </w:tc>
      </w:tr>
      <w:tr w:rsidR="007368B5" w:rsidRPr="007368B5" w14:paraId="54ACFBF6" w14:textId="77777777" w:rsidTr="00151104">
        <w:trPr>
          <w:jc w:val="center"/>
        </w:trPr>
        <w:tc>
          <w:tcPr>
            <w:tcW w:w="1872" w:type="dxa"/>
          </w:tcPr>
          <w:p w14:paraId="42EBE6B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module1.join_azimuth_labels</w:t>
            </w:r>
          </w:p>
        </w:tc>
        <w:tc>
          <w:tcPr>
            <w:tcW w:w="1872" w:type="dxa"/>
          </w:tcPr>
          <w:p w14:paraId="6EFFEAD3"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true</w:t>
            </w:r>
          </w:p>
        </w:tc>
        <w:tc>
          <w:tcPr>
            <w:tcW w:w="1872" w:type="dxa"/>
          </w:tcPr>
          <w:p w14:paraId="6AE09EC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Whether QC export joins labels onto barcodes</w:t>
            </w:r>
          </w:p>
        </w:tc>
        <w:tc>
          <w:tcPr>
            <w:tcW w:w="1872" w:type="dxa"/>
          </w:tcPr>
          <w:p w14:paraId="463746E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Set </w:t>
            </w:r>
            <w:r w:rsidRPr="007368B5">
              <w:rPr>
                <w:rFonts w:ascii="Times New Roman" w:hAnsi="Times New Roman" w:cs="Times New Roman"/>
                <w:color w:val="1A3E6E"/>
                <w:sz w:val="15"/>
              </w:rPr>
              <w:t>false</w:t>
            </w:r>
          </w:p>
        </w:tc>
        <w:tc>
          <w:tcPr>
            <w:tcW w:w="1872" w:type="dxa"/>
          </w:tcPr>
          <w:p w14:paraId="51A8D2D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Join coverage / labeled composition thin out</w:t>
            </w:r>
          </w:p>
        </w:tc>
      </w:tr>
      <w:tr w:rsidR="007368B5" w:rsidRPr="007368B5" w14:paraId="055A1D19" w14:textId="77777777" w:rsidTr="00151104">
        <w:trPr>
          <w:jc w:val="center"/>
        </w:trPr>
        <w:tc>
          <w:tcPr>
            <w:tcW w:w="1872" w:type="dxa"/>
          </w:tcPr>
          <w:p w14:paraId="0B4AEA4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module2.labels.fetch_remote</w:t>
            </w:r>
          </w:p>
        </w:tc>
        <w:tc>
          <w:tcPr>
            <w:tcW w:w="1872" w:type="dxa"/>
          </w:tcPr>
          <w:p w14:paraId="540989F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false</w:t>
            </w:r>
          </w:p>
        </w:tc>
        <w:tc>
          <w:tcPr>
            <w:tcW w:w="1872" w:type="dxa"/>
          </w:tcPr>
          <w:p w14:paraId="0CFDC39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Live HTTP range-read of </w:t>
            </w:r>
            <w:r w:rsidRPr="007368B5">
              <w:rPr>
                <w:rFonts w:ascii="Times New Roman" w:hAnsi="Times New Roman" w:cs="Times New Roman"/>
                <w:color w:val="1A3E6E"/>
                <w:sz w:val="15"/>
              </w:rPr>
              <w:t>azimuth_label</w:t>
            </w:r>
            <w:r w:rsidRPr="007368B5">
              <w:rPr>
                <w:rFonts w:ascii="Times New Roman" w:hAnsi="Times New Roman" w:cs="Times New Roman"/>
                <w:sz w:val="17"/>
              </w:rPr>
              <w:t xml:space="preserve"> from public secondary h5ad</w:t>
            </w:r>
          </w:p>
        </w:tc>
        <w:tc>
          <w:tcPr>
            <w:tcW w:w="1872" w:type="dxa"/>
          </w:tcPr>
          <w:p w14:paraId="7E450D9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Set </w:t>
            </w:r>
            <w:r w:rsidRPr="007368B5">
              <w:rPr>
                <w:rFonts w:ascii="Times New Roman" w:hAnsi="Times New Roman" w:cs="Times New Roman"/>
                <w:color w:val="1A3E6E"/>
                <w:sz w:val="15"/>
              </w:rPr>
              <w:t>true</w:t>
            </w:r>
          </w:p>
        </w:tc>
        <w:tc>
          <w:tcPr>
            <w:tcW w:w="1872" w:type="dxa"/>
          </w:tcPr>
          <w:p w14:paraId="3A2700E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May change join coverage vs local secondary</w:t>
            </w:r>
          </w:p>
        </w:tc>
      </w:tr>
      <w:tr w:rsidR="007368B5" w:rsidRPr="007368B5" w14:paraId="45F86F80" w14:textId="77777777" w:rsidTr="00151104">
        <w:trPr>
          <w:jc w:val="center"/>
        </w:trPr>
        <w:tc>
          <w:tcPr>
            <w:tcW w:w="1872" w:type="dxa"/>
          </w:tcPr>
          <w:p w14:paraId="6D1AFBA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module2.labels.cache</w:t>
            </w:r>
          </w:p>
        </w:tc>
        <w:tc>
          <w:tcPr>
            <w:tcW w:w="1872" w:type="dxa"/>
          </w:tcPr>
          <w:p w14:paraId="3F344E7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outputs/tables/module2_azimuth_labels.tsv</w:t>
            </w:r>
          </w:p>
        </w:tc>
        <w:tc>
          <w:tcPr>
            <w:tcW w:w="1872" w:type="dxa"/>
          </w:tcPr>
          <w:p w14:paraId="54B40D1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Cached label TSV for Module 2</w:t>
            </w:r>
          </w:p>
        </w:tc>
        <w:tc>
          <w:tcPr>
            <w:tcW w:w="1872" w:type="dxa"/>
          </w:tcPr>
          <w:p w14:paraId="1A680D78"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Refresh cache</w:t>
            </w:r>
          </w:p>
        </w:tc>
        <w:tc>
          <w:tcPr>
            <w:tcW w:w="1872" w:type="dxa"/>
          </w:tcPr>
          <w:p w14:paraId="24D978B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Label joins for Module 2 change</w:t>
            </w:r>
          </w:p>
        </w:tc>
      </w:tr>
      <w:tr w:rsidR="007368B5" w:rsidRPr="007368B5" w14:paraId="797B39CF" w14:textId="77777777" w:rsidTr="00151104">
        <w:trPr>
          <w:jc w:val="center"/>
        </w:trPr>
        <w:tc>
          <w:tcPr>
            <w:tcW w:w="1872" w:type="dxa"/>
          </w:tcPr>
          <w:p w14:paraId="66DA60B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module2.label_column</w:t>
            </w:r>
          </w:p>
        </w:tc>
        <w:tc>
          <w:tcPr>
            <w:tcW w:w="1872" w:type="dxa"/>
          </w:tcPr>
          <w:p w14:paraId="62BDE0F7"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azimuth_label</w:t>
            </w:r>
          </w:p>
        </w:tc>
        <w:tc>
          <w:tcPr>
            <w:tcW w:w="1872" w:type="dxa"/>
          </w:tcPr>
          <w:p w14:paraId="296C475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Obs column used for coarse mapping later</w:t>
            </w:r>
          </w:p>
        </w:tc>
        <w:tc>
          <w:tcPr>
            <w:tcW w:w="1872" w:type="dxa"/>
          </w:tcPr>
          <w:p w14:paraId="39F88AE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Rename</w:t>
            </w:r>
          </w:p>
        </w:tc>
        <w:tc>
          <w:tcPr>
            <w:tcW w:w="1872" w:type="dxa"/>
          </w:tcPr>
          <w:p w14:paraId="0EF5744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Must match joined column or mapping fails</w:t>
            </w:r>
          </w:p>
        </w:tc>
      </w:tr>
    </w:tbl>
    <w:p w14:paraId="0765AEDE"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5. QC filters</w:t>
      </w:r>
    </w:p>
    <w:tbl>
      <w:tblPr>
        <w:tblStyle w:val="TableGrid"/>
        <w:tblW w:w="0" w:type="auto"/>
        <w:jc w:val="center"/>
        <w:tblLook w:val="04A0" w:firstRow="1" w:lastRow="0" w:firstColumn="1" w:lastColumn="0" w:noHBand="0" w:noVBand="1"/>
      </w:tblPr>
      <w:tblGrid>
        <w:gridCol w:w="2166"/>
        <w:gridCol w:w="1779"/>
        <w:gridCol w:w="1816"/>
        <w:gridCol w:w="1788"/>
        <w:gridCol w:w="1801"/>
      </w:tblGrid>
      <w:tr w:rsidR="007368B5" w:rsidRPr="007368B5" w14:paraId="23EA0151" w14:textId="77777777" w:rsidTr="00151104">
        <w:trPr>
          <w:jc w:val="center"/>
        </w:trPr>
        <w:tc>
          <w:tcPr>
            <w:tcW w:w="1872" w:type="dxa"/>
            <w:shd w:val="clear" w:color="auto" w:fill="DCE6F1"/>
          </w:tcPr>
          <w:p w14:paraId="62F22714"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Config key</w:t>
            </w:r>
          </w:p>
        </w:tc>
        <w:tc>
          <w:tcPr>
            <w:tcW w:w="1872" w:type="dxa"/>
            <w:shd w:val="clear" w:color="auto" w:fill="DCE6F1"/>
          </w:tcPr>
          <w:p w14:paraId="7ED21F73"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Default</w:t>
            </w:r>
          </w:p>
        </w:tc>
        <w:tc>
          <w:tcPr>
            <w:tcW w:w="1872" w:type="dxa"/>
            <w:shd w:val="clear" w:color="auto" w:fill="DCE6F1"/>
          </w:tcPr>
          <w:p w14:paraId="5E0D8246"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Definition</w:t>
            </w:r>
          </w:p>
        </w:tc>
        <w:tc>
          <w:tcPr>
            <w:tcW w:w="1872" w:type="dxa"/>
            <w:shd w:val="clear" w:color="auto" w:fill="DCE6F1"/>
          </w:tcPr>
          <w:p w14:paraId="474BAF3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If modified</w:t>
            </w:r>
          </w:p>
        </w:tc>
        <w:tc>
          <w:tcPr>
            <w:tcW w:w="1872" w:type="dxa"/>
            <w:shd w:val="clear" w:color="auto" w:fill="DCE6F1"/>
          </w:tcPr>
          <w:p w14:paraId="3D8EA202"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Impact on results</w:t>
            </w:r>
          </w:p>
        </w:tc>
      </w:tr>
      <w:tr w:rsidR="007368B5" w:rsidRPr="007368B5" w14:paraId="744767F3" w14:textId="77777777" w:rsidTr="00151104">
        <w:trPr>
          <w:jc w:val="center"/>
        </w:trPr>
        <w:tc>
          <w:tcPr>
            <w:tcW w:w="1872" w:type="dxa"/>
          </w:tcPr>
          <w:p w14:paraId="63414B0D"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module1.qc.min_cells_per_gene</w:t>
            </w:r>
          </w:p>
        </w:tc>
        <w:tc>
          <w:tcPr>
            <w:tcW w:w="1872" w:type="dxa"/>
          </w:tcPr>
          <w:p w14:paraId="5AE92EA0"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3</w:t>
            </w:r>
          </w:p>
        </w:tc>
        <w:tc>
          <w:tcPr>
            <w:tcW w:w="1872" w:type="dxa"/>
          </w:tcPr>
          <w:p w14:paraId="3EAEA87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Drop genes detected in fewer nuclei</w:t>
            </w:r>
          </w:p>
        </w:tc>
        <w:tc>
          <w:tcPr>
            <w:tcW w:w="1872" w:type="dxa"/>
          </w:tcPr>
          <w:p w14:paraId="4D8185C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Raise</w:t>
            </w:r>
          </w:p>
        </w:tc>
        <w:tc>
          <w:tcPr>
            <w:tcW w:w="1872" w:type="dxa"/>
          </w:tcPr>
          <w:p w14:paraId="7CF5944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Fewer genes enter preprocess / Module 2 intersection</w:t>
            </w:r>
          </w:p>
        </w:tc>
      </w:tr>
      <w:tr w:rsidR="007368B5" w:rsidRPr="007368B5" w14:paraId="25E4DA41" w14:textId="77777777" w:rsidTr="00151104">
        <w:trPr>
          <w:jc w:val="center"/>
        </w:trPr>
        <w:tc>
          <w:tcPr>
            <w:tcW w:w="1872" w:type="dxa"/>
          </w:tcPr>
          <w:p w14:paraId="726BB99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module1.qc.min_genes</w:t>
            </w:r>
          </w:p>
        </w:tc>
        <w:tc>
          <w:tcPr>
            <w:tcW w:w="1872" w:type="dxa"/>
          </w:tcPr>
          <w:p w14:paraId="29BC518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200</w:t>
            </w:r>
          </w:p>
        </w:tc>
        <w:tc>
          <w:tcPr>
            <w:tcW w:w="1872" w:type="dxa"/>
          </w:tcPr>
          <w:p w14:paraId="3890FA1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Drop low-complexity nuclei</w:t>
            </w:r>
          </w:p>
        </w:tc>
        <w:tc>
          <w:tcPr>
            <w:tcW w:w="1872" w:type="dxa"/>
          </w:tcPr>
          <w:p w14:paraId="2CD63D5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Raise</w:t>
            </w:r>
          </w:p>
        </w:tc>
        <w:tc>
          <w:tcPr>
            <w:tcW w:w="1872" w:type="dxa"/>
          </w:tcPr>
          <w:p w14:paraId="31FBD9F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Removes more nuclei; rare lineages shrink first</w:t>
            </w:r>
          </w:p>
        </w:tc>
      </w:tr>
      <w:tr w:rsidR="007368B5" w:rsidRPr="007368B5" w14:paraId="172F1A97" w14:textId="77777777" w:rsidTr="00151104">
        <w:trPr>
          <w:jc w:val="center"/>
        </w:trPr>
        <w:tc>
          <w:tcPr>
            <w:tcW w:w="1872" w:type="dxa"/>
          </w:tcPr>
          <w:p w14:paraId="5795B213"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module1.qc.min_counts</w:t>
            </w:r>
          </w:p>
        </w:tc>
        <w:tc>
          <w:tcPr>
            <w:tcW w:w="1872" w:type="dxa"/>
          </w:tcPr>
          <w:p w14:paraId="24DD612A"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500</w:t>
            </w:r>
          </w:p>
        </w:tc>
        <w:tc>
          <w:tcPr>
            <w:tcW w:w="1872" w:type="dxa"/>
          </w:tcPr>
          <w:p w14:paraId="5BE54F1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Drop shallow nuclei by total counts</w:t>
            </w:r>
          </w:p>
        </w:tc>
        <w:tc>
          <w:tcPr>
            <w:tcW w:w="1872" w:type="dxa"/>
          </w:tcPr>
          <w:p w14:paraId="07170B9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Raise</w:t>
            </w:r>
          </w:p>
        </w:tc>
        <w:tc>
          <w:tcPr>
            <w:tcW w:w="1872" w:type="dxa"/>
          </w:tcPr>
          <w:p w14:paraId="1A24F74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Same direction as </w:t>
            </w:r>
            <w:r w:rsidRPr="007368B5">
              <w:rPr>
                <w:rFonts w:ascii="Times New Roman" w:hAnsi="Times New Roman" w:cs="Times New Roman"/>
                <w:color w:val="1A3E6E"/>
                <w:sz w:val="15"/>
              </w:rPr>
              <w:t>min_genes</w:t>
            </w:r>
            <w:r w:rsidRPr="007368B5">
              <w:rPr>
                <w:rFonts w:ascii="Times New Roman" w:hAnsi="Times New Roman" w:cs="Times New Roman"/>
                <w:sz w:val="17"/>
              </w:rPr>
              <w:t>; depth-driven loss</w:t>
            </w:r>
          </w:p>
        </w:tc>
      </w:tr>
      <w:tr w:rsidR="007368B5" w:rsidRPr="007368B5" w14:paraId="061C3222" w14:textId="77777777" w:rsidTr="00151104">
        <w:trPr>
          <w:jc w:val="center"/>
        </w:trPr>
        <w:tc>
          <w:tcPr>
            <w:tcW w:w="1872" w:type="dxa"/>
          </w:tcPr>
          <w:p w14:paraId="051BC463"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module1.qc.max_mito_percent</w:t>
            </w:r>
          </w:p>
        </w:tc>
        <w:tc>
          <w:tcPr>
            <w:tcW w:w="1872" w:type="dxa"/>
          </w:tcPr>
          <w:p w14:paraId="1549BFEB"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5.0</w:t>
            </w:r>
          </w:p>
        </w:tc>
        <w:tc>
          <w:tcPr>
            <w:tcW w:w="1872" w:type="dxa"/>
          </w:tcPr>
          <w:p w14:paraId="4954457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Mitochondrial percent ceiling</w:t>
            </w:r>
          </w:p>
        </w:tc>
        <w:tc>
          <w:tcPr>
            <w:tcW w:w="1872" w:type="dxa"/>
          </w:tcPr>
          <w:p w14:paraId="40F95DFD"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Lower further</w:t>
            </w:r>
          </w:p>
        </w:tc>
        <w:tc>
          <w:tcPr>
            <w:tcW w:w="1872" w:type="dxa"/>
          </w:tcPr>
          <w:p w14:paraId="39978D8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Rarely removes more on snRNA; raise admits damaged nuclei</w:t>
            </w:r>
          </w:p>
        </w:tc>
      </w:tr>
      <w:tr w:rsidR="007368B5" w:rsidRPr="007368B5" w14:paraId="24DBB6D3" w14:textId="77777777" w:rsidTr="00151104">
        <w:trPr>
          <w:jc w:val="center"/>
        </w:trPr>
        <w:tc>
          <w:tcPr>
            <w:tcW w:w="1872" w:type="dxa"/>
          </w:tcPr>
          <w:p w14:paraId="02BBF289"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module1.qc.max_genes</w:t>
            </w:r>
          </w:p>
        </w:tc>
        <w:tc>
          <w:tcPr>
            <w:tcW w:w="1872" w:type="dxa"/>
          </w:tcPr>
          <w:p w14:paraId="7F541D60"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8000</w:t>
            </w:r>
          </w:p>
        </w:tc>
        <w:tc>
          <w:tcPr>
            <w:tcW w:w="1872" w:type="dxa"/>
          </w:tcPr>
          <w:p w14:paraId="58F7E12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Drop extreme high-complexity nuclei</w:t>
            </w:r>
          </w:p>
        </w:tc>
        <w:tc>
          <w:tcPr>
            <w:tcW w:w="1872" w:type="dxa"/>
          </w:tcPr>
          <w:p w14:paraId="3884F6D3"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Lower</w:t>
            </w:r>
          </w:p>
        </w:tc>
        <w:tc>
          <w:tcPr>
            <w:tcW w:w="1872" w:type="dxa"/>
          </w:tcPr>
          <w:p w14:paraId="5FFDC0D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Can remove legitimate high-complexity epithelial nuclei</w:t>
            </w:r>
          </w:p>
        </w:tc>
      </w:tr>
      <w:tr w:rsidR="007368B5" w:rsidRPr="007368B5" w14:paraId="3F4187F8" w14:textId="77777777" w:rsidTr="00151104">
        <w:trPr>
          <w:jc w:val="center"/>
        </w:trPr>
        <w:tc>
          <w:tcPr>
            <w:tcW w:w="1872" w:type="dxa"/>
          </w:tcPr>
          <w:p w14:paraId="1C01716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module1.doublet_filtering</w:t>
            </w:r>
          </w:p>
        </w:tc>
        <w:tc>
          <w:tcPr>
            <w:tcW w:w="1872" w:type="dxa"/>
          </w:tcPr>
          <w:p w14:paraId="7E68517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false</w:t>
            </w:r>
          </w:p>
        </w:tc>
        <w:tc>
          <w:tcPr>
            <w:tcW w:w="1872" w:type="dxa"/>
          </w:tcPr>
          <w:p w14:paraId="0309FBE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Optional doublet call (off)</w:t>
            </w:r>
          </w:p>
        </w:tc>
        <w:tc>
          <w:tcPr>
            <w:tcW w:w="1872" w:type="dxa"/>
          </w:tcPr>
          <w:p w14:paraId="311287B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 xml:space="preserve">Set </w:t>
            </w:r>
            <w:r w:rsidRPr="007368B5">
              <w:rPr>
                <w:rFonts w:ascii="Times New Roman" w:hAnsi="Times New Roman" w:cs="Times New Roman"/>
                <w:color w:val="1A3E6E"/>
                <w:sz w:val="15"/>
              </w:rPr>
              <w:t>true</w:t>
            </w:r>
          </w:p>
        </w:tc>
        <w:tc>
          <w:tcPr>
            <w:tcW w:w="1872" w:type="dxa"/>
          </w:tcPr>
          <w:p w14:paraId="2EEC6DE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Extra removals; not the teaching default</w:t>
            </w:r>
          </w:p>
        </w:tc>
      </w:tr>
    </w:tbl>
    <w:p w14:paraId="500A0664" w14:textId="77777777" w:rsidR="007368B5" w:rsidRPr="007368B5" w:rsidRDefault="007368B5" w:rsidP="007368B5">
      <w:pPr>
        <w:pStyle w:val="Heading4"/>
        <w:rPr>
          <w:rFonts w:ascii="Times New Roman" w:hAnsi="Times New Roman" w:cs="Times New Roman"/>
        </w:rPr>
      </w:pPr>
      <w:r w:rsidRPr="007368B5">
        <w:rPr>
          <w:rFonts w:ascii="Times New Roman" w:hAnsi="Times New Roman" w:cs="Times New Roman"/>
          <w:color w:val="1F4E79"/>
        </w:rPr>
        <w:t>6. Preprocess, teaching subsample, neighbors, and UMAP</w:t>
      </w:r>
    </w:p>
    <w:tbl>
      <w:tblPr>
        <w:tblStyle w:val="TableGrid"/>
        <w:tblW w:w="0" w:type="auto"/>
        <w:jc w:val="center"/>
        <w:tblLook w:val="04A0" w:firstRow="1" w:lastRow="0" w:firstColumn="1" w:lastColumn="0" w:noHBand="0" w:noVBand="1"/>
      </w:tblPr>
      <w:tblGrid>
        <w:gridCol w:w="2491"/>
        <w:gridCol w:w="1625"/>
        <w:gridCol w:w="1774"/>
        <w:gridCol w:w="1686"/>
        <w:gridCol w:w="1774"/>
      </w:tblGrid>
      <w:tr w:rsidR="007368B5" w:rsidRPr="007368B5" w14:paraId="0FDE1BFB" w14:textId="77777777" w:rsidTr="00151104">
        <w:trPr>
          <w:jc w:val="center"/>
        </w:trPr>
        <w:tc>
          <w:tcPr>
            <w:tcW w:w="1872" w:type="dxa"/>
            <w:shd w:val="clear" w:color="auto" w:fill="DCE6F1"/>
          </w:tcPr>
          <w:p w14:paraId="2BA4073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Config key</w:t>
            </w:r>
          </w:p>
        </w:tc>
        <w:tc>
          <w:tcPr>
            <w:tcW w:w="1872" w:type="dxa"/>
            <w:shd w:val="clear" w:color="auto" w:fill="DCE6F1"/>
          </w:tcPr>
          <w:p w14:paraId="4EB691FD"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Default</w:t>
            </w:r>
          </w:p>
        </w:tc>
        <w:tc>
          <w:tcPr>
            <w:tcW w:w="1872" w:type="dxa"/>
            <w:shd w:val="clear" w:color="auto" w:fill="DCE6F1"/>
          </w:tcPr>
          <w:p w14:paraId="4D0B8727"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Definition</w:t>
            </w:r>
          </w:p>
        </w:tc>
        <w:tc>
          <w:tcPr>
            <w:tcW w:w="1872" w:type="dxa"/>
            <w:shd w:val="clear" w:color="auto" w:fill="DCE6F1"/>
          </w:tcPr>
          <w:p w14:paraId="4E4CC0C1"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If modified</w:t>
            </w:r>
          </w:p>
        </w:tc>
        <w:tc>
          <w:tcPr>
            <w:tcW w:w="1872" w:type="dxa"/>
            <w:shd w:val="clear" w:color="auto" w:fill="DCE6F1"/>
          </w:tcPr>
          <w:p w14:paraId="718B80EE" w14:textId="77777777" w:rsidR="007368B5" w:rsidRPr="007368B5" w:rsidRDefault="007368B5" w:rsidP="00151104">
            <w:pPr>
              <w:rPr>
                <w:rFonts w:ascii="Times New Roman" w:hAnsi="Times New Roman" w:cs="Times New Roman"/>
              </w:rPr>
            </w:pPr>
            <w:r w:rsidRPr="007368B5">
              <w:rPr>
                <w:rFonts w:ascii="Times New Roman" w:hAnsi="Times New Roman" w:cs="Times New Roman"/>
                <w:b/>
                <w:sz w:val="17"/>
              </w:rPr>
              <w:t>Impact on results</w:t>
            </w:r>
          </w:p>
        </w:tc>
      </w:tr>
      <w:tr w:rsidR="007368B5" w:rsidRPr="007368B5" w14:paraId="6A04777B" w14:textId="77777777" w:rsidTr="00151104">
        <w:trPr>
          <w:jc w:val="center"/>
        </w:trPr>
        <w:tc>
          <w:tcPr>
            <w:tcW w:w="1872" w:type="dxa"/>
          </w:tcPr>
          <w:p w14:paraId="56E426DA"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module1.preprocess.target_sum</w:t>
            </w:r>
          </w:p>
        </w:tc>
        <w:tc>
          <w:tcPr>
            <w:tcW w:w="1872" w:type="dxa"/>
          </w:tcPr>
          <w:p w14:paraId="09B35BA8"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10000</w:t>
            </w:r>
          </w:p>
        </w:tc>
        <w:tc>
          <w:tcPr>
            <w:tcW w:w="1872" w:type="dxa"/>
          </w:tcPr>
          <w:p w14:paraId="40CFE31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normalize_total</w:t>
            </w:r>
            <w:r w:rsidRPr="007368B5">
              <w:rPr>
                <w:rFonts w:ascii="Times New Roman" w:hAnsi="Times New Roman" w:cs="Times New Roman"/>
                <w:sz w:val="17"/>
              </w:rPr>
              <w:t xml:space="preserve"> target</w:t>
            </w:r>
          </w:p>
        </w:tc>
        <w:tc>
          <w:tcPr>
            <w:tcW w:w="1872" w:type="dxa"/>
          </w:tcPr>
          <w:p w14:paraId="0246F55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 scale</w:t>
            </w:r>
          </w:p>
        </w:tc>
        <w:tc>
          <w:tcPr>
            <w:tcW w:w="1872" w:type="dxa"/>
          </w:tcPr>
          <w:p w14:paraId="773FEA1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Rescales log expression; markers shift mildly</w:t>
            </w:r>
          </w:p>
        </w:tc>
      </w:tr>
      <w:tr w:rsidR="007368B5" w:rsidRPr="007368B5" w14:paraId="5FF0235D" w14:textId="77777777" w:rsidTr="00151104">
        <w:trPr>
          <w:jc w:val="center"/>
        </w:trPr>
        <w:tc>
          <w:tcPr>
            <w:tcW w:w="1872" w:type="dxa"/>
          </w:tcPr>
          <w:p w14:paraId="4868958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module1.preprocess.n_top_genes</w:t>
            </w:r>
          </w:p>
        </w:tc>
        <w:tc>
          <w:tcPr>
            <w:tcW w:w="1872" w:type="dxa"/>
          </w:tcPr>
          <w:p w14:paraId="6F3C5E50"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2000</w:t>
            </w:r>
          </w:p>
        </w:tc>
        <w:tc>
          <w:tcPr>
            <w:tcW w:w="1872" w:type="dxa"/>
          </w:tcPr>
          <w:p w14:paraId="79FB04D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HVG count (Seurat flavor)</w:t>
            </w:r>
          </w:p>
        </w:tc>
        <w:tc>
          <w:tcPr>
            <w:tcW w:w="1872" w:type="dxa"/>
          </w:tcPr>
          <w:p w14:paraId="2DF5ADF5"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Raise/lower</w:t>
            </w:r>
          </w:p>
        </w:tc>
        <w:tc>
          <w:tcPr>
            <w:tcW w:w="1872" w:type="dxa"/>
          </w:tcPr>
          <w:p w14:paraId="451F619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Changes PCA basis for Module 1 UMAP only</w:t>
            </w:r>
          </w:p>
        </w:tc>
      </w:tr>
      <w:tr w:rsidR="007368B5" w:rsidRPr="007368B5" w14:paraId="7A713694" w14:textId="77777777" w:rsidTr="00151104">
        <w:trPr>
          <w:jc w:val="center"/>
        </w:trPr>
        <w:tc>
          <w:tcPr>
            <w:tcW w:w="1872" w:type="dxa"/>
          </w:tcPr>
          <w:p w14:paraId="1A899F7F"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module1.preprocess.n_pcs</w:t>
            </w:r>
          </w:p>
        </w:tc>
        <w:tc>
          <w:tcPr>
            <w:tcW w:w="1872" w:type="dxa"/>
          </w:tcPr>
          <w:p w14:paraId="2CB8968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50</w:t>
            </w:r>
          </w:p>
        </w:tc>
        <w:tc>
          <w:tcPr>
            <w:tcW w:w="1872" w:type="dxa"/>
          </w:tcPr>
          <w:p w14:paraId="4073157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PCA components stored on object</w:t>
            </w:r>
          </w:p>
        </w:tc>
        <w:tc>
          <w:tcPr>
            <w:tcW w:w="1872" w:type="dxa"/>
          </w:tcPr>
          <w:p w14:paraId="1A0AD24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w:t>
            </w:r>
          </w:p>
        </w:tc>
        <w:tc>
          <w:tcPr>
            <w:tcW w:w="1872" w:type="dxa"/>
          </w:tcPr>
          <w:p w14:paraId="2C314D5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Module 1 neighbors/UMAP geometry; Module 2 still recomputes</w:t>
            </w:r>
          </w:p>
        </w:tc>
      </w:tr>
      <w:tr w:rsidR="007368B5" w:rsidRPr="007368B5" w14:paraId="1C55E06F" w14:textId="77777777" w:rsidTr="00151104">
        <w:trPr>
          <w:jc w:val="center"/>
        </w:trPr>
        <w:tc>
          <w:tcPr>
            <w:tcW w:w="1872" w:type="dxa"/>
          </w:tcPr>
          <w:p w14:paraId="6447D781"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lastRenderedPageBreak/>
              <w:t>module1.preprocess.n_neighbors</w:t>
            </w:r>
          </w:p>
        </w:tc>
        <w:tc>
          <w:tcPr>
            <w:tcW w:w="1872" w:type="dxa"/>
          </w:tcPr>
          <w:p w14:paraId="332366ED"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15</w:t>
            </w:r>
          </w:p>
        </w:tc>
        <w:tc>
          <w:tcPr>
            <w:tcW w:w="1872" w:type="dxa"/>
          </w:tcPr>
          <w:p w14:paraId="70305D9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kNN for Module 1 UMAP</w:t>
            </w:r>
          </w:p>
        </w:tc>
        <w:tc>
          <w:tcPr>
            <w:tcW w:w="1872" w:type="dxa"/>
          </w:tcPr>
          <w:p w14:paraId="0A84A09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w:t>
            </w:r>
          </w:p>
        </w:tc>
        <w:tc>
          <w:tcPr>
            <w:tcW w:w="1872" w:type="dxa"/>
          </w:tcPr>
          <w:p w14:paraId="1D107B46"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Local Module 1 UMAP structure</w:t>
            </w:r>
          </w:p>
        </w:tc>
      </w:tr>
      <w:tr w:rsidR="007368B5" w:rsidRPr="007368B5" w14:paraId="473BA6FC" w14:textId="77777777" w:rsidTr="00151104">
        <w:trPr>
          <w:jc w:val="center"/>
        </w:trPr>
        <w:tc>
          <w:tcPr>
            <w:tcW w:w="1872" w:type="dxa"/>
          </w:tcPr>
          <w:p w14:paraId="258FB80D"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module1.preprocess.umap_min_dist</w:t>
            </w:r>
          </w:p>
        </w:tc>
        <w:tc>
          <w:tcPr>
            <w:tcW w:w="1872" w:type="dxa"/>
          </w:tcPr>
          <w:p w14:paraId="15948745"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0.3</w:t>
            </w:r>
          </w:p>
        </w:tc>
        <w:tc>
          <w:tcPr>
            <w:tcW w:w="1872" w:type="dxa"/>
          </w:tcPr>
          <w:p w14:paraId="7E160C8C"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UMAP min_dist</w:t>
            </w:r>
          </w:p>
        </w:tc>
        <w:tc>
          <w:tcPr>
            <w:tcW w:w="1872" w:type="dxa"/>
          </w:tcPr>
          <w:p w14:paraId="2EEC56B0"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Lower</w:t>
            </w:r>
          </w:p>
        </w:tc>
        <w:tc>
          <w:tcPr>
            <w:tcW w:w="1872" w:type="dxa"/>
          </w:tcPr>
          <w:p w14:paraId="3BC6732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Tighter Module 1 clusters in the plot</w:t>
            </w:r>
          </w:p>
        </w:tc>
      </w:tr>
      <w:tr w:rsidR="007368B5" w:rsidRPr="007368B5" w14:paraId="14E28880" w14:textId="77777777" w:rsidTr="00151104">
        <w:trPr>
          <w:jc w:val="center"/>
        </w:trPr>
        <w:tc>
          <w:tcPr>
            <w:tcW w:w="1872" w:type="dxa"/>
          </w:tcPr>
          <w:p w14:paraId="5681DDE6"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module1.preprocess.umap_spread</w:t>
            </w:r>
          </w:p>
        </w:tc>
        <w:tc>
          <w:tcPr>
            <w:tcW w:w="1872" w:type="dxa"/>
          </w:tcPr>
          <w:p w14:paraId="4F2A9DEA"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1.0</w:t>
            </w:r>
          </w:p>
        </w:tc>
        <w:tc>
          <w:tcPr>
            <w:tcW w:w="1872" w:type="dxa"/>
          </w:tcPr>
          <w:p w14:paraId="30F9004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UMAP spread</w:t>
            </w:r>
          </w:p>
        </w:tc>
        <w:tc>
          <w:tcPr>
            <w:tcW w:w="1872" w:type="dxa"/>
          </w:tcPr>
          <w:p w14:paraId="5B8CC809"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Raise</w:t>
            </w:r>
          </w:p>
        </w:tc>
        <w:tc>
          <w:tcPr>
            <w:tcW w:w="1872" w:type="dxa"/>
          </w:tcPr>
          <w:p w14:paraId="42E2E11A"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More dispersed Module 1 UMAP</w:t>
            </w:r>
          </w:p>
        </w:tc>
      </w:tr>
      <w:tr w:rsidR="007368B5" w:rsidRPr="007368B5" w14:paraId="570FD48D" w14:textId="77777777" w:rsidTr="00151104">
        <w:trPr>
          <w:jc w:val="center"/>
        </w:trPr>
        <w:tc>
          <w:tcPr>
            <w:tcW w:w="1872" w:type="dxa"/>
          </w:tcPr>
          <w:p w14:paraId="519B591C"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module1.preprocess.scale_max_value</w:t>
            </w:r>
          </w:p>
        </w:tc>
        <w:tc>
          <w:tcPr>
            <w:tcW w:w="1872" w:type="dxa"/>
          </w:tcPr>
          <w:p w14:paraId="4FB6735E"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10</w:t>
            </w:r>
          </w:p>
        </w:tc>
        <w:tc>
          <w:tcPr>
            <w:tcW w:w="1872" w:type="dxa"/>
          </w:tcPr>
          <w:p w14:paraId="2574C214"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Clip after scaling before PCA</w:t>
            </w:r>
          </w:p>
        </w:tc>
        <w:tc>
          <w:tcPr>
            <w:tcW w:w="1872" w:type="dxa"/>
          </w:tcPr>
          <w:p w14:paraId="0B46467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Lower</w:t>
            </w:r>
          </w:p>
        </w:tc>
        <w:tc>
          <w:tcPr>
            <w:tcW w:w="1872" w:type="dxa"/>
          </w:tcPr>
          <w:p w14:paraId="22093A5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Compresses outlier gene influence on Module 1 PCA</w:t>
            </w:r>
          </w:p>
        </w:tc>
      </w:tr>
      <w:tr w:rsidR="007368B5" w:rsidRPr="007368B5" w14:paraId="6F731C92" w14:textId="77777777" w:rsidTr="00151104">
        <w:trPr>
          <w:jc w:val="center"/>
        </w:trPr>
        <w:tc>
          <w:tcPr>
            <w:tcW w:w="1872" w:type="dxa"/>
          </w:tcPr>
          <w:p w14:paraId="155A00DD"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module1.max_nuclei</w:t>
            </w:r>
          </w:p>
        </w:tc>
        <w:tc>
          <w:tcPr>
            <w:tcW w:w="1872" w:type="dxa"/>
          </w:tcPr>
          <w:p w14:paraId="38DFD762"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5000</w:t>
            </w:r>
          </w:p>
        </w:tc>
        <w:tc>
          <w:tcPr>
            <w:tcW w:w="1872" w:type="dxa"/>
          </w:tcPr>
          <w:p w14:paraId="7E568DCF"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Teaching cap after HVG/PCA</w:t>
            </w:r>
          </w:p>
        </w:tc>
        <w:tc>
          <w:tcPr>
            <w:tcW w:w="1872" w:type="dxa"/>
          </w:tcPr>
          <w:p w14:paraId="598B3BC7"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Raise</w:t>
            </w:r>
          </w:p>
        </w:tc>
        <w:tc>
          <w:tcPr>
            <w:tcW w:w="1872" w:type="dxa"/>
          </w:tcPr>
          <w:p w14:paraId="4D812B9E"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More nuclei into Module 2; higher RAM</w:t>
            </w:r>
          </w:p>
        </w:tc>
      </w:tr>
      <w:tr w:rsidR="007368B5" w:rsidRPr="007368B5" w14:paraId="19B993CC" w14:textId="77777777" w:rsidTr="00151104">
        <w:trPr>
          <w:jc w:val="center"/>
        </w:trPr>
        <w:tc>
          <w:tcPr>
            <w:tcW w:w="1872" w:type="dxa"/>
          </w:tcPr>
          <w:p w14:paraId="2E1BF48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module1.random_seed</w:t>
            </w:r>
          </w:p>
        </w:tc>
        <w:tc>
          <w:tcPr>
            <w:tcW w:w="1872" w:type="dxa"/>
          </w:tcPr>
          <w:p w14:paraId="01803FF4" w14:textId="77777777" w:rsidR="007368B5" w:rsidRPr="007368B5" w:rsidRDefault="007368B5" w:rsidP="00151104">
            <w:pPr>
              <w:rPr>
                <w:rFonts w:ascii="Times New Roman" w:hAnsi="Times New Roman" w:cs="Times New Roman"/>
              </w:rPr>
            </w:pPr>
            <w:r w:rsidRPr="007368B5">
              <w:rPr>
                <w:rFonts w:ascii="Times New Roman" w:hAnsi="Times New Roman" w:cs="Times New Roman"/>
                <w:color w:val="1A3E6E"/>
                <w:sz w:val="15"/>
              </w:rPr>
              <w:t>0</w:t>
            </w:r>
          </w:p>
        </w:tc>
        <w:tc>
          <w:tcPr>
            <w:tcW w:w="1872" w:type="dxa"/>
          </w:tcPr>
          <w:p w14:paraId="30221882"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RNG for subsample and neighbors/UMAP</w:t>
            </w:r>
          </w:p>
        </w:tc>
        <w:tc>
          <w:tcPr>
            <w:tcW w:w="1872" w:type="dxa"/>
          </w:tcPr>
          <w:p w14:paraId="2712F4CB"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Change seed</w:t>
            </w:r>
          </w:p>
        </w:tc>
        <w:tc>
          <w:tcPr>
            <w:tcW w:w="1872" w:type="dxa"/>
          </w:tcPr>
          <w:p w14:paraId="1D45CC41" w14:textId="77777777" w:rsidR="007368B5" w:rsidRPr="007368B5" w:rsidRDefault="007368B5" w:rsidP="00151104">
            <w:pPr>
              <w:rPr>
                <w:rFonts w:ascii="Times New Roman" w:hAnsi="Times New Roman" w:cs="Times New Roman"/>
              </w:rPr>
            </w:pPr>
            <w:r w:rsidRPr="007368B5">
              <w:rPr>
                <w:rFonts w:ascii="Times New Roman" w:hAnsi="Times New Roman" w:cs="Times New Roman"/>
                <w:sz w:val="17"/>
              </w:rPr>
              <w:t>Different subsample draws and UMAP stochasticity</w:t>
            </w:r>
          </w:p>
        </w:tc>
      </w:tr>
    </w:tbl>
    <w:p w14:paraId="7F67C173" w14:textId="77777777" w:rsidR="007368B5" w:rsidRPr="007368B5" w:rsidRDefault="007368B5" w:rsidP="007368B5">
      <w:pPr>
        <w:pStyle w:val="Heading1"/>
        <w:rPr>
          <w:rFonts w:ascii="Times New Roman" w:hAnsi="Times New Roman" w:cs="Times New Roman"/>
        </w:rPr>
      </w:pPr>
      <w:r w:rsidRPr="007368B5">
        <w:rPr>
          <w:rFonts w:ascii="Times New Roman" w:hAnsi="Times New Roman" w:cs="Times New Roman"/>
          <w:color w:val="1F4E79"/>
        </w:rPr>
        <w:t>References</w:t>
      </w:r>
    </w:p>
    <w:p w14:paraId="4A755425"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 xml:space="preserve">HuBMAP Consortium. The human body at cellular resolution: the NIH Human Biomolecular Atlas Program. </w:t>
      </w:r>
      <w:r w:rsidRPr="007368B5">
        <w:rPr>
          <w:rFonts w:ascii="Times New Roman" w:hAnsi="Times New Roman" w:cs="Times New Roman"/>
          <w:i/>
        </w:rPr>
        <w:t>Nature</w:t>
      </w:r>
      <w:r w:rsidRPr="007368B5">
        <w:rPr>
          <w:rFonts w:ascii="Times New Roman" w:hAnsi="Times New Roman" w:cs="Times New Roman"/>
        </w:rPr>
        <w:t xml:space="preserve">. 2019;574(7777):187-192. PMID: </w:t>
      </w:r>
      <w:hyperlink r:id="rId8">
        <w:r w:rsidRPr="007368B5">
          <w:rPr>
            <w:rFonts w:ascii="Times New Roman" w:hAnsi="Times New Roman" w:cs="Times New Roman"/>
            <w:color w:val="0B4F8A"/>
            <w:u w:val="single"/>
          </w:rPr>
          <w:t>31597973</w:t>
        </w:r>
      </w:hyperlink>
      <w:r w:rsidRPr="007368B5">
        <w:rPr>
          <w:rFonts w:ascii="Times New Roman" w:hAnsi="Times New Roman" w:cs="Times New Roman"/>
        </w:rPr>
        <w:t>.</w:t>
      </w:r>
    </w:p>
    <w:p w14:paraId="1229FF2A"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 xml:space="preserve">Wolf FA, Angerer P, Theis FJ. SCANPY: large-scale single-cell gene expression data analysis. </w:t>
      </w:r>
      <w:r w:rsidRPr="007368B5">
        <w:rPr>
          <w:rFonts w:ascii="Times New Roman" w:hAnsi="Times New Roman" w:cs="Times New Roman"/>
          <w:i/>
        </w:rPr>
        <w:t>Genome Biol</w:t>
      </w:r>
      <w:r w:rsidRPr="007368B5">
        <w:rPr>
          <w:rFonts w:ascii="Times New Roman" w:hAnsi="Times New Roman" w:cs="Times New Roman"/>
        </w:rPr>
        <w:t xml:space="preserve">. 2018;19(1):15. PMID: </w:t>
      </w:r>
      <w:hyperlink r:id="rId9">
        <w:r w:rsidRPr="007368B5">
          <w:rPr>
            <w:rFonts w:ascii="Times New Roman" w:hAnsi="Times New Roman" w:cs="Times New Roman"/>
            <w:color w:val="0B4F8A"/>
            <w:u w:val="single"/>
          </w:rPr>
          <w:t>29409532</w:t>
        </w:r>
      </w:hyperlink>
      <w:r w:rsidRPr="007368B5">
        <w:rPr>
          <w:rFonts w:ascii="Times New Roman" w:hAnsi="Times New Roman" w:cs="Times New Roman"/>
        </w:rPr>
        <w:t>.</w:t>
      </w:r>
    </w:p>
    <w:p w14:paraId="702E9B10"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 xml:space="preserve">McInnes L, Healy J, Melville J. UMAP: Uniform Manifold Approximation and Projection for Dimension Reduction. </w:t>
      </w:r>
      <w:r w:rsidRPr="007368B5">
        <w:rPr>
          <w:rFonts w:ascii="Times New Roman" w:hAnsi="Times New Roman" w:cs="Times New Roman"/>
          <w:i/>
        </w:rPr>
        <w:t>arXiv</w:t>
      </w:r>
      <w:r w:rsidRPr="007368B5">
        <w:rPr>
          <w:rFonts w:ascii="Times New Roman" w:hAnsi="Times New Roman" w:cs="Times New Roman"/>
        </w:rPr>
        <w:t xml:space="preserve">. 2018. arXiv: </w:t>
      </w:r>
      <w:hyperlink r:id="rId10">
        <w:r w:rsidRPr="007368B5">
          <w:rPr>
            <w:rFonts w:ascii="Times New Roman" w:hAnsi="Times New Roman" w:cs="Times New Roman"/>
            <w:color w:val="0B4F8A"/>
            <w:u w:val="single"/>
          </w:rPr>
          <w:t>1802.03426</w:t>
        </w:r>
      </w:hyperlink>
      <w:r w:rsidRPr="007368B5">
        <w:rPr>
          <w:rFonts w:ascii="Times New Roman" w:hAnsi="Times New Roman" w:cs="Times New Roman"/>
        </w:rPr>
        <w:t>.</w:t>
      </w:r>
    </w:p>
    <w:p w14:paraId="46FFA67B" w14:textId="77777777" w:rsidR="007368B5" w:rsidRPr="007368B5" w:rsidRDefault="007368B5" w:rsidP="007368B5">
      <w:pPr>
        <w:pStyle w:val="ListNumber"/>
        <w:tabs>
          <w:tab w:val="num" w:pos="360"/>
        </w:tabs>
        <w:spacing w:after="40"/>
        <w:ind w:left="360" w:hanging="360"/>
        <w:rPr>
          <w:rFonts w:ascii="Times New Roman" w:hAnsi="Times New Roman" w:cs="Times New Roman"/>
        </w:rPr>
      </w:pPr>
      <w:r w:rsidRPr="007368B5">
        <w:rPr>
          <w:rFonts w:ascii="Times New Roman" w:hAnsi="Times New Roman" w:cs="Times New Roman"/>
        </w:rPr>
        <w:t xml:space="preserve">HuBMAP primary dataset DOIs for this teaching set: </w:t>
      </w:r>
      <w:hyperlink r:id="rId11">
        <w:r w:rsidRPr="007368B5">
          <w:rPr>
            <w:rFonts w:ascii="Times New Roman" w:hAnsi="Times New Roman" w:cs="Times New Roman"/>
            <w:color w:val="0B4F8A"/>
            <w:u w:val="single"/>
          </w:rPr>
          <w:t>10.35079/HBM347.VDHS.379</w:t>
        </w:r>
      </w:hyperlink>
      <w:r w:rsidRPr="007368B5">
        <w:rPr>
          <w:rFonts w:ascii="Times New Roman" w:hAnsi="Times New Roman" w:cs="Times New Roman"/>
        </w:rPr>
        <w:t xml:space="preserve">, </w:t>
      </w:r>
      <w:hyperlink r:id="rId12">
        <w:r w:rsidRPr="007368B5">
          <w:rPr>
            <w:rFonts w:ascii="Times New Roman" w:hAnsi="Times New Roman" w:cs="Times New Roman"/>
            <w:color w:val="0B4F8A"/>
            <w:u w:val="single"/>
          </w:rPr>
          <w:t>10.35079/HBM473.NKMR.872</w:t>
        </w:r>
      </w:hyperlink>
      <w:r w:rsidRPr="007368B5">
        <w:rPr>
          <w:rFonts w:ascii="Times New Roman" w:hAnsi="Times New Roman" w:cs="Times New Roman"/>
        </w:rPr>
        <w:t xml:space="preserve">, </w:t>
      </w:r>
      <w:hyperlink r:id="rId13">
        <w:r w:rsidRPr="007368B5">
          <w:rPr>
            <w:rFonts w:ascii="Times New Roman" w:hAnsi="Times New Roman" w:cs="Times New Roman"/>
            <w:color w:val="0B4F8A"/>
            <w:u w:val="single"/>
          </w:rPr>
          <w:t>10.35079/HBM484.RGWP.797</w:t>
        </w:r>
      </w:hyperlink>
      <w:r w:rsidRPr="007368B5">
        <w:rPr>
          <w:rFonts w:ascii="Times New Roman" w:hAnsi="Times New Roman" w:cs="Times New Roman"/>
        </w:rPr>
        <w:t xml:space="preserve">, </w:t>
      </w:r>
      <w:hyperlink r:id="rId14">
        <w:r w:rsidRPr="007368B5">
          <w:rPr>
            <w:rFonts w:ascii="Times New Roman" w:hAnsi="Times New Roman" w:cs="Times New Roman"/>
            <w:color w:val="0B4F8A"/>
            <w:u w:val="single"/>
          </w:rPr>
          <w:t>10.35079/HBM379.QCJT.435</w:t>
        </w:r>
      </w:hyperlink>
      <w:r w:rsidRPr="007368B5">
        <w:rPr>
          <w:rFonts w:ascii="Times New Roman" w:hAnsi="Times New Roman" w:cs="Times New Roman"/>
        </w:rPr>
        <w:t>.</w:t>
      </w:r>
    </w:p>
    <w:p w14:paraId="74361552" w14:textId="77777777" w:rsidR="00BA234A" w:rsidRPr="007368B5" w:rsidRDefault="00BA234A">
      <w:pPr>
        <w:rPr>
          <w:rFonts w:ascii="Times New Roman" w:hAnsi="Times New Roman" w:cs="Times New Roman"/>
        </w:rPr>
      </w:pPr>
    </w:p>
    <w:sectPr w:rsidR="00BA234A" w:rsidRPr="007368B5" w:rsidSect="007368B5">
      <w:footerReference w:type="default" r:id="rId15"/>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4802" w14:textId="77777777" w:rsidR="007368B5" w:rsidRDefault="007368B5">
    <w:pPr>
      <w:pStyle w:val="Footer"/>
      <w:jc w:val="center"/>
    </w:pPr>
    <w:r>
      <w:rPr>
        <w:color w:val="444444"/>
        <w:sz w:val="18"/>
      </w:rPr>
      <w:fldChar w:fldCharType="begin"/>
    </w:r>
    <w:r>
      <w:rPr>
        <w:color w:val="444444"/>
        <w:sz w:val="18"/>
      </w:rPr>
      <w:instrText xml:space="preserve"> PAGE </w:instrText>
    </w:r>
    <w:r>
      <w:rPr>
        <w:color w:val="444444"/>
        <w:sz w:val="18"/>
      </w:rPr>
      <w:fldChar w:fldCharType="separate"/>
    </w:r>
    <w:r>
      <w:rPr>
        <w:noProof/>
        <w:color w:val="444444"/>
        <w:sz w:val="18"/>
      </w:rPr>
      <w:t>1</w:t>
    </w:r>
    <w:r>
      <w:rPr>
        <w:color w:val="444444"/>
        <w:sz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62DA6A"/>
    <w:lvl w:ilvl="0">
      <w:start w:val="1"/>
      <w:numFmt w:val="bullet"/>
      <w:pStyle w:val="ListBullet"/>
      <w:lvlText w:val=""/>
      <w:lvlJc w:val="left"/>
      <w:pPr>
        <w:tabs>
          <w:tab w:val="num" w:pos="360"/>
        </w:tabs>
        <w:ind w:left="360" w:hanging="360"/>
      </w:pPr>
      <w:rPr>
        <w:rFonts w:ascii="Symbol" w:hAnsi="Symbol" w:hint="default"/>
      </w:rPr>
    </w:lvl>
  </w:abstractNum>
  <w:num w:numId="1" w16cid:durableId="1584992757">
    <w:abstractNumId w:val="8"/>
  </w:num>
  <w:num w:numId="2" w16cid:durableId="1484665268">
    <w:abstractNumId w:val="6"/>
  </w:num>
  <w:num w:numId="3" w16cid:durableId="1301152131">
    <w:abstractNumId w:val="5"/>
  </w:num>
  <w:num w:numId="4" w16cid:durableId="1518688339">
    <w:abstractNumId w:val="4"/>
  </w:num>
  <w:num w:numId="5" w16cid:durableId="1180854547">
    <w:abstractNumId w:val="7"/>
  </w:num>
  <w:num w:numId="6" w16cid:durableId="624166942">
    <w:abstractNumId w:val="3"/>
  </w:num>
  <w:num w:numId="7" w16cid:durableId="1040786053">
    <w:abstractNumId w:val="2"/>
  </w:num>
  <w:num w:numId="8" w16cid:durableId="2128887781">
    <w:abstractNumId w:val="1"/>
  </w:num>
  <w:num w:numId="9" w16cid:durableId="34475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29"/>
    <w:rsid w:val="00216BCA"/>
    <w:rsid w:val="0031396B"/>
    <w:rsid w:val="005B6A4E"/>
    <w:rsid w:val="007368B5"/>
    <w:rsid w:val="00812C29"/>
    <w:rsid w:val="00BA2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C70AA"/>
  <w15:chartTrackingRefBased/>
  <w15:docId w15:val="{4BF79348-0634-D94A-8EAF-3F04C418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8B5"/>
    <w:pPr>
      <w:spacing w:after="120" w:line="276" w:lineRule="auto"/>
    </w:pPr>
    <w:rPr>
      <w:rFonts w:ascii="Calibri" w:eastAsiaTheme="minorEastAsia" w:hAnsi="Calibri"/>
      <w:kern w:val="0"/>
      <w:sz w:val="21"/>
      <w:szCs w:val="22"/>
      <w14:ligatures w14:val="none"/>
    </w:rPr>
  </w:style>
  <w:style w:type="paragraph" w:styleId="Heading1">
    <w:name w:val="heading 1"/>
    <w:basedOn w:val="Normal"/>
    <w:next w:val="Normal"/>
    <w:link w:val="Heading1Char"/>
    <w:uiPriority w:val="9"/>
    <w:qFormat/>
    <w:rsid w:val="00812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29"/>
    <w:rPr>
      <w:rFonts w:eastAsiaTheme="majorEastAsia" w:cstheme="majorBidi"/>
      <w:color w:val="272727" w:themeColor="text1" w:themeTint="D8"/>
    </w:rPr>
  </w:style>
  <w:style w:type="paragraph" w:styleId="Title">
    <w:name w:val="Title"/>
    <w:basedOn w:val="Normal"/>
    <w:next w:val="Normal"/>
    <w:link w:val="TitleChar"/>
    <w:uiPriority w:val="10"/>
    <w:qFormat/>
    <w:rsid w:val="00812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29"/>
    <w:pPr>
      <w:spacing w:before="160"/>
      <w:jc w:val="center"/>
    </w:pPr>
    <w:rPr>
      <w:i/>
      <w:iCs/>
      <w:color w:val="404040" w:themeColor="text1" w:themeTint="BF"/>
    </w:rPr>
  </w:style>
  <w:style w:type="character" w:customStyle="1" w:styleId="QuoteChar">
    <w:name w:val="Quote Char"/>
    <w:basedOn w:val="DefaultParagraphFont"/>
    <w:link w:val="Quote"/>
    <w:uiPriority w:val="29"/>
    <w:rsid w:val="00812C29"/>
    <w:rPr>
      <w:i/>
      <w:iCs/>
      <w:color w:val="404040" w:themeColor="text1" w:themeTint="BF"/>
    </w:rPr>
  </w:style>
  <w:style w:type="paragraph" w:styleId="ListParagraph">
    <w:name w:val="List Paragraph"/>
    <w:basedOn w:val="Normal"/>
    <w:uiPriority w:val="34"/>
    <w:qFormat/>
    <w:rsid w:val="00812C29"/>
    <w:pPr>
      <w:ind w:left="720"/>
      <w:contextualSpacing/>
    </w:pPr>
  </w:style>
  <w:style w:type="character" w:styleId="IntenseEmphasis">
    <w:name w:val="Intense Emphasis"/>
    <w:basedOn w:val="DefaultParagraphFont"/>
    <w:uiPriority w:val="21"/>
    <w:qFormat/>
    <w:rsid w:val="00812C29"/>
    <w:rPr>
      <w:i/>
      <w:iCs/>
      <w:color w:val="0F4761" w:themeColor="accent1" w:themeShade="BF"/>
    </w:rPr>
  </w:style>
  <w:style w:type="paragraph" w:styleId="IntenseQuote">
    <w:name w:val="Intense Quote"/>
    <w:basedOn w:val="Normal"/>
    <w:next w:val="Normal"/>
    <w:link w:val="IntenseQuoteChar"/>
    <w:uiPriority w:val="30"/>
    <w:qFormat/>
    <w:rsid w:val="00812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29"/>
    <w:rPr>
      <w:i/>
      <w:iCs/>
      <w:color w:val="0F4761" w:themeColor="accent1" w:themeShade="BF"/>
    </w:rPr>
  </w:style>
  <w:style w:type="character" w:styleId="IntenseReference">
    <w:name w:val="Intense Reference"/>
    <w:basedOn w:val="DefaultParagraphFont"/>
    <w:uiPriority w:val="32"/>
    <w:qFormat/>
    <w:rsid w:val="00812C29"/>
    <w:rPr>
      <w:b/>
      <w:bCs/>
      <w:smallCaps/>
      <w:color w:val="0F4761" w:themeColor="accent1" w:themeShade="BF"/>
      <w:spacing w:val="5"/>
    </w:rPr>
  </w:style>
  <w:style w:type="paragraph" w:styleId="Header">
    <w:name w:val="header"/>
    <w:basedOn w:val="Normal"/>
    <w:link w:val="HeaderChar"/>
    <w:uiPriority w:val="99"/>
    <w:unhideWhenUsed/>
    <w:rsid w:val="00736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8B5"/>
    <w:rPr>
      <w:rFonts w:ascii="Calibri" w:eastAsiaTheme="minorEastAsia" w:hAnsi="Calibri"/>
      <w:kern w:val="0"/>
      <w:sz w:val="21"/>
      <w:szCs w:val="22"/>
      <w14:ligatures w14:val="none"/>
    </w:rPr>
  </w:style>
  <w:style w:type="paragraph" w:styleId="Footer">
    <w:name w:val="footer"/>
    <w:basedOn w:val="Normal"/>
    <w:link w:val="FooterChar"/>
    <w:uiPriority w:val="99"/>
    <w:unhideWhenUsed/>
    <w:rsid w:val="00736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8B5"/>
    <w:rPr>
      <w:rFonts w:ascii="Calibri" w:eastAsiaTheme="minorEastAsia" w:hAnsi="Calibri"/>
      <w:kern w:val="0"/>
      <w:sz w:val="21"/>
      <w:szCs w:val="22"/>
      <w14:ligatures w14:val="none"/>
    </w:rPr>
  </w:style>
  <w:style w:type="paragraph" w:styleId="NoSpacing">
    <w:name w:val="No Spacing"/>
    <w:uiPriority w:val="1"/>
    <w:qFormat/>
    <w:rsid w:val="007368B5"/>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7368B5"/>
  </w:style>
  <w:style w:type="character" w:customStyle="1" w:styleId="BodyTextChar">
    <w:name w:val="Body Text Char"/>
    <w:basedOn w:val="DefaultParagraphFont"/>
    <w:link w:val="BodyText"/>
    <w:uiPriority w:val="99"/>
    <w:rsid w:val="007368B5"/>
    <w:rPr>
      <w:rFonts w:ascii="Calibri" w:eastAsiaTheme="minorEastAsia" w:hAnsi="Calibri"/>
      <w:kern w:val="0"/>
      <w:sz w:val="21"/>
      <w:szCs w:val="22"/>
      <w14:ligatures w14:val="none"/>
    </w:rPr>
  </w:style>
  <w:style w:type="paragraph" w:styleId="BodyText2">
    <w:name w:val="Body Text 2"/>
    <w:basedOn w:val="Normal"/>
    <w:link w:val="BodyText2Char"/>
    <w:uiPriority w:val="99"/>
    <w:unhideWhenUsed/>
    <w:rsid w:val="007368B5"/>
    <w:pPr>
      <w:spacing w:line="480" w:lineRule="auto"/>
    </w:pPr>
  </w:style>
  <w:style w:type="character" w:customStyle="1" w:styleId="BodyText2Char">
    <w:name w:val="Body Text 2 Char"/>
    <w:basedOn w:val="DefaultParagraphFont"/>
    <w:link w:val="BodyText2"/>
    <w:uiPriority w:val="99"/>
    <w:rsid w:val="007368B5"/>
    <w:rPr>
      <w:rFonts w:ascii="Calibri" w:eastAsiaTheme="minorEastAsia" w:hAnsi="Calibri"/>
      <w:kern w:val="0"/>
      <w:sz w:val="21"/>
      <w:szCs w:val="22"/>
      <w14:ligatures w14:val="none"/>
    </w:rPr>
  </w:style>
  <w:style w:type="paragraph" w:styleId="BodyText3">
    <w:name w:val="Body Text 3"/>
    <w:basedOn w:val="Normal"/>
    <w:link w:val="BodyText3Char"/>
    <w:uiPriority w:val="99"/>
    <w:unhideWhenUsed/>
    <w:rsid w:val="007368B5"/>
    <w:rPr>
      <w:sz w:val="16"/>
      <w:szCs w:val="16"/>
    </w:rPr>
  </w:style>
  <w:style w:type="character" w:customStyle="1" w:styleId="BodyText3Char">
    <w:name w:val="Body Text 3 Char"/>
    <w:basedOn w:val="DefaultParagraphFont"/>
    <w:link w:val="BodyText3"/>
    <w:uiPriority w:val="99"/>
    <w:rsid w:val="007368B5"/>
    <w:rPr>
      <w:rFonts w:ascii="Calibri" w:eastAsiaTheme="minorEastAsia" w:hAnsi="Calibri"/>
      <w:kern w:val="0"/>
      <w:sz w:val="16"/>
      <w:szCs w:val="16"/>
      <w14:ligatures w14:val="none"/>
    </w:rPr>
  </w:style>
  <w:style w:type="paragraph" w:styleId="List">
    <w:name w:val="List"/>
    <w:basedOn w:val="Normal"/>
    <w:uiPriority w:val="99"/>
    <w:unhideWhenUsed/>
    <w:rsid w:val="007368B5"/>
    <w:pPr>
      <w:ind w:left="360" w:hanging="360"/>
      <w:contextualSpacing/>
    </w:pPr>
  </w:style>
  <w:style w:type="paragraph" w:styleId="List2">
    <w:name w:val="List 2"/>
    <w:basedOn w:val="Normal"/>
    <w:uiPriority w:val="99"/>
    <w:unhideWhenUsed/>
    <w:rsid w:val="007368B5"/>
    <w:pPr>
      <w:ind w:left="720" w:hanging="360"/>
      <w:contextualSpacing/>
    </w:pPr>
  </w:style>
  <w:style w:type="paragraph" w:styleId="List3">
    <w:name w:val="List 3"/>
    <w:basedOn w:val="Normal"/>
    <w:uiPriority w:val="99"/>
    <w:unhideWhenUsed/>
    <w:rsid w:val="007368B5"/>
    <w:pPr>
      <w:ind w:left="1080" w:hanging="360"/>
      <w:contextualSpacing/>
    </w:pPr>
  </w:style>
  <w:style w:type="paragraph" w:styleId="ListBullet">
    <w:name w:val="List Bullet"/>
    <w:basedOn w:val="Normal"/>
    <w:uiPriority w:val="99"/>
    <w:unhideWhenUsed/>
    <w:rsid w:val="007368B5"/>
    <w:pPr>
      <w:numPr>
        <w:numId w:val="1"/>
      </w:numPr>
      <w:tabs>
        <w:tab w:val="clear" w:pos="360"/>
      </w:tabs>
      <w:ind w:left="0" w:firstLine="0"/>
      <w:contextualSpacing/>
    </w:pPr>
  </w:style>
  <w:style w:type="paragraph" w:styleId="ListBullet2">
    <w:name w:val="List Bullet 2"/>
    <w:basedOn w:val="Normal"/>
    <w:uiPriority w:val="99"/>
    <w:unhideWhenUsed/>
    <w:rsid w:val="007368B5"/>
    <w:pPr>
      <w:numPr>
        <w:numId w:val="2"/>
      </w:numPr>
      <w:tabs>
        <w:tab w:val="clear" w:pos="720"/>
      </w:tabs>
      <w:ind w:left="0" w:firstLine="0"/>
      <w:contextualSpacing/>
    </w:pPr>
  </w:style>
  <w:style w:type="paragraph" w:styleId="ListBullet3">
    <w:name w:val="List Bullet 3"/>
    <w:basedOn w:val="Normal"/>
    <w:uiPriority w:val="99"/>
    <w:unhideWhenUsed/>
    <w:rsid w:val="007368B5"/>
    <w:pPr>
      <w:numPr>
        <w:numId w:val="3"/>
      </w:numPr>
      <w:tabs>
        <w:tab w:val="clear" w:pos="1080"/>
      </w:tabs>
      <w:ind w:left="0" w:firstLine="0"/>
      <w:contextualSpacing/>
    </w:pPr>
  </w:style>
  <w:style w:type="paragraph" w:styleId="ListNumber">
    <w:name w:val="List Number"/>
    <w:basedOn w:val="Normal"/>
    <w:uiPriority w:val="99"/>
    <w:unhideWhenUsed/>
    <w:rsid w:val="007368B5"/>
    <w:pPr>
      <w:numPr>
        <w:numId w:val="5"/>
      </w:numPr>
      <w:tabs>
        <w:tab w:val="clear" w:pos="360"/>
      </w:tabs>
      <w:ind w:left="0" w:firstLine="0"/>
      <w:contextualSpacing/>
    </w:pPr>
  </w:style>
  <w:style w:type="paragraph" w:styleId="ListNumber2">
    <w:name w:val="List Number 2"/>
    <w:basedOn w:val="Normal"/>
    <w:uiPriority w:val="99"/>
    <w:unhideWhenUsed/>
    <w:rsid w:val="007368B5"/>
    <w:pPr>
      <w:numPr>
        <w:numId w:val="6"/>
      </w:numPr>
      <w:tabs>
        <w:tab w:val="clear" w:pos="720"/>
      </w:tabs>
      <w:ind w:left="0" w:firstLine="0"/>
      <w:contextualSpacing/>
    </w:pPr>
  </w:style>
  <w:style w:type="paragraph" w:styleId="ListNumber3">
    <w:name w:val="List Number 3"/>
    <w:basedOn w:val="Normal"/>
    <w:uiPriority w:val="99"/>
    <w:unhideWhenUsed/>
    <w:rsid w:val="007368B5"/>
    <w:pPr>
      <w:numPr>
        <w:numId w:val="7"/>
      </w:numPr>
      <w:tabs>
        <w:tab w:val="clear" w:pos="1080"/>
      </w:tabs>
      <w:ind w:left="0" w:firstLine="0"/>
      <w:contextualSpacing/>
    </w:pPr>
  </w:style>
  <w:style w:type="paragraph" w:styleId="ListContinue">
    <w:name w:val="List Continue"/>
    <w:basedOn w:val="Normal"/>
    <w:uiPriority w:val="99"/>
    <w:unhideWhenUsed/>
    <w:rsid w:val="007368B5"/>
    <w:pPr>
      <w:ind w:left="360"/>
      <w:contextualSpacing/>
    </w:pPr>
  </w:style>
  <w:style w:type="paragraph" w:styleId="ListContinue2">
    <w:name w:val="List Continue 2"/>
    <w:basedOn w:val="Normal"/>
    <w:uiPriority w:val="99"/>
    <w:unhideWhenUsed/>
    <w:rsid w:val="007368B5"/>
    <w:pPr>
      <w:ind w:left="720"/>
      <w:contextualSpacing/>
    </w:pPr>
  </w:style>
  <w:style w:type="paragraph" w:styleId="ListContinue3">
    <w:name w:val="List Continue 3"/>
    <w:basedOn w:val="Normal"/>
    <w:uiPriority w:val="99"/>
    <w:unhideWhenUsed/>
    <w:rsid w:val="007368B5"/>
    <w:pPr>
      <w:ind w:left="1080"/>
      <w:contextualSpacing/>
    </w:pPr>
  </w:style>
  <w:style w:type="paragraph" w:styleId="MacroText">
    <w:name w:val="macro"/>
    <w:link w:val="MacroTextChar"/>
    <w:uiPriority w:val="99"/>
    <w:unhideWhenUsed/>
    <w:rsid w:val="007368B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368B5"/>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7368B5"/>
    <w:pPr>
      <w:spacing w:line="240" w:lineRule="auto"/>
    </w:pPr>
    <w:rPr>
      <w:b/>
      <w:bCs/>
      <w:color w:val="156082" w:themeColor="accent1"/>
      <w:sz w:val="18"/>
      <w:szCs w:val="18"/>
    </w:rPr>
  </w:style>
  <w:style w:type="character" w:styleId="Strong">
    <w:name w:val="Strong"/>
    <w:basedOn w:val="DefaultParagraphFont"/>
    <w:uiPriority w:val="22"/>
    <w:qFormat/>
    <w:rsid w:val="007368B5"/>
    <w:rPr>
      <w:b/>
      <w:bCs/>
    </w:rPr>
  </w:style>
  <w:style w:type="character" w:styleId="Emphasis">
    <w:name w:val="Emphasis"/>
    <w:basedOn w:val="DefaultParagraphFont"/>
    <w:uiPriority w:val="20"/>
    <w:qFormat/>
    <w:rsid w:val="007368B5"/>
    <w:rPr>
      <w:i/>
      <w:iCs/>
    </w:rPr>
  </w:style>
  <w:style w:type="character" w:styleId="SubtleEmphasis">
    <w:name w:val="Subtle Emphasis"/>
    <w:basedOn w:val="DefaultParagraphFont"/>
    <w:uiPriority w:val="19"/>
    <w:qFormat/>
    <w:rsid w:val="007368B5"/>
    <w:rPr>
      <w:i/>
      <w:iCs/>
      <w:color w:val="808080" w:themeColor="text1" w:themeTint="7F"/>
    </w:rPr>
  </w:style>
  <w:style w:type="character" w:styleId="SubtleReference">
    <w:name w:val="Subtle Reference"/>
    <w:basedOn w:val="DefaultParagraphFont"/>
    <w:uiPriority w:val="31"/>
    <w:qFormat/>
    <w:rsid w:val="007368B5"/>
    <w:rPr>
      <w:smallCaps/>
      <w:color w:val="E97132" w:themeColor="accent2"/>
      <w:u w:val="single"/>
    </w:rPr>
  </w:style>
  <w:style w:type="character" w:styleId="BookTitle">
    <w:name w:val="Book Title"/>
    <w:basedOn w:val="DefaultParagraphFont"/>
    <w:uiPriority w:val="33"/>
    <w:qFormat/>
    <w:rsid w:val="007368B5"/>
    <w:rPr>
      <w:b/>
      <w:bCs/>
      <w:smallCaps/>
      <w:spacing w:val="5"/>
    </w:rPr>
  </w:style>
  <w:style w:type="paragraph" w:styleId="TOCHeading">
    <w:name w:val="TOC Heading"/>
    <w:basedOn w:val="Heading1"/>
    <w:next w:val="Normal"/>
    <w:uiPriority w:val="39"/>
    <w:semiHidden/>
    <w:unhideWhenUsed/>
    <w:qFormat/>
    <w:rsid w:val="007368B5"/>
    <w:pPr>
      <w:spacing w:before="480" w:after="0"/>
      <w:outlineLvl w:val="9"/>
    </w:pPr>
    <w:rPr>
      <w:b/>
      <w:bCs/>
      <w:sz w:val="28"/>
      <w:szCs w:val="28"/>
    </w:rPr>
  </w:style>
  <w:style w:type="table" w:styleId="TableGrid">
    <w:name w:val="Table Grid"/>
    <w:basedOn w:val="TableNormal"/>
    <w:uiPriority w:val="59"/>
    <w:rsid w:val="007368B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368B5"/>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368B5"/>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368B5"/>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368B5"/>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368B5"/>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368B5"/>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368B5"/>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368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368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368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368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368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368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1597973/" TargetMode="External"/><Relationship Id="rId13" Type="http://schemas.openxmlformats.org/officeDocument/2006/relationships/hyperlink" Target="https://doi.org/10.35079/HBM484.RGWP.797"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35079/HBM473.NKMR.87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5079/HBM347.VDHS.379" TargetMode="External"/><Relationship Id="rId5" Type="http://schemas.openxmlformats.org/officeDocument/2006/relationships/image" Target="media/image1.png"/><Relationship Id="rId15" Type="http://schemas.openxmlformats.org/officeDocument/2006/relationships/footer" Target="footer1.xml"/><Relationship Id="rId10" Type="http://schemas.openxmlformats.org/officeDocument/2006/relationships/hyperlink" Target="https://arxiv.org/abs/1802.03426" TargetMode="External"/><Relationship Id="rId4" Type="http://schemas.openxmlformats.org/officeDocument/2006/relationships/webSettings" Target="webSettings.xml"/><Relationship Id="rId9" Type="http://schemas.openxmlformats.org/officeDocument/2006/relationships/hyperlink" Target="https://pubmed.ncbi.nlm.nih.gov/29409532/" TargetMode="External"/><Relationship Id="rId14" Type="http://schemas.openxmlformats.org/officeDocument/2006/relationships/hyperlink" Target="https://doi.org/10.35079/HBM379.QCJT.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7465</Words>
  <Characters>42103</Characters>
  <Application>Microsoft Office Word</Application>
  <DocSecurity>0</DocSecurity>
  <Lines>1619</Lines>
  <Paragraphs>1077</Paragraphs>
  <ScaleCrop>false</ScaleCrop>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Billings</dc:creator>
  <cp:keywords/>
  <dc:description/>
  <cp:lastModifiedBy>Brian Billings</cp:lastModifiedBy>
  <cp:revision>2</cp:revision>
  <dcterms:created xsi:type="dcterms:W3CDTF">2026-08-14T19:31:00Z</dcterms:created>
  <dcterms:modified xsi:type="dcterms:W3CDTF">2026-08-14T19:31:00Z</dcterms:modified>
</cp:coreProperties>
</file>