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1232" w14:textId="77777777" w:rsidR="003B4CBF" w:rsidRPr="003B4CBF" w:rsidRDefault="003B4CBF" w:rsidP="003B4CBF">
      <w:pPr>
        <w:spacing w:after="60"/>
        <w:rPr>
          <w:rFonts w:ascii="Times New Roman" w:hAnsi="Times New Roman" w:cs="Times New Roman"/>
        </w:rPr>
      </w:pPr>
      <w:r w:rsidRPr="003B4CBF">
        <w:rPr>
          <w:rFonts w:ascii="Times New Roman" w:hAnsi="Times New Roman" w:cs="Times New Roman"/>
          <w:b/>
          <w:color w:val="1F4E79"/>
          <w:sz w:val="38"/>
        </w:rPr>
        <w:t>Module 2: Donor integration, cell-class composition, and pathway analysis</w:t>
      </w:r>
    </w:p>
    <w:p w14:paraId="79DBEE5D" w14:textId="77777777" w:rsidR="003B4CBF" w:rsidRPr="003B4CBF" w:rsidRDefault="003B4CBF" w:rsidP="003B4CBF">
      <w:pPr>
        <w:spacing w:after="200"/>
        <w:rPr>
          <w:rFonts w:ascii="Times New Roman" w:hAnsi="Times New Roman" w:cs="Times New Roman"/>
        </w:rPr>
      </w:pPr>
      <w:r w:rsidRPr="003B4CBF">
        <w:rPr>
          <w:rFonts w:ascii="Times New Roman" w:hAnsi="Times New Roman" w:cs="Times New Roman"/>
          <w:color w:val="444444"/>
          <w:sz w:val="19"/>
        </w:rPr>
        <w:t>Instructional time: 45 min | Bloom: Apply, Analyze | Notebook: notebooks/02_integration_de_pathways.ipynb</w:t>
      </w:r>
    </w:p>
    <w:p w14:paraId="05545CB3" w14:textId="77777777" w:rsidR="003B4CBF" w:rsidRPr="003B4CBF" w:rsidRDefault="003B4CBF" w:rsidP="003B4CBF">
      <w:pPr>
        <w:pBdr>
          <w:bottom w:val="single" w:sz="12" w:space="0" w:color="1F4E79"/>
        </w:pBdr>
        <w:rPr>
          <w:rFonts w:ascii="Times New Roman" w:hAnsi="Times New Roman" w:cs="Times New Roman"/>
        </w:rPr>
      </w:pPr>
    </w:p>
    <w:p w14:paraId="1074FCB2" w14:textId="77777777" w:rsidR="003B4CBF" w:rsidRPr="003B4CBF" w:rsidRDefault="003B4CBF" w:rsidP="003B4CBF">
      <w:pPr>
        <w:pStyle w:val="Heading1"/>
        <w:rPr>
          <w:rFonts w:ascii="Times New Roman" w:hAnsi="Times New Roman" w:cs="Times New Roman"/>
        </w:rPr>
      </w:pPr>
      <w:r w:rsidRPr="003B4CBF">
        <w:rPr>
          <w:rFonts w:ascii="Times New Roman" w:hAnsi="Times New Roman" w:cs="Times New Roman"/>
          <w:color w:val="1F4E79"/>
        </w:rPr>
        <w:t>1. Overview</w:t>
      </w:r>
    </w:p>
    <w:p w14:paraId="730EFEF2"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Module 2 stays inside HuBMAP. It concatenates the four Module 1 QC objects, asks whether Harmony improves donor mixing without erasing biology, maps coarse </w:t>
      </w:r>
      <w:r w:rsidRPr="003B4CBF">
        <w:rPr>
          <w:rFonts w:ascii="Times New Roman" w:hAnsi="Times New Roman" w:cs="Times New Roman"/>
          <w:color w:val="1A3E6E"/>
          <w:sz w:val="19"/>
        </w:rPr>
        <w:t>cell_class</w:t>
      </w:r>
      <w:r w:rsidRPr="003B4CBF">
        <w:rPr>
          <w:rFonts w:ascii="Times New Roman" w:hAnsi="Times New Roman" w:cs="Times New Roman"/>
        </w:rPr>
        <w:t xml:space="preserve"> labels, separates composition change from expression change, and runs Wilcoxon marker detection plus local gene-set enrichment (Hallmark / Reactome / GO Biological Process).</w:t>
      </w:r>
    </w:p>
    <w:p w14:paraId="2157724B"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Key components.</w:t>
      </w:r>
      <w:r w:rsidRPr="003B4CBF">
        <w:rPr>
          <w:rFonts w:ascii="Times New Roman" w:hAnsi="Times New Roman" w:cs="Times New Roman"/>
        </w:rPr>
        <w:t xml:space="preserve"> Donor concatenation and Harmony; mixing metrics; composition tables and dual pseudobulk summaries; marker DE; ORA / prerank enrichment from shipped GMT files under </w:t>
      </w:r>
      <w:r w:rsidRPr="003B4CBF">
        <w:rPr>
          <w:rFonts w:ascii="Times New Roman" w:hAnsi="Times New Roman" w:cs="Times New Roman"/>
          <w:color w:val="1A3E6E"/>
          <w:sz w:val="19"/>
        </w:rPr>
        <w:t>data/genesets/</w:t>
      </w:r>
      <w:r w:rsidRPr="003B4CBF">
        <w:rPr>
          <w:rFonts w:ascii="Times New Roman" w:hAnsi="Times New Roman" w:cs="Times New Roman"/>
        </w:rPr>
        <w:t>.</w:t>
      </w:r>
    </w:p>
    <w:p w14:paraId="32C85BC6"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Learning objectives.</w:t>
      </w:r>
    </w:p>
    <w:p w14:paraId="4B757B11"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r w:rsidRPr="003B4CBF">
        <w:rPr>
          <w:rFonts w:ascii="Times New Roman" w:hAnsi="Times New Roman" w:cs="Times New Roman"/>
        </w:rPr>
        <w:t>Integrate multi-donor snRNA-seq and quantify whether batch correction increases foreign-donor neighborhood mixing.</w:t>
      </w:r>
    </w:p>
    <w:p w14:paraId="74FF2798"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r w:rsidRPr="003B4CBF">
        <w:rPr>
          <w:rFonts w:ascii="Times New Roman" w:hAnsi="Times New Roman" w:cs="Times New Roman"/>
        </w:rPr>
        <w:t>Distinguish "is this population larger?" (composition) from "are these cells different?" (markers / pathways).</w:t>
      </w:r>
    </w:p>
    <w:p w14:paraId="7B9EEC0D"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r w:rsidRPr="003B4CBF">
        <w:rPr>
          <w:rFonts w:ascii="Times New Roman" w:hAnsi="Times New Roman" w:cs="Times New Roman"/>
        </w:rPr>
        <w:t>Run and read local enrichment without treating top terms as automatically true biology.</w:t>
      </w:r>
    </w:p>
    <w:p w14:paraId="1AD295E7"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Measured peak RSS on the DE leg sets the course RAM floor: </w:t>
      </w:r>
      <w:r w:rsidRPr="003B4CBF">
        <w:rPr>
          <w:rFonts w:ascii="Times New Roman" w:hAnsi="Times New Roman" w:cs="Times New Roman"/>
          <w:b/>
        </w:rPr>
        <w:t>16 GB recommended, 8 GB minimum</w:t>
      </w:r>
      <w:r w:rsidRPr="003B4CBF">
        <w:rPr>
          <w:rFonts w:ascii="Times New Roman" w:hAnsi="Times New Roman" w:cs="Times New Roman"/>
        </w:rPr>
        <w:t xml:space="preserve"> (</w:t>
      </w:r>
      <w:r w:rsidRPr="003B4CBF">
        <w:rPr>
          <w:rFonts w:ascii="Times New Roman" w:hAnsi="Times New Roman" w:cs="Times New Roman"/>
          <w:color w:val="1A3E6E"/>
          <w:sz w:val="19"/>
        </w:rPr>
        <w:t>outputs/reports/module2_de_run_params.json</w:t>
      </w:r>
      <w:r w:rsidRPr="003B4CBF">
        <w:rPr>
          <w:rFonts w:ascii="Times New Roman" w:hAnsi="Times New Roman" w:cs="Times New Roman"/>
        </w:rPr>
        <w:t>).</w:t>
      </w:r>
    </w:p>
    <w:p w14:paraId="1BCD770B" w14:textId="77777777" w:rsidR="003B4CBF" w:rsidRPr="003B4CBF" w:rsidRDefault="003B4CBF" w:rsidP="003B4CBF">
      <w:pPr>
        <w:pStyle w:val="Heading1"/>
        <w:rPr>
          <w:rFonts w:ascii="Times New Roman" w:hAnsi="Times New Roman" w:cs="Times New Roman"/>
        </w:rPr>
      </w:pPr>
      <w:r w:rsidRPr="003B4CBF">
        <w:rPr>
          <w:rFonts w:ascii="Times New Roman" w:hAnsi="Times New Roman" w:cs="Times New Roman"/>
          <w:color w:val="1F4E79"/>
        </w:rPr>
        <w:t>2. Before you begin</w:t>
      </w:r>
    </w:p>
    <w:p w14:paraId="345C9659"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Prerequisites.</w:t>
      </w:r>
      <w:r w:rsidRPr="003B4CBF">
        <w:rPr>
          <w:rFonts w:ascii="Times New Roman" w:hAnsi="Times New Roman" w:cs="Times New Roman"/>
        </w:rPr>
        <w:t xml:space="preserve"> Module 1 (QC-preprocessed teaching blocks for Donor_1, Donor_2, Donor_3, Donor_4)</w:t>
      </w:r>
    </w:p>
    <w:p w14:paraId="5F009465"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Time.</w:t>
      </w:r>
      <w:r w:rsidRPr="003B4CBF">
        <w:rPr>
          <w:rFonts w:ascii="Times New Roman" w:hAnsi="Times New Roman" w:cs="Times New Roman"/>
        </w:rPr>
        <w:t xml:space="preserve"> Instructional: 45 min. Compute (measured): integration ~32 s, DE/pathways ~24 s; peak RSS ~7.6 GB on DE (16 GB recommended; 8 GB minimum).</w:t>
      </w:r>
    </w:p>
    <w:p w14:paraId="3449CC25"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Data required.</w:t>
      </w:r>
    </w:p>
    <w:p w14:paraId="0E297F09"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Run order.</w:t>
      </w:r>
      <w:r w:rsidRPr="003B4CBF">
        <w:rPr>
          <w:rFonts w:ascii="Times New Roman" w:hAnsi="Times New Roman" w:cs="Times New Roman"/>
        </w:rPr>
        <w:t xml:space="preserve"> Run the analysis sections in order; the notebook carries state between cells.</w:t>
      </w:r>
    </w:p>
    <w:p w14:paraId="68FB3CB5"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Biological question</w:t>
      </w:r>
    </w:p>
    <w:p w14:paraId="0954CDB0"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After QC, do the four HuBMAP lung donors form a usable joint embedding, and what cell-state and pathway differences appear across coarse lineages once donor identity is reduced?</w:t>
      </w:r>
    </w:p>
    <w:p w14:paraId="15639BED"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Data used here</w:t>
      </w:r>
    </w:p>
    <w:tbl>
      <w:tblPr>
        <w:tblStyle w:val="TableGrid"/>
        <w:tblW w:w="0" w:type="auto"/>
        <w:jc w:val="center"/>
        <w:tblLook w:val="04A0" w:firstRow="1" w:lastRow="0" w:firstColumn="1" w:lastColumn="0" w:noHBand="0" w:noVBand="1"/>
      </w:tblPr>
      <w:tblGrid>
        <w:gridCol w:w="2788"/>
        <w:gridCol w:w="3745"/>
        <w:gridCol w:w="2817"/>
      </w:tblGrid>
      <w:tr w:rsidR="003B4CBF" w:rsidRPr="003B4CBF" w14:paraId="3266BC9F" w14:textId="77777777" w:rsidTr="00151104">
        <w:trPr>
          <w:jc w:val="center"/>
        </w:trPr>
        <w:tc>
          <w:tcPr>
            <w:tcW w:w="3120" w:type="dxa"/>
            <w:shd w:val="clear" w:color="auto" w:fill="DCE6F1"/>
          </w:tcPr>
          <w:p w14:paraId="29619569"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Input</w:t>
            </w:r>
          </w:p>
        </w:tc>
        <w:tc>
          <w:tcPr>
            <w:tcW w:w="3120" w:type="dxa"/>
            <w:shd w:val="clear" w:color="auto" w:fill="DCE6F1"/>
          </w:tcPr>
          <w:p w14:paraId="1FADAD78"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Path pattern</w:t>
            </w:r>
          </w:p>
        </w:tc>
        <w:tc>
          <w:tcPr>
            <w:tcW w:w="3120" w:type="dxa"/>
            <w:shd w:val="clear" w:color="auto" w:fill="DCE6F1"/>
          </w:tcPr>
          <w:p w14:paraId="64E4A3A4"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Role</w:t>
            </w:r>
          </w:p>
        </w:tc>
      </w:tr>
      <w:tr w:rsidR="003B4CBF" w:rsidRPr="003B4CBF" w14:paraId="3A17533D" w14:textId="77777777" w:rsidTr="00151104">
        <w:trPr>
          <w:jc w:val="center"/>
        </w:trPr>
        <w:tc>
          <w:tcPr>
            <w:tcW w:w="3120" w:type="dxa"/>
          </w:tcPr>
          <w:p w14:paraId="2A5EE4C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Module 1 QC objects</w:t>
            </w:r>
          </w:p>
        </w:tc>
        <w:tc>
          <w:tcPr>
            <w:tcW w:w="3120" w:type="dxa"/>
          </w:tcPr>
          <w:p w14:paraId="157B3E93"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data/processed/hubmap/module1_*_qc_preprocessed.h5ad</w:t>
            </w:r>
          </w:p>
        </w:tc>
        <w:tc>
          <w:tcPr>
            <w:tcW w:w="3120" w:type="dxa"/>
          </w:tcPr>
          <w:p w14:paraId="341C3B2F"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Per-donor nuclei</w:t>
            </w:r>
          </w:p>
        </w:tc>
      </w:tr>
      <w:tr w:rsidR="003B4CBF" w:rsidRPr="003B4CBF" w14:paraId="16BB647E" w14:textId="77777777" w:rsidTr="00151104">
        <w:trPr>
          <w:jc w:val="center"/>
        </w:trPr>
        <w:tc>
          <w:tcPr>
            <w:tcW w:w="3120" w:type="dxa"/>
          </w:tcPr>
          <w:p w14:paraId="2BE12AD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Azimuth labels</w:t>
            </w:r>
          </w:p>
        </w:tc>
        <w:tc>
          <w:tcPr>
            <w:tcW w:w="3120" w:type="dxa"/>
          </w:tcPr>
          <w:p w14:paraId="7835789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cached TSV and/or remote range-read</w:t>
            </w:r>
          </w:p>
        </w:tc>
        <w:tc>
          <w:tcPr>
            <w:tcW w:w="3120" w:type="dxa"/>
          </w:tcPr>
          <w:p w14:paraId="365FDD59"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cell_class</w:t>
            </w:r>
            <w:r w:rsidRPr="003B4CBF">
              <w:rPr>
                <w:rFonts w:ascii="Times New Roman" w:hAnsi="Times New Roman" w:cs="Times New Roman"/>
                <w:sz w:val="17"/>
              </w:rPr>
              <w:t xml:space="preserve"> mapping</w:t>
            </w:r>
          </w:p>
        </w:tc>
      </w:tr>
      <w:tr w:rsidR="003B4CBF" w:rsidRPr="003B4CBF" w14:paraId="533ABDC7" w14:textId="77777777" w:rsidTr="00151104">
        <w:trPr>
          <w:jc w:val="center"/>
        </w:trPr>
        <w:tc>
          <w:tcPr>
            <w:tcW w:w="3120" w:type="dxa"/>
          </w:tcPr>
          <w:p w14:paraId="2E0B025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Gene sets</w:t>
            </w:r>
          </w:p>
        </w:tc>
        <w:tc>
          <w:tcPr>
            <w:tcW w:w="3120" w:type="dxa"/>
          </w:tcPr>
          <w:p w14:paraId="77660298"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data/genesets/*.gmt</w:t>
            </w:r>
            <w:r w:rsidRPr="003B4CBF">
              <w:rPr>
                <w:rFonts w:ascii="Times New Roman" w:hAnsi="Times New Roman" w:cs="Times New Roman"/>
                <w:sz w:val="17"/>
              </w:rPr>
              <w:t xml:space="preserve"> (~2.17 MB shipped)</w:t>
            </w:r>
          </w:p>
        </w:tc>
        <w:tc>
          <w:tcPr>
            <w:tcW w:w="3120" w:type="dxa"/>
          </w:tcPr>
          <w:p w14:paraId="1F7E818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Enrichment libraries</w:t>
            </w:r>
          </w:p>
        </w:tc>
      </w:tr>
    </w:tbl>
    <w:p w14:paraId="0F8F5091"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lastRenderedPageBreak/>
        <w:t>GTEx is intentionally absent until Module 4. Module 2 does not download new primary matrices beyond what Module 1 verified.</w:t>
      </w:r>
    </w:p>
    <w:p w14:paraId="081272EB"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Cohort and ages are unchanged from Module 1 (Donor_1 to Donor_4). The age split remains n=2 vs n=2 illustration only.</w:t>
      </w:r>
    </w:p>
    <w:p w14:paraId="46CF433D" w14:textId="77777777" w:rsidR="003B4CBF" w:rsidRPr="003B4CBF" w:rsidRDefault="003B4CBF" w:rsidP="003B4CBF">
      <w:pPr>
        <w:pStyle w:val="Heading1"/>
        <w:rPr>
          <w:rFonts w:ascii="Times New Roman" w:hAnsi="Times New Roman" w:cs="Times New Roman"/>
        </w:rPr>
      </w:pPr>
      <w:r w:rsidRPr="003B4CBF">
        <w:rPr>
          <w:rFonts w:ascii="Times New Roman" w:hAnsi="Times New Roman" w:cs="Times New Roman"/>
          <w:color w:val="1F4E79"/>
        </w:rPr>
        <w:t>3. Methods</w:t>
      </w:r>
    </w:p>
    <w:p w14:paraId="185358E6"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Parameters below are live values under </w:t>
      </w:r>
      <w:r w:rsidRPr="003B4CBF">
        <w:rPr>
          <w:rFonts w:ascii="Times New Roman" w:hAnsi="Times New Roman" w:cs="Times New Roman"/>
          <w:color w:val="1A3E6E"/>
          <w:sz w:val="19"/>
        </w:rPr>
        <w:t>module2</w:t>
      </w:r>
      <w:r w:rsidRPr="003B4CBF">
        <w:rPr>
          <w:rFonts w:ascii="Times New Roman" w:hAnsi="Times New Roman" w:cs="Times New Roman"/>
        </w:rPr>
        <w:t xml:space="preserve"> in </w:t>
      </w:r>
      <w:r w:rsidRPr="003B4CBF">
        <w:rPr>
          <w:rFonts w:ascii="Times New Roman" w:hAnsi="Times New Roman" w:cs="Times New Roman"/>
          <w:color w:val="1A3E6E"/>
          <w:sz w:val="19"/>
        </w:rPr>
        <w:t>config/paths.yaml</w:t>
      </w:r>
      <w:r w:rsidRPr="003B4CBF">
        <w:rPr>
          <w:rFonts w:ascii="Times New Roman" w:hAnsi="Times New Roman" w:cs="Times New Roman"/>
        </w:rPr>
        <w:t xml:space="preserve">. Integration scripts are </w:t>
      </w:r>
      <w:r w:rsidRPr="003B4CBF">
        <w:rPr>
          <w:rFonts w:ascii="Times New Roman" w:hAnsi="Times New Roman" w:cs="Times New Roman"/>
          <w:color w:val="1A3E6E"/>
          <w:sz w:val="19"/>
        </w:rPr>
        <w:t>scripts/nb03_integration/</w:t>
      </w:r>
      <w:r w:rsidRPr="003B4CBF">
        <w:rPr>
          <w:rFonts w:ascii="Times New Roman" w:hAnsi="Times New Roman" w:cs="Times New Roman"/>
        </w:rPr>
        <w:t xml:space="preserve">; DE and enrichment are </w:t>
      </w:r>
      <w:r w:rsidRPr="003B4CBF">
        <w:rPr>
          <w:rFonts w:ascii="Times New Roman" w:hAnsi="Times New Roman" w:cs="Times New Roman"/>
          <w:color w:val="1A3E6E"/>
          <w:sz w:val="19"/>
        </w:rPr>
        <w:t>scripts/nb04_de/</w:t>
      </w:r>
      <w:r w:rsidRPr="003B4CBF">
        <w:rPr>
          <w:rFonts w:ascii="Times New Roman" w:hAnsi="Times New Roman" w:cs="Times New Roman"/>
        </w:rPr>
        <w:t>. Module 2 stays inside HuBMAP; GTEx is off (</w:t>
      </w:r>
      <w:r w:rsidRPr="003B4CBF">
        <w:rPr>
          <w:rFonts w:ascii="Times New Roman" w:hAnsi="Times New Roman" w:cs="Times New Roman"/>
          <w:color w:val="1A3E6E"/>
          <w:sz w:val="19"/>
        </w:rPr>
        <w:t>module2.gtex_context: false</w:t>
      </w:r>
      <w:r w:rsidRPr="003B4CBF">
        <w:rPr>
          <w:rFonts w:ascii="Times New Roman" w:hAnsi="Times New Roman" w:cs="Times New Roman"/>
        </w:rPr>
        <w:t>).</w:t>
      </w:r>
    </w:p>
    <w:p w14:paraId="50862BF2"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Each Methods step below corresponds to a numbered section of </w:t>
      </w:r>
      <w:r w:rsidRPr="003B4CBF">
        <w:rPr>
          <w:rFonts w:ascii="Times New Roman" w:hAnsi="Times New Roman" w:cs="Times New Roman"/>
          <w:color w:val="1A3E6E"/>
          <w:sz w:val="19"/>
        </w:rPr>
        <w:t>notebooks/02_integration_de_pathways.ipynb</w:t>
      </w:r>
      <w:r w:rsidRPr="003B4CBF">
        <w:rPr>
          <w:rFonts w:ascii="Times New Roman" w:hAnsi="Times New Roman" w:cs="Times New Roman"/>
        </w:rPr>
        <w:t>, so the document and the notebook can be read side by side:</w:t>
      </w:r>
    </w:p>
    <w:tbl>
      <w:tblPr>
        <w:tblStyle w:val="TableGrid"/>
        <w:tblW w:w="0" w:type="auto"/>
        <w:jc w:val="center"/>
        <w:tblLook w:val="04A0" w:firstRow="1" w:lastRow="0" w:firstColumn="1" w:lastColumn="0" w:noHBand="0" w:noVBand="1"/>
      </w:tblPr>
      <w:tblGrid>
        <w:gridCol w:w="4675"/>
        <w:gridCol w:w="4675"/>
      </w:tblGrid>
      <w:tr w:rsidR="003B4CBF" w:rsidRPr="003B4CBF" w14:paraId="7C3B72E2" w14:textId="77777777" w:rsidTr="00151104">
        <w:trPr>
          <w:jc w:val="center"/>
        </w:trPr>
        <w:tc>
          <w:tcPr>
            <w:tcW w:w="4680" w:type="dxa"/>
            <w:shd w:val="clear" w:color="auto" w:fill="DCE6F1"/>
          </w:tcPr>
          <w:p w14:paraId="4650CC30"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Methods step</w:t>
            </w:r>
          </w:p>
        </w:tc>
        <w:tc>
          <w:tcPr>
            <w:tcW w:w="4680" w:type="dxa"/>
            <w:shd w:val="clear" w:color="auto" w:fill="DCE6F1"/>
          </w:tcPr>
          <w:p w14:paraId="24B62F25"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Notebook section</w:t>
            </w:r>
          </w:p>
        </w:tc>
      </w:tr>
      <w:tr w:rsidR="003B4CBF" w:rsidRPr="003B4CBF" w14:paraId="4F304668" w14:textId="77777777" w:rsidTr="00151104">
        <w:trPr>
          <w:jc w:val="center"/>
        </w:trPr>
        <w:tc>
          <w:tcPr>
            <w:tcW w:w="4680" w:type="dxa"/>
          </w:tcPr>
          <w:p w14:paraId="0FB33D2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1. Load and concatenate Module 1 QC objects</w:t>
            </w:r>
          </w:p>
        </w:tc>
        <w:tc>
          <w:tcPr>
            <w:tcW w:w="4680" w:type="dxa"/>
          </w:tcPr>
          <w:p w14:paraId="6A3D5D4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1. Load, concatenate, and compute the joint embedding</w:t>
            </w:r>
          </w:p>
        </w:tc>
      </w:tr>
      <w:tr w:rsidR="003B4CBF" w:rsidRPr="003B4CBF" w14:paraId="5EEE3C28" w14:textId="77777777" w:rsidTr="00151104">
        <w:trPr>
          <w:jc w:val="center"/>
        </w:trPr>
        <w:tc>
          <w:tcPr>
            <w:tcW w:w="4680" w:type="dxa"/>
          </w:tcPr>
          <w:p w14:paraId="0A09E6E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2. Joint embedding (recomputed HVG / PCA)</w:t>
            </w:r>
          </w:p>
        </w:tc>
        <w:tc>
          <w:tcPr>
            <w:tcW w:w="4680" w:type="dxa"/>
          </w:tcPr>
          <w:p w14:paraId="38EC5E6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1. Load, concatenate, and compute the joint embedding</w:t>
            </w:r>
          </w:p>
        </w:tc>
      </w:tr>
      <w:tr w:rsidR="003B4CBF" w:rsidRPr="003B4CBF" w14:paraId="79D94DAD" w14:textId="77777777" w:rsidTr="00151104">
        <w:trPr>
          <w:jc w:val="center"/>
        </w:trPr>
        <w:tc>
          <w:tcPr>
            <w:tcW w:w="4680" w:type="dxa"/>
          </w:tcPr>
          <w:p w14:paraId="7486A0D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3. Harmony batch correction</w:t>
            </w:r>
          </w:p>
        </w:tc>
        <w:tc>
          <w:tcPr>
            <w:tcW w:w="4680" w:type="dxa"/>
          </w:tcPr>
          <w:p w14:paraId="6BD5884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2. Harmony batch correction and mixing diagnostics</w:t>
            </w:r>
          </w:p>
        </w:tc>
      </w:tr>
      <w:tr w:rsidR="003B4CBF" w:rsidRPr="003B4CBF" w14:paraId="1D193651" w14:textId="77777777" w:rsidTr="00151104">
        <w:trPr>
          <w:jc w:val="center"/>
        </w:trPr>
        <w:tc>
          <w:tcPr>
            <w:tcW w:w="4680" w:type="dxa"/>
          </w:tcPr>
          <w:p w14:paraId="2085CFE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 Mixing and silhouette diagnostics</w:t>
            </w:r>
          </w:p>
        </w:tc>
        <w:tc>
          <w:tcPr>
            <w:tcW w:w="4680" w:type="dxa"/>
          </w:tcPr>
          <w:p w14:paraId="488478C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2. Harmony batch correction and mixing diagnostics</w:t>
            </w:r>
          </w:p>
        </w:tc>
      </w:tr>
      <w:tr w:rsidR="003B4CBF" w:rsidRPr="003B4CBF" w14:paraId="487CF61A" w14:textId="77777777" w:rsidTr="00151104">
        <w:trPr>
          <w:jc w:val="center"/>
        </w:trPr>
        <w:tc>
          <w:tcPr>
            <w:tcW w:w="4680" w:type="dxa"/>
          </w:tcPr>
          <w:p w14:paraId="6B458FB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5. Coarse </w:t>
            </w:r>
            <w:r w:rsidRPr="003B4CBF">
              <w:rPr>
                <w:rFonts w:ascii="Times New Roman" w:hAnsi="Times New Roman" w:cs="Times New Roman"/>
                <w:color w:val="1A3E6E"/>
                <w:sz w:val="15"/>
              </w:rPr>
              <w:t>cell_class</w:t>
            </w:r>
            <w:r w:rsidRPr="003B4CBF">
              <w:rPr>
                <w:rFonts w:ascii="Times New Roman" w:hAnsi="Times New Roman" w:cs="Times New Roman"/>
                <w:sz w:val="17"/>
              </w:rPr>
              <w:t xml:space="preserve"> mapping, composition, and pseudobulk</w:t>
            </w:r>
          </w:p>
        </w:tc>
        <w:tc>
          <w:tcPr>
            <w:tcW w:w="4680" w:type="dxa"/>
          </w:tcPr>
          <w:p w14:paraId="66A7A54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3. Coarse </w:t>
            </w:r>
            <w:r w:rsidRPr="003B4CBF">
              <w:rPr>
                <w:rFonts w:ascii="Times New Roman" w:hAnsi="Times New Roman" w:cs="Times New Roman"/>
                <w:color w:val="1A3E6E"/>
                <w:sz w:val="15"/>
              </w:rPr>
              <w:t>cell_class</w:t>
            </w:r>
            <w:r w:rsidRPr="003B4CBF">
              <w:rPr>
                <w:rFonts w:ascii="Times New Roman" w:hAnsi="Times New Roman" w:cs="Times New Roman"/>
                <w:sz w:val="17"/>
              </w:rPr>
              <w:t xml:space="preserve"> mapping; 4. Composition, markers, and weighted pseudobulk</w:t>
            </w:r>
          </w:p>
        </w:tc>
      </w:tr>
      <w:tr w:rsidR="003B4CBF" w:rsidRPr="003B4CBF" w14:paraId="09866372" w14:textId="77777777" w:rsidTr="00151104">
        <w:trPr>
          <w:jc w:val="center"/>
        </w:trPr>
        <w:tc>
          <w:tcPr>
            <w:tcW w:w="4680" w:type="dxa"/>
          </w:tcPr>
          <w:p w14:paraId="7CFA24B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6. Intron exclusion on the DE path, Wilcoxon markers</w:t>
            </w:r>
          </w:p>
        </w:tc>
        <w:tc>
          <w:tcPr>
            <w:tcW w:w="4680" w:type="dxa"/>
          </w:tcPr>
          <w:p w14:paraId="235EDE6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5. Differential expression and pathway enrichment</w:t>
            </w:r>
          </w:p>
        </w:tc>
      </w:tr>
      <w:tr w:rsidR="003B4CBF" w:rsidRPr="003B4CBF" w14:paraId="31E0DD87" w14:textId="77777777" w:rsidTr="00151104">
        <w:trPr>
          <w:jc w:val="center"/>
        </w:trPr>
        <w:tc>
          <w:tcPr>
            <w:tcW w:w="4680" w:type="dxa"/>
          </w:tcPr>
          <w:p w14:paraId="03A1B9F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7. Local GMT enrichment (ORA and prerank)</w:t>
            </w:r>
          </w:p>
        </w:tc>
        <w:tc>
          <w:tcPr>
            <w:tcW w:w="4680" w:type="dxa"/>
          </w:tcPr>
          <w:p w14:paraId="6E6849B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5. Differential expression and pathway enrichment</w:t>
            </w:r>
          </w:p>
        </w:tc>
      </w:tr>
    </w:tbl>
    <w:p w14:paraId="1A9F5B0A"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Where two steps share a notebook section, one call performs both. Notebook section 0 is environment setup, covered in Module 0. Notebook section 6, composition versus expression, is reported under Results below rather than as a Methods step.</w:t>
      </w:r>
    </w:p>
    <w:p w14:paraId="6E743DAF"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1. Load and concatenate Module 1 QC objects</w:t>
      </w:r>
    </w:p>
    <w:p w14:paraId="7C6F6578"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Script.</w:t>
      </w:r>
      <w:r w:rsidRPr="003B4CBF">
        <w:rPr>
          <w:rFonts w:ascii="Times New Roman" w:hAnsi="Times New Roman" w:cs="Times New Roman"/>
        </w:rPr>
        <w:t xml:space="preserve"> </w:t>
      </w:r>
      <w:r w:rsidRPr="003B4CBF">
        <w:rPr>
          <w:rFonts w:ascii="Times New Roman" w:hAnsi="Times New Roman" w:cs="Times New Roman"/>
          <w:color w:val="1A3E6E"/>
          <w:sz w:val="19"/>
        </w:rPr>
        <w:t>scripts/nb03_integration/concatenate.py</w:t>
      </w:r>
      <w:r w:rsidRPr="003B4CBF">
        <w:rPr>
          <w:rFonts w:ascii="Times New Roman" w:hAnsi="Times New Roman" w:cs="Times New Roman"/>
        </w:rPr>
        <w:t xml:space="preserve"> (</w:t>
      </w:r>
      <w:r w:rsidRPr="003B4CBF">
        <w:rPr>
          <w:rFonts w:ascii="Times New Roman" w:hAnsi="Times New Roman" w:cs="Times New Roman"/>
          <w:color w:val="1A3E6E"/>
          <w:sz w:val="19"/>
        </w:rPr>
        <w:t>load_module2_inputs</w:t>
      </w:r>
      <w:r w:rsidRPr="003B4CBF">
        <w:rPr>
          <w:rFonts w:ascii="Times New Roman" w:hAnsi="Times New Roman" w:cs="Times New Roman"/>
        </w:rPr>
        <w:t xml:space="preserve">, </w:t>
      </w:r>
      <w:r w:rsidRPr="003B4CBF">
        <w:rPr>
          <w:rFonts w:ascii="Times New Roman" w:hAnsi="Times New Roman" w:cs="Times New Roman"/>
          <w:color w:val="1A3E6E"/>
          <w:sz w:val="19"/>
        </w:rPr>
        <w:t>concatenate_donors</w:t>
      </w:r>
      <w:r w:rsidRPr="003B4CBF">
        <w:rPr>
          <w:rFonts w:ascii="Times New Roman" w:hAnsi="Times New Roman" w:cs="Times New Roman"/>
        </w:rPr>
        <w:t xml:space="preserve">); path resolve via </w:t>
      </w:r>
      <w:r w:rsidRPr="003B4CBF">
        <w:rPr>
          <w:rFonts w:ascii="Times New Roman" w:hAnsi="Times New Roman" w:cs="Times New Roman"/>
          <w:color w:val="1A3E6E"/>
          <w:sz w:val="19"/>
        </w:rPr>
        <w:t>scripts/nb02_qc/export.py</w:t>
      </w:r>
      <w:r w:rsidRPr="003B4CBF">
        <w:rPr>
          <w:rFonts w:ascii="Times New Roman" w:hAnsi="Times New Roman" w:cs="Times New Roman"/>
        </w:rPr>
        <w:t xml:space="preserve"> (</w:t>
      </w:r>
      <w:r w:rsidRPr="003B4CBF">
        <w:rPr>
          <w:rFonts w:ascii="Times New Roman" w:hAnsi="Times New Roman" w:cs="Times New Roman"/>
          <w:color w:val="1A3E6E"/>
          <w:sz w:val="19"/>
        </w:rPr>
        <w:t>resolve_qc_h5ad</w:t>
      </w:r>
      <w:r w:rsidRPr="003B4CBF">
        <w:rPr>
          <w:rFonts w:ascii="Times New Roman" w:hAnsi="Times New Roman" w:cs="Times New Roman"/>
        </w:rPr>
        <w:t>).</w:t>
      </w:r>
    </w:p>
    <w:p w14:paraId="5894B962"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What.</w:t>
      </w:r>
      <w:r w:rsidRPr="003B4CBF">
        <w:rPr>
          <w:rFonts w:ascii="Times New Roman" w:hAnsi="Times New Roman" w:cs="Times New Roman"/>
        </w:rPr>
        <w:t xml:space="preserve"> Load the four Module 1 QC-preprocessed AnnData objects listed in </w:t>
      </w:r>
      <w:r w:rsidRPr="003B4CBF">
        <w:rPr>
          <w:rFonts w:ascii="Times New Roman" w:hAnsi="Times New Roman" w:cs="Times New Roman"/>
          <w:color w:val="1A3E6E"/>
          <w:sz w:val="19"/>
        </w:rPr>
        <w:t>module2.inputs</w:t>
      </w:r>
      <w:r w:rsidRPr="003B4CBF">
        <w:rPr>
          <w:rFonts w:ascii="Times New Roman" w:hAnsi="Times New Roman" w:cs="Times New Roman"/>
        </w:rPr>
        <w:t xml:space="preserve"> (post-QC, possibly subsampled teaching objects). Ensure donor metadata (</w:t>
      </w:r>
      <w:r w:rsidRPr="003B4CBF">
        <w:rPr>
          <w:rFonts w:ascii="Times New Roman" w:hAnsi="Times New Roman" w:cs="Times New Roman"/>
          <w:color w:val="1A3E6E"/>
          <w:sz w:val="19"/>
        </w:rPr>
        <w:t>donor_id</w:t>
      </w:r>
      <w:r w:rsidRPr="003B4CBF">
        <w:rPr>
          <w:rFonts w:ascii="Times New Roman" w:hAnsi="Times New Roman" w:cs="Times New Roman"/>
        </w:rPr>
        <w:t xml:space="preserve">, </w:t>
      </w:r>
      <w:r w:rsidRPr="003B4CBF">
        <w:rPr>
          <w:rFonts w:ascii="Times New Roman" w:hAnsi="Times New Roman" w:cs="Times New Roman"/>
          <w:color w:val="1A3E6E"/>
          <w:sz w:val="19"/>
        </w:rPr>
        <w:t>donor_label</w:t>
      </w:r>
      <w:r w:rsidRPr="003B4CBF">
        <w:rPr>
          <w:rFonts w:ascii="Times New Roman" w:hAnsi="Times New Roman" w:cs="Times New Roman"/>
        </w:rPr>
        <w:t xml:space="preserve">, </w:t>
      </w:r>
      <w:r w:rsidRPr="003B4CBF">
        <w:rPr>
          <w:rFonts w:ascii="Times New Roman" w:hAnsi="Times New Roman" w:cs="Times New Roman"/>
          <w:color w:val="1A3E6E"/>
          <w:sz w:val="19"/>
        </w:rPr>
        <w:t>block_id</w:t>
      </w:r>
      <w:r w:rsidRPr="003B4CBF">
        <w:rPr>
          <w:rFonts w:ascii="Times New Roman" w:hAnsi="Times New Roman" w:cs="Times New Roman"/>
        </w:rPr>
        <w:t xml:space="preserve">), uniquify observation names across donors, intersect on shared genes (prefer versionless Ensembl </w:t>
      </w:r>
      <w:r w:rsidRPr="003B4CBF">
        <w:rPr>
          <w:rFonts w:ascii="Times New Roman" w:hAnsi="Times New Roman" w:cs="Times New Roman"/>
          <w:color w:val="1A3E6E"/>
          <w:sz w:val="19"/>
        </w:rPr>
        <w:t>gene_id_no_version</w:t>
      </w:r>
      <w:r w:rsidRPr="003B4CBF">
        <w:rPr>
          <w:rFonts w:ascii="Times New Roman" w:hAnsi="Times New Roman" w:cs="Times New Roman"/>
        </w:rPr>
        <w:t xml:space="preserve">), and concatenate with an inner join. Outer-join fill is avoided so missing genes are not invented as zeros. </w:t>
      </w:r>
      <w:r w:rsidRPr="003B4CBF">
        <w:rPr>
          <w:rFonts w:ascii="Times New Roman" w:hAnsi="Times New Roman" w:cs="Times New Roman"/>
          <w:b/>
        </w:rPr>
        <w:t>Intron-feature exclusion does not happen here.</w:t>
      </w:r>
      <w:r w:rsidRPr="003B4CBF">
        <w:rPr>
          <w:rFonts w:ascii="Times New Roman" w:hAnsi="Times New Roman" w:cs="Times New Roman"/>
        </w:rPr>
        <w:t xml:space="preserve"> Salmon intron-tagged features (</w:t>
      </w:r>
      <w:r w:rsidRPr="003B4CBF">
        <w:rPr>
          <w:rFonts w:ascii="Times New Roman" w:hAnsi="Times New Roman" w:cs="Times New Roman"/>
          <w:color w:val="1A3E6E"/>
          <w:sz w:val="19"/>
        </w:rPr>
        <w:t>*-I</w:t>
      </w:r>
      <w:r w:rsidRPr="003B4CBF">
        <w:rPr>
          <w:rFonts w:ascii="Times New Roman" w:hAnsi="Times New Roman" w:cs="Times New Roman"/>
        </w:rPr>
        <w:t xml:space="preserve">) remain in the integrated object until the DE load path (step 6) when </w:t>
      </w:r>
      <w:r w:rsidRPr="003B4CBF">
        <w:rPr>
          <w:rFonts w:ascii="Times New Roman" w:hAnsi="Times New Roman" w:cs="Times New Roman"/>
          <w:color w:val="1A3E6E"/>
          <w:sz w:val="19"/>
        </w:rPr>
        <w:t>module2.exclude_intron_features</w:t>
      </w:r>
      <w:r w:rsidRPr="003B4CBF">
        <w:rPr>
          <w:rFonts w:ascii="Times New Roman" w:hAnsi="Times New Roman" w:cs="Times New Roman"/>
        </w:rPr>
        <w:t xml:space="preserve"> is true.</w:t>
      </w:r>
    </w:p>
    <w:p w14:paraId="5C98CA21"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Parameters: see Appendix, section 1.</w:t>
      </w:r>
    </w:p>
    <w:p w14:paraId="6C8F328C"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Why.</w:t>
      </w:r>
      <w:r w:rsidRPr="003B4CBF">
        <w:rPr>
          <w:rFonts w:ascii="Times New Roman" w:hAnsi="Times New Roman" w:cs="Times New Roman"/>
        </w:rPr>
        <w:t xml:space="preserve"> A joint embedding requires a shared feature space built from the same QC policy. Concatenating Module 1 objects (not raw portal matrices) keeps filters and the teaching subsample explicit. Using post-QC subsampled objects means Module 2 composition is not interchangeable with the Module 1 pre-QC secondary_analysis airway gate.</w:t>
      </w:r>
    </w:p>
    <w:p w14:paraId="4C93078A"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2. Joint embedding (recomputed HVG / PCA)</w:t>
      </w:r>
    </w:p>
    <w:p w14:paraId="3F951B84"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Script.</w:t>
      </w:r>
      <w:r w:rsidRPr="003B4CBF">
        <w:rPr>
          <w:rFonts w:ascii="Times New Roman" w:hAnsi="Times New Roman" w:cs="Times New Roman"/>
        </w:rPr>
        <w:t xml:space="preserve"> </w:t>
      </w:r>
      <w:r w:rsidRPr="003B4CBF">
        <w:rPr>
          <w:rFonts w:ascii="Times New Roman" w:hAnsi="Times New Roman" w:cs="Times New Roman"/>
          <w:color w:val="1A3E6E"/>
          <w:sz w:val="19"/>
        </w:rPr>
        <w:t>scripts/nb03_integration/integrate.py</w:t>
      </w:r>
      <w:r w:rsidRPr="003B4CBF">
        <w:rPr>
          <w:rFonts w:ascii="Times New Roman" w:hAnsi="Times New Roman" w:cs="Times New Roman"/>
        </w:rPr>
        <w:t xml:space="preserve"> (</w:t>
      </w:r>
      <w:r w:rsidRPr="003B4CBF">
        <w:rPr>
          <w:rFonts w:ascii="Times New Roman" w:hAnsi="Times New Roman" w:cs="Times New Roman"/>
          <w:color w:val="1A3E6E"/>
          <w:sz w:val="19"/>
        </w:rPr>
        <w:t>recompute_pca_umap</w:t>
      </w:r>
      <w:r w:rsidRPr="003B4CBF">
        <w:rPr>
          <w:rFonts w:ascii="Times New Roman" w:hAnsi="Times New Roman" w:cs="Times New Roman"/>
        </w:rPr>
        <w:t>).</w:t>
      </w:r>
    </w:p>
    <w:p w14:paraId="564D5D62"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lastRenderedPageBreak/>
        <w:t>What.</w:t>
      </w:r>
      <w:r w:rsidRPr="003B4CBF">
        <w:rPr>
          <w:rFonts w:ascii="Times New Roman" w:hAnsi="Times New Roman" w:cs="Times New Roman"/>
        </w:rPr>
        <w:t xml:space="preserve"> On the concatenated object, recompute highly variable genes, scale, and PCA, then neighbors and UMAP on </w:t>
      </w:r>
      <w:r w:rsidRPr="003B4CBF">
        <w:rPr>
          <w:rFonts w:ascii="Times New Roman" w:hAnsi="Times New Roman" w:cs="Times New Roman"/>
          <w:color w:val="1A3E6E"/>
          <w:sz w:val="19"/>
        </w:rPr>
        <w:t>X_pca</w:t>
      </w:r>
      <w:r w:rsidRPr="003B4CBF">
        <w:rPr>
          <w:rFonts w:ascii="Times New Roman" w:hAnsi="Times New Roman" w:cs="Times New Roman"/>
        </w:rPr>
        <w:t xml:space="preserve"> (pre-Harmony view). Module 1 per-donor PCA/UMAP is </w:t>
      </w:r>
      <w:r w:rsidRPr="003B4CBF">
        <w:rPr>
          <w:rFonts w:ascii="Times New Roman" w:hAnsi="Times New Roman" w:cs="Times New Roman"/>
          <w:b/>
        </w:rPr>
        <w:t>not</w:t>
      </w:r>
      <w:r w:rsidRPr="003B4CBF">
        <w:rPr>
          <w:rFonts w:ascii="Times New Roman" w:hAnsi="Times New Roman" w:cs="Times New Roman"/>
        </w:rPr>
        <w:t xml:space="preserve"> reused. Teaching defaults use </w:t>
      </w:r>
      <w:r w:rsidRPr="003B4CBF">
        <w:rPr>
          <w:rFonts w:ascii="Times New Roman" w:hAnsi="Times New Roman" w:cs="Times New Roman"/>
          <w:color w:val="1A3E6E"/>
          <w:sz w:val="19"/>
        </w:rPr>
        <w:t>n_pcs=40</w:t>
      </w:r>
      <w:r w:rsidRPr="003B4CBF">
        <w:rPr>
          <w:rFonts w:ascii="Times New Roman" w:hAnsi="Times New Roman" w:cs="Times New Roman"/>
        </w:rPr>
        <w:t xml:space="preserve"> (not Module 1's 50) so the joint basis is defined at integration time.</w:t>
      </w:r>
    </w:p>
    <w:p w14:paraId="71046EE9"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Parameters: see Appendix, section 2.</w:t>
      </w:r>
    </w:p>
    <w:p w14:paraId="521FD994"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Why.</w:t>
      </w:r>
      <w:r w:rsidRPr="003B4CBF">
        <w:rPr>
          <w:rFonts w:ascii="Times New Roman" w:hAnsi="Times New Roman" w:cs="Times New Roman"/>
        </w:rPr>
        <w:t xml:space="preserve"> Joint HVG/PCA puts all donors in one feature basis before batch correction. Reusing Module 1 embeddings would mix incompatible PCA spaces and hide the integration step learners are meant to inspect.</w:t>
      </w:r>
    </w:p>
    <w:p w14:paraId="2AEAE30D"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3. Harmony batch correction</w:t>
      </w:r>
    </w:p>
    <w:p w14:paraId="10152CDD"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Script.</w:t>
      </w:r>
      <w:r w:rsidRPr="003B4CBF">
        <w:rPr>
          <w:rFonts w:ascii="Times New Roman" w:hAnsi="Times New Roman" w:cs="Times New Roman"/>
        </w:rPr>
        <w:t xml:space="preserve"> </w:t>
      </w:r>
      <w:r w:rsidRPr="003B4CBF">
        <w:rPr>
          <w:rFonts w:ascii="Times New Roman" w:hAnsi="Times New Roman" w:cs="Times New Roman"/>
          <w:color w:val="1A3E6E"/>
          <w:sz w:val="19"/>
        </w:rPr>
        <w:t>scripts/nb03_integration/integrate.py</w:t>
      </w:r>
      <w:r w:rsidRPr="003B4CBF">
        <w:rPr>
          <w:rFonts w:ascii="Times New Roman" w:hAnsi="Times New Roman" w:cs="Times New Roman"/>
        </w:rPr>
        <w:t xml:space="preserve"> (</w:t>
      </w:r>
      <w:r w:rsidRPr="003B4CBF">
        <w:rPr>
          <w:rFonts w:ascii="Times New Roman" w:hAnsi="Times New Roman" w:cs="Times New Roman"/>
          <w:color w:val="1A3E6E"/>
          <w:sz w:val="19"/>
        </w:rPr>
        <w:t>run_harmony</w:t>
      </w:r>
      <w:r w:rsidRPr="003B4CBF">
        <w:rPr>
          <w:rFonts w:ascii="Times New Roman" w:hAnsi="Times New Roman" w:cs="Times New Roman"/>
        </w:rPr>
        <w:t>).</w:t>
      </w:r>
    </w:p>
    <w:p w14:paraId="1766C42C"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What.</w:t>
      </w:r>
      <w:r w:rsidRPr="003B4CBF">
        <w:rPr>
          <w:rFonts w:ascii="Times New Roman" w:hAnsi="Times New Roman" w:cs="Times New Roman"/>
        </w:rPr>
        <w:t xml:space="preserve"> Run </w:t>
      </w:r>
      <w:r w:rsidRPr="003B4CBF">
        <w:rPr>
          <w:rFonts w:ascii="Times New Roman" w:hAnsi="Times New Roman" w:cs="Times New Roman"/>
          <w:color w:val="1A3E6E"/>
          <w:sz w:val="19"/>
        </w:rPr>
        <w:t>harmonypy</w:t>
      </w:r>
      <w:r w:rsidRPr="003B4CBF">
        <w:rPr>
          <w:rFonts w:ascii="Times New Roman" w:hAnsi="Times New Roman" w:cs="Times New Roman"/>
        </w:rPr>
        <w:t xml:space="preserve"> on </w:t>
      </w:r>
      <w:r w:rsidRPr="003B4CBF">
        <w:rPr>
          <w:rFonts w:ascii="Times New Roman" w:hAnsi="Times New Roman" w:cs="Times New Roman"/>
          <w:color w:val="1A3E6E"/>
          <w:sz w:val="19"/>
        </w:rPr>
        <w:t>X_pca</w:t>
      </w:r>
      <w:r w:rsidRPr="003B4CBF">
        <w:rPr>
          <w:rFonts w:ascii="Times New Roman" w:hAnsi="Times New Roman" w:cs="Times New Roman"/>
        </w:rPr>
        <w:t xml:space="preserve"> with batch key </w:t>
      </w:r>
      <w:r w:rsidRPr="003B4CBF">
        <w:rPr>
          <w:rFonts w:ascii="Times New Roman" w:hAnsi="Times New Roman" w:cs="Times New Roman"/>
          <w:color w:val="1A3E6E"/>
          <w:sz w:val="19"/>
        </w:rPr>
        <w:t>donor_id</w:t>
      </w:r>
      <w:r w:rsidRPr="003B4CBF">
        <w:rPr>
          <w:rFonts w:ascii="Times New Roman" w:hAnsi="Times New Roman" w:cs="Times New Roman"/>
        </w:rPr>
        <w:t xml:space="preserve">, store corrected embedding in </w:t>
      </w:r>
      <w:r w:rsidRPr="003B4CBF">
        <w:rPr>
          <w:rFonts w:ascii="Times New Roman" w:hAnsi="Times New Roman" w:cs="Times New Roman"/>
          <w:color w:val="1A3E6E"/>
          <w:sz w:val="19"/>
        </w:rPr>
        <w:t>obsm['X_pca_harmony']</w:t>
      </w:r>
      <w:r w:rsidRPr="003B4CBF">
        <w:rPr>
          <w:rFonts w:ascii="Times New Roman" w:hAnsi="Times New Roman" w:cs="Times New Roman"/>
        </w:rPr>
        <w:t xml:space="preserve">, then recompute neighbors (key </w:t>
      </w:r>
      <w:r w:rsidRPr="003B4CBF">
        <w:rPr>
          <w:rFonts w:ascii="Times New Roman" w:hAnsi="Times New Roman" w:cs="Times New Roman"/>
          <w:color w:val="1A3E6E"/>
          <w:sz w:val="19"/>
        </w:rPr>
        <w:t>harmony</w:t>
      </w:r>
      <w:r w:rsidRPr="003B4CBF">
        <w:rPr>
          <w:rFonts w:ascii="Times New Roman" w:hAnsi="Times New Roman" w:cs="Times New Roman"/>
        </w:rPr>
        <w:t>) and UMAP (</w:t>
      </w:r>
      <w:r w:rsidRPr="003B4CBF">
        <w:rPr>
          <w:rFonts w:ascii="Times New Roman" w:hAnsi="Times New Roman" w:cs="Times New Roman"/>
          <w:color w:val="1A3E6E"/>
          <w:sz w:val="19"/>
        </w:rPr>
        <w:t>X_umap_harmony</w:t>
      </w:r>
      <w:r w:rsidRPr="003B4CBF">
        <w:rPr>
          <w:rFonts w:ascii="Times New Roman" w:hAnsi="Times New Roman" w:cs="Times New Roman"/>
        </w:rPr>
        <w:t xml:space="preserve">) using the same embedding neighbor/UMAP knobs. </w:t>
      </w:r>
      <w:r w:rsidRPr="003B4CBF">
        <w:rPr>
          <w:rFonts w:ascii="Times New Roman" w:hAnsi="Times New Roman" w:cs="Times New Roman"/>
          <w:color w:val="1A3E6E"/>
          <w:sz w:val="19"/>
        </w:rPr>
        <w:t>theta</w:t>
      </w:r>
      <w:r w:rsidRPr="003B4CBF">
        <w:rPr>
          <w:rFonts w:ascii="Times New Roman" w:hAnsi="Times New Roman" w:cs="Times New Roman"/>
        </w:rPr>
        <w:t xml:space="preserve"> defaults to null (harmonypy default); </w:t>
      </w:r>
      <w:r w:rsidRPr="003B4CBF">
        <w:rPr>
          <w:rFonts w:ascii="Times New Roman" w:hAnsi="Times New Roman" w:cs="Times New Roman"/>
          <w:color w:val="1A3E6E"/>
          <w:sz w:val="19"/>
        </w:rPr>
        <w:t>max_iter_harmony=20</w:t>
      </w:r>
      <w:r w:rsidRPr="003B4CBF">
        <w:rPr>
          <w:rFonts w:ascii="Times New Roman" w:hAnsi="Times New Roman" w:cs="Times New Roman"/>
        </w:rPr>
        <w:t>.</w:t>
      </w:r>
    </w:p>
    <w:p w14:paraId="5C809410"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Parameters: see Appendix, section 3.</w:t>
      </w:r>
    </w:p>
    <w:p w14:paraId="4BBD1FF9"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Why.</w:t>
      </w:r>
      <w:r w:rsidRPr="003B4CBF">
        <w:rPr>
          <w:rFonts w:ascii="Times New Roman" w:hAnsi="Times New Roman" w:cs="Times New Roman"/>
        </w:rPr>
        <w:t xml:space="preserve"> Donor is a technical factor in multi-donor atlases. Harmony adjusts the PCA embedding so neighborhoods mix donors while preserving local structure better than regressing donor as a linear covariate in expression space. Mixing metrics (next step) are required; a prettier UMAP is not evidence.</w:t>
      </w:r>
    </w:p>
    <w:p w14:paraId="31807E75"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4. Mixing and silhouette diagnostics</w:t>
      </w:r>
    </w:p>
    <w:p w14:paraId="298010AB"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Script.</w:t>
      </w:r>
      <w:r w:rsidRPr="003B4CBF">
        <w:rPr>
          <w:rFonts w:ascii="Times New Roman" w:hAnsi="Times New Roman" w:cs="Times New Roman"/>
        </w:rPr>
        <w:t xml:space="preserve"> </w:t>
      </w:r>
      <w:r w:rsidRPr="003B4CBF">
        <w:rPr>
          <w:rFonts w:ascii="Times New Roman" w:hAnsi="Times New Roman" w:cs="Times New Roman"/>
          <w:color w:val="1A3E6E"/>
          <w:sz w:val="19"/>
        </w:rPr>
        <w:t>scripts/nb03_integration/integrate.py</w:t>
      </w:r>
      <w:r w:rsidRPr="003B4CBF">
        <w:rPr>
          <w:rFonts w:ascii="Times New Roman" w:hAnsi="Times New Roman" w:cs="Times New Roman"/>
        </w:rPr>
        <w:t xml:space="preserve"> (</w:t>
      </w:r>
      <w:r w:rsidRPr="003B4CBF">
        <w:rPr>
          <w:rFonts w:ascii="Times New Roman" w:hAnsi="Times New Roman" w:cs="Times New Roman"/>
          <w:color w:val="1A3E6E"/>
          <w:sz w:val="19"/>
        </w:rPr>
        <w:t>harmony_mixing_metrics</w:t>
      </w:r>
      <w:r w:rsidRPr="003B4CBF">
        <w:rPr>
          <w:rFonts w:ascii="Times New Roman" w:hAnsi="Times New Roman" w:cs="Times New Roman"/>
        </w:rPr>
        <w:t xml:space="preserve">, </w:t>
      </w:r>
      <w:r w:rsidRPr="003B4CBF">
        <w:rPr>
          <w:rFonts w:ascii="Times New Roman" w:hAnsi="Times New Roman" w:cs="Times New Roman"/>
          <w:color w:val="1A3E6E"/>
          <w:sz w:val="19"/>
        </w:rPr>
        <w:t>harmony_silhouette_by_celltype</w:t>
      </w:r>
      <w:r w:rsidRPr="003B4CBF">
        <w:rPr>
          <w:rFonts w:ascii="Times New Roman" w:hAnsi="Times New Roman" w:cs="Times New Roman"/>
        </w:rPr>
        <w:t>).</w:t>
      </w:r>
    </w:p>
    <w:p w14:paraId="310C3282"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What.</w:t>
      </w:r>
      <w:r w:rsidRPr="003B4CBF">
        <w:rPr>
          <w:rFonts w:ascii="Times New Roman" w:hAnsi="Times New Roman" w:cs="Times New Roman"/>
        </w:rPr>
        <w:t xml:space="preserve"> When </w:t>
      </w:r>
      <w:proofErr w:type="gramStart"/>
      <w:r w:rsidRPr="003B4CBF">
        <w:rPr>
          <w:rFonts w:ascii="Times New Roman" w:hAnsi="Times New Roman" w:cs="Times New Roman"/>
          <w:color w:val="1A3E6E"/>
          <w:sz w:val="19"/>
        </w:rPr>
        <w:t>module2.diagnostics.enabled</w:t>
      </w:r>
      <w:proofErr w:type="gramEnd"/>
      <w:r w:rsidRPr="003B4CBF">
        <w:rPr>
          <w:rFonts w:ascii="Times New Roman" w:hAnsi="Times New Roman" w:cs="Times New Roman"/>
        </w:rPr>
        <w:t xml:space="preserve"> is true, score mean </w:t>
      </w:r>
      <w:proofErr w:type="gramStart"/>
      <w:r w:rsidRPr="003B4CBF">
        <w:rPr>
          <w:rFonts w:ascii="Times New Roman" w:hAnsi="Times New Roman" w:cs="Times New Roman"/>
        </w:rPr>
        <w:t>foreign-donor</w:t>
      </w:r>
      <w:proofErr w:type="gramEnd"/>
      <w:r w:rsidRPr="003B4CBF">
        <w:rPr>
          <w:rFonts w:ascii="Times New Roman" w:hAnsi="Times New Roman" w:cs="Times New Roman"/>
        </w:rPr>
        <w:t xml:space="preserve"> kNN fraction on </w:t>
      </w:r>
      <w:r w:rsidRPr="003B4CBF">
        <w:rPr>
          <w:rFonts w:ascii="Times New Roman" w:hAnsi="Times New Roman" w:cs="Times New Roman"/>
          <w:color w:val="1A3E6E"/>
          <w:sz w:val="19"/>
        </w:rPr>
        <w:t>X_pca</w:t>
      </w:r>
      <w:r w:rsidRPr="003B4CBF">
        <w:rPr>
          <w:rFonts w:ascii="Times New Roman" w:hAnsi="Times New Roman" w:cs="Times New Roman"/>
        </w:rPr>
        <w:t xml:space="preserve"> versus </w:t>
      </w:r>
      <w:r w:rsidRPr="003B4CBF">
        <w:rPr>
          <w:rFonts w:ascii="Times New Roman" w:hAnsi="Times New Roman" w:cs="Times New Roman"/>
          <w:color w:val="1A3E6E"/>
          <w:sz w:val="19"/>
        </w:rPr>
        <w:t>X_pca_harmony</w:t>
      </w:r>
      <w:r w:rsidRPr="003B4CBF">
        <w:rPr>
          <w:rFonts w:ascii="Times New Roman" w:hAnsi="Times New Roman" w:cs="Times New Roman"/>
        </w:rPr>
        <w:t xml:space="preserve"> (k=</w:t>
      </w:r>
      <w:r w:rsidRPr="003B4CBF">
        <w:rPr>
          <w:rFonts w:ascii="Times New Roman" w:hAnsi="Times New Roman" w:cs="Times New Roman"/>
          <w:color w:val="1A3E6E"/>
          <w:sz w:val="19"/>
        </w:rPr>
        <w:t>knn_k</w:t>
      </w:r>
      <w:r w:rsidRPr="003B4CBF">
        <w:rPr>
          <w:rFonts w:ascii="Times New Roman" w:hAnsi="Times New Roman" w:cs="Times New Roman"/>
        </w:rPr>
        <w:t xml:space="preserve">, optional subsample to </w:t>
      </w:r>
      <w:r w:rsidRPr="003B4CBF">
        <w:rPr>
          <w:rFonts w:ascii="Times New Roman" w:hAnsi="Times New Roman" w:cs="Times New Roman"/>
          <w:color w:val="1A3E6E"/>
          <w:sz w:val="19"/>
        </w:rPr>
        <w:t>max_cells</w:t>
      </w:r>
      <w:r w:rsidRPr="003B4CBF">
        <w:rPr>
          <w:rFonts w:ascii="Times New Roman" w:hAnsi="Times New Roman" w:cs="Times New Roman"/>
        </w:rPr>
        <w:t xml:space="preserve">), and donor silhouette within coarse </w:t>
      </w:r>
      <w:r w:rsidRPr="003B4CBF">
        <w:rPr>
          <w:rFonts w:ascii="Times New Roman" w:hAnsi="Times New Roman" w:cs="Times New Roman"/>
          <w:color w:val="1A3E6E"/>
          <w:sz w:val="19"/>
        </w:rPr>
        <w:t>cell_class</w:t>
      </w:r>
      <w:r w:rsidRPr="003B4CBF">
        <w:rPr>
          <w:rFonts w:ascii="Times New Roman" w:hAnsi="Times New Roman" w:cs="Times New Roman"/>
        </w:rPr>
        <w:t>. These are learner diagnostics, not gates that block DE.</w:t>
      </w:r>
    </w:p>
    <w:p w14:paraId="3BFA7C85"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Parameters: see Appendix, section 4.</w:t>
      </w:r>
    </w:p>
    <w:p w14:paraId="1387C53F"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Why.</w:t>
      </w:r>
      <w:r w:rsidRPr="003B4CBF">
        <w:rPr>
          <w:rFonts w:ascii="Times New Roman" w:hAnsi="Times New Roman" w:cs="Times New Roman"/>
        </w:rPr>
        <w:t xml:space="preserve"> </w:t>
      </w:r>
      <w:proofErr w:type="gramStart"/>
      <w:r w:rsidRPr="003B4CBF">
        <w:rPr>
          <w:rFonts w:ascii="Times New Roman" w:hAnsi="Times New Roman" w:cs="Times New Roman"/>
        </w:rPr>
        <w:t>Foreign-donor</w:t>
      </w:r>
      <w:proofErr w:type="gramEnd"/>
      <w:r w:rsidRPr="003B4CBF">
        <w:rPr>
          <w:rFonts w:ascii="Times New Roman" w:hAnsi="Times New Roman" w:cs="Times New Roman"/>
        </w:rPr>
        <w:t xml:space="preserve"> kNN rising after Harmony is the quantitative mixing claim. Within-class donor silhouette becoming more negative usually agrees. Read both with marker coherence so overmixing is visible.</w:t>
      </w:r>
    </w:p>
    <w:p w14:paraId="5AA6CDF0"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5. Coarse cell_class mapping, composition, and pseudobulk</w:t>
      </w:r>
    </w:p>
    <w:p w14:paraId="4C37580A"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Script.</w:t>
      </w:r>
      <w:r w:rsidRPr="003B4CBF">
        <w:rPr>
          <w:rFonts w:ascii="Times New Roman" w:hAnsi="Times New Roman" w:cs="Times New Roman"/>
        </w:rPr>
        <w:t xml:space="preserve"> </w:t>
      </w:r>
      <w:r w:rsidRPr="003B4CBF">
        <w:rPr>
          <w:rFonts w:ascii="Times New Roman" w:hAnsi="Times New Roman" w:cs="Times New Roman"/>
          <w:color w:val="1A3E6E"/>
          <w:sz w:val="19"/>
        </w:rPr>
        <w:t>scripts/nb03_integration/integrate.py</w:t>
      </w:r>
      <w:r w:rsidRPr="003B4CBF">
        <w:rPr>
          <w:rFonts w:ascii="Times New Roman" w:hAnsi="Times New Roman" w:cs="Times New Roman"/>
        </w:rPr>
        <w:t xml:space="preserve"> (</w:t>
      </w:r>
      <w:r w:rsidRPr="003B4CBF">
        <w:rPr>
          <w:rFonts w:ascii="Times New Roman" w:hAnsi="Times New Roman" w:cs="Times New Roman"/>
          <w:color w:val="1A3E6E"/>
          <w:sz w:val="19"/>
        </w:rPr>
        <w:t>assign_coarse_cell_class</w:t>
      </w:r>
      <w:r w:rsidRPr="003B4CBF">
        <w:rPr>
          <w:rFonts w:ascii="Times New Roman" w:hAnsi="Times New Roman" w:cs="Times New Roman"/>
        </w:rPr>
        <w:t xml:space="preserve">, </w:t>
      </w:r>
      <w:r w:rsidRPr="003B4CBF">
        <w:rPr>
          <w:rFonts w:ascii="Times New Roman" w:hAnsi="Times New Roman" w:cs="Times New Roman"/>
          <w:color w:val="1A3E6E"/>
          <w:sz w:val="19"/>
        </w:rPr>
        <w:t>assert_azimuth_mapping_coverage</w:t>
      </w:r>
      <w:r w:rsidRPr="003B4CBF">
        <w:rPr>
          <w:rFonts w:ascii="Times New Roman" w:hAnsi="Times New Roman" w:cs="Times New Roman"/>
        </w:rPr>
        <w:t xml:space="preserve">, </w:t>
      </w:r>
      <w:r w:rsidRPr="003B4CBF">
        <w:rPr>
          <w:rFonts w:ascii="Times New Roman" w:hAnsi="Times New Roman" w:cs="Times New Roman"/>
          <w:color w:val="1A3E6E"/>
          <w:sz w:val="19"/>
        </w:rPr>
        <w:t>donor_composition</w:t>
      </w:r>
      <w:r w:rsidRPr="003B4CBF">
        <w:rPr>
          <w:rFonts w:ascii="Times New Roman" w:hAnsi="Times New Roman" w:cs="Times New Roman"/>
        </w:rPr>
        <w:t xml:space="preserve">, </w:t>
      </w:r>
      <w:r w:rsidRPr="003B4CBF">
        <w:rPr>
          <w:rFonts w:ascii="Times New Roman" w:hAnsi="Times New Roman" w:cs="Times New Roman"/>
          <w:color w:val="1A3E6E"/>
          <w:sz w:val="19"/>
        </w:rPr>
        <w:t>cell_class_membership_frame</w:t>
      </w:r>
      <w:r w:rsidRPr="003B4CBF">
        <w:rPr>
          <w:rFonts w:ascii="Times New Roman" w:hAnsi="Times New Roman" w:cs="Times New Roman"/>
        </w:rPr>
        <w:t xml:space="preserve">); </w:t>
      </w:r>
      <w:r w:rsidRPr="003B4CBF">
        <w:rPr>
          <w:rFonts w:ascii="Times New Roman" w:hAnsi="Times New Roman" w:cs="Times New Roman"/>
          <w:color w:val="1A3E6E"/>
          <w:sz w:val="19"/>
        </w:rPr>
        <w:t>scripts/nb03_integration/compare.py</w:t>
      </w:r>
      <w:r w:rsidRPr="003B4CBF">
        <w:rPr>
          <w:rFonts w:ascii="Times New Roman" w:hAnsi="Times New Roman" w:cs="Times New Roman"/>
        </w:rPr>
        <w:t xml:space="preserve"> (</w:t>
      </w:r>
      <w:r w:rsidRPr="003B4CBF">
        <w:rPr>
          <w:rFonts w:ascii="Times New Roman" w:hAnsi="Times New Roman" w:cs="Times New Roman"/>
          <w:color w:val="1A3E6E"/>
          <w:sz w:val="19"/>
        </w:rPr>
        <w:t>composition_weighted_pseudobulk</w:t>
      </w:r>
      <w:r w:rsidRPr="003B4CBF">
        <w:rPr>
          <w:rFonts w:ascii="Times New Roman" w:hAnsi="Times New Roman" w:cs="Times New Roman"/>
        </w:rPr>
        <w:t xml:space="preserve">, </w:t>
      </w:r>
      <w:r w:rsidRPr="003B4CBF">
        <w:rPr>
          <w:rFonts w:ascii="Times New Roman" w:hAnsi="Times New Roman" w:cs="Times New Roman"/>
          <w:color w:val="1A3E6E"/>
          <w:sz w:val="19"/>
        </w:rPr>
        <w:t>max_across_labels_pseudobulk</w:t>
      </w:r>
      <w:r w:rsidRPr="003B4CBF">
        <w:rPr>
          <w:rFonts w:ascii="Times New Roman" w:hAnsi="Times New Roman" w:cs="Times New Roman"/>
        </w:rPr>
        <w:t xml:space="preserve">, </w:t>
      </w:r>
      <w:r w:rsidRPr="003B4CBF">
        <w:rPr>
          <w:rFonts w:ascii="Times New Roman" w:hAnsi="Times New Roman" w:cs="Times New Roman"/>
          <w:color w:val="1A3E6E"/>
          <w:sz w:val="19"/>
        </w:rPr>
        <w:t>label_fractions</w:t>
      </w:r>
      <w:r w:rsidRPr="003B4CBF">
        <w:rPr>
          <w:rFonts w:ascii="Times New Roman" w:hAnsi="Times New Roman" w:cs="Times New Roman"/>
        </w:rPr>
        <w:t xml:space="preserve">); export in </w:t>
      </w:r>
      <w:r w:rsidRPr="003B4CBF">
        <w:rPr>
          <w:rFonts w:ascii="Times New Roman" w:hAnsi="Times New Roman" w:cs="Times New Roman"/>
          <w:color w:val="1A3E6E"/>
          <w:sz w:val="19"/>
        </w:rPr>
        <w:t>scripts/nb03_integration/export.py</w:t>
      </w:r>
      <w:r w:rsidRPr="003B4CBF">
        <w:rPr>
          <w:rFonts w:ascii="Times New Roman" w:hAnsi="Times New Roman" w:cs="Times New Roman"/>
        </w:rPr>
        <w:t>.</w:t>
      </w:r>
    </w:p>
    <w:p w14:paraId="02394809"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What.</w:t>
      </w:r>
      <w:r w:rsidRPr="003B4CBF">
        <w:rPr>
          <w:rFonts w:ascii="Times New Roman" w:hAnsi="Times New Roman" w:cs="Times New Roman"/>
        </w:rPr>
        <w:t xml:space="preserve"> Map Azimuth fine labels to </w:t>
      </w:r>
      <w:r w:rsidRPr="003B4CBF">
        <w:rPr>
          <w:rFonts w:ascii="Times New Roman" w:hAnsi="Times New Roman" w:cs="Times New Roman"/>
          <w:b/>
        </w:rPr>
        <w:t>exactly four</w:t>
      </w:r>
      <w:r w:rsidRPr="003B4CBF">
        <w:rPr>
          <w:rFonts w:ascii="Times New Roman" w:hAnsi="Times New Roman" w:cs="Times New Roman"/>
        </w:rPr>
        <w:t xml:space="preserve"> coarse buckets: </w:t>
      </w:r>
      <w:r w:rsidRPr="003B4CBF">
        <w:rPr>
          <w:rFonts w:ascii="Times New Roman" w:hAnsi="Times New Roman" w:cs="Times New Roman"/>
          <w:color w:val="1A3E6E"/>
          <w:sz w:val="19"/>
        </w:rPr>
        <w:t>epithelial</w:t>
      </w:r>
      <w:r w:rsidRPr="003B4CBF">
        <w:rPr>
          <w:rFonts w:ascii="Times New Roman" w:hAnsi="Times New Roman" w:cs="Times New Roman"/>
        </w:rPr>
        <w:t xml:space="preserve">, </w:t>
      </w:r>
      <w:r w:rsidRPr="003B4CBF">
        <w:rPr>
          <w:rFonts w:ascii="Times New Roman" w:hAnsi="Times New Roman" w:cs="Times New Roman"/>
          <w:color w:val="1A3E6E"/>
          <w:sz w:val="19"/>
        </w:rPr>
        <w:t>endothelial</w:t>
      </w:r>
      <w:r w:rsidRPr="003B4CBF">
        <w:rPr>
          <w:rFonts w:ascii="Times New Roman" w:hAnsi="Times New Roman" w:cs="Times New Roman"/>
        </w:rPr>
        <w:t xml:space="preserve">, </w:t>
      </w:r>
      <w:r w:rsidRPr="003B4CBF">
        <w:rPr>
          <w:rFonts w:ascii="Times New Roman" w:hAnsi="Times New Roman" w:cs="Times New Roman"/>
          <w:color w:val="1A3E6E"/>
          <w:sz w:val="19"/>
        </w:rPr>
        <w:t>stromal</w:t>
      </w:r>
      <w:r w:rsidRPr="003B4CBF">
        <w:rPr>
          <w:rFonts w:ascii="Times New Roman" w:hAnsi="Times New Roman" w:cs="Times New Roman"/>
        </w:rPr>
        <w:t xml:space="preserve">, </w:t>
      </w:r>
      <w:r w:rsidRPr="003B4CBF">
        <w:rPr>
          <w:rFonts w:ascii="Times New Roman" w:hAnsi="Times New Roman" w:cs="Times New Roman"/>
          <w:color w:val="1A3E6E"/>
          <w:sz w:val="19"/>
        </w:rPr>
        <w:t>immune</w:t>
      </w:r>
      <w:r w:rsidRPr="003B4CBF">
        <w:rPr>
          <w:rFonts w:ascii="Times New Roman" w:hAnsi="Times New Roman" w:cs="Times New Roman"/>
        </w:rPr>
        <w:t xml:space="preserve">. Airway secretory and gland labels (Club, Goblet, SMG, Deuterosomal, transitional Club-AT2, Tuft, and related) fold into </w:t>
      </w:r>
      <w:r w:rsidRPr="003B4CBF">
        <w:rPr>
          <w:rFonts w:ascii="Times New Roman" w:hAnsi="Times New Roman" w:cs="Times New Roman"/>
          <w:b/>
        </w:rPr>
        <w:t>epithelial</w:t>
      </w:r>
      <w:r w:rsidRPr="003B4CBF">
        <w:rPr>
          <w:rFonts w:ascii="Times New Roman" w:hAnsi="Times New Roman" w:cs="Times New Roman"/>
        </w:rPr>
        <w:t xml:space="preserve">. There is no fifth coarse airway class. Both Unicode and ASCII macrophage keys map to immune (Azimuth </w:t>
      </w:r>
      <w:r w:rsidRPr="003B4CBF">
        <w:rPr>
          <w:rFonts w:ascii="Times New Roman" w:hAnsi="Times New Roman" w:cs="Times New Roman"/>
          <w:color w:val="1A3E6E"/>
          <w:sz w:val="19"/>
        </w:rPr>
        <w:t>Monocyte-derived M</w:t>
      </w:r>
      <w:r w:rsidRPr="003B4CBF">
        <w:rPr>
          <w:rFonts w:ascii="Times New Roman" w:hAnsi="Times New Roman" w:cs="Times New Roman"/>
        </w:rPr>
        <w:t xml:space="preserve"> + Greek phi, and ASCII </w:t>
      </w:r>
      <w:r w:rsidRPr="003B4CBF">
        <w:rPr>
          <w:rFonts w:ascii="Times New Roman" w:hAnsi="Times New Roman" w:cs="Times New Roman"/>
          <w:color w:val="1A3E6E"/>
          <w:sz w:val="19"/>
        </w:rPr>
        <w:t>Monocyte-derived Mphi</w:t>
      </w:r>
      <w:r w:rsidRPr="003B4CBF">
        <w:rPr>
          <w:rFonts w:ascii="Times New Roman" w:hAnsi="Times New Roman" w:cs="Times New Roman"/>
        </w:rPr>
        <w:t xml:space="preserve">; likewise interstitial macrophage variants with phi / </w:t>
      </w:r>
      <w:r w:rsidRPr="003B4CBF">
        <w:rPr>
          <w:rFonts w:ascii="Times New Roman" w:hAnsi="Times New Roman" w:cs="Times New Roman"/>
          <w:color w:val="1A3E6E"/>
          <w:sz w:val="19"/>
        </w:rPr>
        <w:t>Mphi</w:t>
      </w:r>
      <w:r w:rsidRPr="003B4CBF">
        <w:rPr>
          <w:rFonts w:ascii="Times New Roman" w:hAnsi="Times New Roman" w:cs="Times New Roman"/>
        </w:rPr>
        <w:t>). Unmapped labels are listed loudly and never silently bucketed; unlabeled nuclei are dropped before DE group sizes are quoted.</w:t>
      </w:r>
    </w:p>
    <w:p w14:paraId="6A8D30EC"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Build donor-by-label crosstabs and cell-type fractions on the </w:t>
      </w:r>
      <w:r w:rsidRPr="003B4CBF">
        <w:rPr>
          <w:rFonts w:ascii="Times New Roman" w:hAnsi="Times New Roman" w:cs="Times New Roman"/>
          <w:b/>
        </w:rPr>
        <w:t>post-QC subsampled</w:t>
      </w:r>
      <w:r w:rsidRPr="003B4CBF">
        <w:rPr>
          <w:rFonts w:ascii="Times New Roman" w:hAnsi="Times New Roman" w:cs="Times New Roman"/>
        </w:rPr>
        <w:t xml:space="preserve"> integrated object. When </w:t>
      </w:r>
      <w:r w:rsidRPr="003B4CBF">
        <w:rPr>
          <w:rFonts w:ascii="Times New Roman" w:hAnsi="Times New Roman" w:cs="Times New Roman"/>
          <w:color w:val="1A3E6E"/>
          <w:sz w:val="19"/>
        </w:rPr>
        <w:t>module2.export_pseudobulk</w:t>
      </w:r>
      <w:r w:rsidRPr="003B4CBF">
        <w:rPr>
          <w:rFonts w:ascii="Times New Roman" w:hAnsi="Times New Roman" w:cs="Times New Roman"/>
        </w:rPr>
        <w:t xml:space="preserve"> is true, export composition-weighted and max-across-labels linear-scale pseudobulk vectors for Module 4's HuBMAP-GTEx bridge (plus fractions).</w:t>
      </w:r>
    </w:p>
    <w:p w14:paraId="459ABBA8"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Parameters: see Appendix, section 5.</w:t>
      </w:r>
    </w:p>
    <w:p w14:paraId="5C1DF86B"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lastRenderedPageBreak/>
        <w:t>Why.</w:t>
      </w:r>
      <w:r w:rsidRPr="003B4CBF">
        <w:rPr>
          <w:rFonts w:ascii="Times New Roman" w:hAnsi="Times New Roman" w:cs="Times New Roman"/>
        </w:rPr>
        <w:t xml:space="preserve"> Four-bucket labels keep classroom DE interpretable and force airway biology into epithelial rather than inventing a fifth DE group. Two pseudobulks answer different questions: composition-weighted tracks tissue-level bulk when abundances differ; max-across asks for the strongest class program. Module 4 compares them explicitly.</w:t>
      </w:r>
    </w:p>
    <w:p w14:paraId="04CFF94A"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6. Intron exclusion on the DE path, Wilcoxon markers</w:t>
      </w:r>
    </w:p>
    <w:p w14:paraId="399B4C3F"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Script.</w:t>
      </w:r>
      <w:r w:rsidRPr="003B4CBF">
        <w:rPr>
          <w:rFonts w:ascii="Times New Roman" w:hAnsi="Times New Roman" w:cs="Times New Roman"/>
        </w:rPr>
        <w:t xml:space="preserve"> </w:t>
      </w:r>
      <w:r w:rsidRPr="003B4CBF">
        <w:rPr>
          <w:rFonts w:ascii="Times New Roman" w:hAnsi="Times New Roman" w:cs="Times New Roman"/>
          <w:color w:val="1A3E6E"/>
          <w:sz w:val="19"/>
        </w:rPr>
        <w:t>scripts/nb04_de/load.py</w:t>
      </w:r>
      <w:r w:rsidRPr="003B4CBF">
        <w:rPr>
          <w:rFonts w:ascii="Times New Roman" w:hAnsi="Times New Roman" w:cs="Times New Roman"/>
        </w:rPr>
        <w:t xml:space="preserve"> (</w:t>
      </w:r>
      <w:r w:rsidRPr="003B4CBF">
        <w:rPr>
          <w:rFonts w:ascii="Times New Roman" w:hAnsi="Times New Roman" w:cs="Times New Roman"/>
          <w:color w:val="1A3E6E"/>
          <w:sz w:val="19"/>
        </w:rPr>
        <w:t>load_integrated</w:t>
      </w:r>
      <w:r w:rsidRPr="003B4CBF">
        <w:rPr>
          <w:rFonts w:ascii="Times New Roman" w:hAnsi="Times New Roman" w:cs="Times New Roman"/>
        </w:rPr>
        <w:t xml:space="preserve">, </w:t>
      </w:r>
      <w:r w:rsidRPr="003B4CBF">
        <w:rPr>
          <w:rFonts w:ascii="Times New Roman" w:hAnsi="Times New Roman" w:cs="Times New Roman"/>
          <w:color w:val="1A3E6E"/>
          <w:sz w:val="19"/>
        </w:rPr>
        <w:t>exclude_intron_features</w:t>
      </w:r>
      <w:r w:rsidRPr="003B4CBF">
        <w:rPr>
          <w:rFonts w:ascii="Times New Roman" w:hAnsi="Times New Roman" w:cs="Times New Roman"/>
        </w:rPr>
        <w:t xml:space="preserve">); </w:t>
      </w:r>
      <w:r w:rsidRPr="003B4CBF">
        <w:rPr>
          <w:rFonts w:ascii="Times New Roman" w:hAnsi="Times New Roman" w:cs="Times New Roman"/>
          <w:color w:val="1A3E6E"/>
          <w:sz w:val="19"/>
        </w:rPr>
        <w:t>scripts/nb04_de/markers.py</w:t>
      </w:r>
      <w:r w:rsidRPr="003B4CBF">
        <w:rPr>
          <w:rFonts w:ascii="Times New Roman" w:hAnsi="Times New Roman" w:cs="Times New Roman"/>
        </w:rPr>
        <w:t xml:space="preserve"> (</w:t>
      </w:r>
      <w:r w:rsidRPr="003B4CBF">
        <w:rPr>
          <w:rFonts w:ascii="Times New Roman" w:hAnsi="Times New Roman" w:cs="Times New Roman"/>
          <w:color w:val="1A3E6E"/>
          <w:sz w:val="19"/>
        </w:rPr>
        <w:t>run_rank_genes</w:t>
      </w:r>
      <w:r w:rsidRPr="003B4CBF">
        <w:rPr>
          <w:rFonts w:ascii="Times New Roman" w:hAnsi="Times New Roman" w:cs="Times New Roman"/>
        </w:rPr>
        <w:t xml:space="preserve">, </w:t>
      </w:r>
      <w:r w:rsidRPr="003B4CBF">
        <w:rPr>
          <w:rFonts w:ascii="Times New Roman" w:hAnsi="Times New Roman" w:cs="Times New Roman"/>
          <w:color w:val="1A3E6E"/>
          <w:sz w:val="19"/>
        </w:rPr>
        <w:t>run_rank_genes_for_prerank</w:t>
      </w:r>
      <w:r w:rsidRPr="003B4CBF">
        <w:rPr>
          <w:rFonts w:ascii="Times New Roman" w:hAnsi="Times New Roman" w:cs="Times New Roman"/>
        </w:rPr>
        <w:t>, marker filtering helpers).</w:t>
      </w:r>
    </w:p>
    <w:p w14:paraId="15C8E7DA"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What.</w:t>
      </w:r>
      <w:r w:rsidRPr="003B4CBF">
        <w:rPr>
          <w:rFonts w:ascii="Times New Roman" w:hAnsi="Times New Roman" w:cs="Times New Roman"/>
        </w:rPr>
        <w:t xml:space="preserve"> Load the integrated h5ad for DE. When </w:t>
      </w:r>
      <w:r w:rsidRPr="003B4CBF">
        <w:rPr>
          <w:rFonts w:ascii="Times New Roman" w:hAnsi="Times New Roman" w:cs="Times New Roman"/>
          <w:color w:val="1A3E6E"/>
          <w:sz w:val="19"/>
        </w:rPr>
        <w:t>module2.exclude_intron_features: true</w:t>
      </w:r>
      <w:r w:rsidRPr="003B4CBF">
        <w:rPr>
          <w:rFonts w:ascii="Times New Roman" w:hAnsi="Times New Roman" w:cs="Times New Roman"/>
        </w:rPr>
        <w:t>, drop Salmon intron-tagged features (</w:t>
      </w:r>
      <w:r w:rsidRPr="003B4CBF">
        <w:rPr>
          <w:rFonts w:ascii="Times New Roman" w:hAnsi="Times New Roman" w:cs="Times New Roman"/>
          <w:color w:val="1A3E6E"/>
          <w:sz w:val="19"/>
        </w:rPr>
        <w:t>*-I</w:t>
      </w:r>
      <w:r w:rsidRPr="003B4CBF">
        <w:rPr>
          <w:rFonts w:ascii="Times New Roman" w:hAnsi="Times New Roman" w:cs="Times New Roman"/>
        </w:rPr>
        <w:t xml:space="preserve">) </w:t>
      </w:r>
      <w:r w:rsidRPr="003B4CBF">
        <w:rPr>
          <w:rFonts w:ascii="Times New Roman" w:hAnsi="Times New Roman" w:cs="Times New Roman"/>
          <w:b/>
        </w:rPr>
        <w:t>on this DE object only</w:t>
      </w:r>
      <w:r w:rsidRPr="003B4CBF">
        <w:rPr>
          <w:rFonts w:ascii="Times New Roman" w:hAnsi="Times New Roman" w:cs="Times New Roman"/>
        </w:rPr>
        <w:t xml:space="preserve">; the on-disk integrated embedding object retains them unless rewritten. Record pre/post feature-space descriptions in </w:t>
      </w:r>
      <w:r w:rsidRPr="003B4CBF">
        <w:rPr>
          <w:rFonts w:ascii="Times New Roman" w:hAnsi="Times New Roman" w:cs="Times New Roman"/>
          <w:color w:val="1A3E6E"/>
          <w:sz w:val="19"/>
        </w:rPr>
        <w:t>adata.uns['module2_feature_space']</w:t>
      </w:r>
      <w:r w:rsidRPr="003B4CBF">
        <w:rPr>
          <w:rFonts w:ascii="Times New Roman" w:hAnsi="Times New Roman" w:cs="Times New Roman"/>
        </w:rPr>
        <w:t xml:space="preserve">. Run Wilcoxon rank-sum markers per </w:t>
      </w:r>
      <w:r w:rsidRPr="003B4CBF">
        <w:rPr>
          <w:rFonts w:ascii="Times New Roman" w:hAnsi="Times New Roman" w:cs="Times New Roman"/>
          <w:color w:val="1A3E6E"/>
          <w:sz w:val="19"/>
        </w:rPr>
        <w:t>cell_class</w:t>
      </w:r>
      <w:r w:rsidRPr="003B4CBF">
        <w:rPr>
          <w:rFonts w:ascii="Times New Roman" w:hAnsi="Times New Roman" w:cs="Times New Roman"/>
        </w:rPr>
        <w:t xml:space="preserve"> (reference rest) with configured </w:t>
      </w:r>
      <w:r w:rsidRPr="003B4CBF">
        <w:rPr>
          <w:rFonts w:ascii="Times New Roman" w:hAnsi="Times New Roman" w:cs="Times New Roman"/>
          <w:color w:val="1A3E6E"/>
          <w:sz w:val="19"/>
        </w:rPr>
        <w:t>n_genes</w:t>
      </w:r>
      <w:r w:rsidRPr="003B4CBF">
        <w:rPr>
          <w:rFonts w:ascii="Times New Roman" w:hAnsi="Times New Roman" w:cs="Times New Roman"/>
        </w:rPr>
        <w:t xml:space="preserve">, </w:t>
      </w:r>
      <w:r w:rsidRPr="003B4CBF">
        <w:rPr>
          <w:rFonts w:ascii="Times New Roman" w:hAnsi="Times New Roman" w:cs="Times New Roman"/>
          <w:color w:val="1A3E6E"/>
          <w:sz w:val="19"/>
        </w:rPr>
        <w:t>min_cells_per_group</w:t>
      </w:r>
      <w:r w:rsidRPr="003B4CBF">
        <w:rPr>
          <w:rFonts w:ascii="Times New Roman" w:hAnsi="Times New Roman" w:cs="Times New Roman"/>
        </w:rPr>
        <w:t xml:space="preserve">, and later filter by </w:t>
      </w:r>
      <w:r w:rsidRPr="003B4CBF">
        <w:rPr>
          <w:rFonts w:ascii="Times New Roman" w:hAnsi="Times New Roman" w:cs="Times New Roman"/>
          <w:color w:val="1A3E6E"/>
          <w:sz w:val="19"/>
        </w:rPr>
        <w:t>min_logfoldchange</w:t>
      </w:r>
      <w:r w:rsidRPr="003B4CBF">
        <w:rPr>
          <w:rFonts w:ascii="Times New Roman" w:hAnsi="Times New Roman" w:cs="Times New Roman"/>
        </w:rPr>
        <w:t xml:space="preserve"> / </w:t>
      </w:r>
      <w:r w:rsidRPr="003B4CBF">
        <w:rPr>
          <w:rFonts w:ascii="Times New Roman" w:hAnsi="Times New Roman" w:cs="Times New Roman"/>
          <w:color w:val="1A3E6E"/>
          <w:sz w:val="19"/>
        </w:rPr>
        <w:t>max_padj</w:t>
      </w:r>
      <w:r w:rsidRPr="003B4CBF">
        <w:rPr>
          <w:rFonts w:ascii="Times New Roman" w:hAnsi="Times New Roman" w:cs="Times New Roman"/>
        </w:rPr>
        <w:t>. Optionally exclude ribosomal genes from marker tables. A separate full-universe rank supports prerank GSEA.</w:t>
      </w:r>
    </w:p>
    <w:p w14:paraId="57735D4D"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Parameters: see Appendix, section 6.</w:t>
      </w:r>
    </w:p>
    <w:p w14:paraId="7FCF3B45"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Why.</w:t>
      </w:r>
      <w:r w:rsidRPr="003B4CBF">
        <w:rPr>
          <w:rFonts w:ascii="Times New Roman" w:hAnsi="Times New Roman" w:cs="Times New Roman"/>
        </w:rPr>
        <w:t xml:space="preserve"> Intron exclusion is a DE-path </w:t>
      </w:r>
      <w:proofErr w:type="gramStart"/>
      <w:r w:rsidRPr="003B4CBF">
        <w:rPr>
          <w:rFonts w:ascii="Times New Roman" w:hAnsi="Times New Roman" w:cs="Times New Roman"/>
        </w:rPr>
        <w:t>decision</w:t>
      </w:r>
      <w:proofErr w:type="gramEnd"/>
      <w:r w:rsidRPr="003B4CBF">
        <w:rPr>
          <w:rFonts w:ascii="Times New Roman" w:hAnsi="Times New Roman" w:cs="Times New Roman"/>
        </w:rPr>
        <w:t xml:space="preserve"> so embedding feature space stays comparable to Module 1 gene intersection while marker ranks avoid intron-duplicate inflation. Wilcoxon on log-normalized X is the teaching default; counts remain in </w:t>
      </w:r>
      <w:r w:rsidRPr="003B4CBF">
        <w:rPr>
          <w:rFonts w:ascii="Times New Roman" w:hAnsi="Times New Roman" w:cs="Times New Roman"/>
          <w:color w:val="1A3E6E"/>
          <w:sz w:val="19"/>
        </w:rPr>
        <w:t>layers['counts']</w:t>
      </w:r>
      <w:r w:rsidRPr="003B4CBF">
        <w:rPr>
          <w:rFonts w:ascii="Times New Roman" w:hAnsi="Times New Roman" w:cs="Times New Roman"/>
        </w:rPr>
        <w:t>.</w:t>
      </w:r>
    </w:p>
    <w:p w14:paraId="4C21C046"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7. Local GMT enrichment (ORA and prerank)</w:t>
      </w:r>
    </w:p>
    <w:p w14:paraId="45DA2129"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Script.</w:t>
      </w:r>
      <w:r w:rsidRPr="003B4CBF">
        <w:rPr>
          <w:rFonts w:ascii="Times New Roman" w:hAnsi="Times New Roman" w:cs="Times New Roman"/>
        </w:rPr>
        <w:t xml:space="preserve"> </w:t>
      </w:r>
      <w:r w:rsidRPr="003B4CBF">
        <w:rPr>
          <w:rFonts w:ascii="Times New Roman" w:hAnsi="Times New Roman" w:cs="Times New Roman"/>
          <w:color w:val="1A3E6E"/>
          <w:sz w:val="19"/>
        </w:rPr>
        <w:t>scripts/nb04_de/enrich.py</w:t>
      </w:r>
      <w:r w:rsidRPr="003B4CBF">
        <w:rPr>
          <w:rFonts w:ascii="Times New Roman" w:hAnsi="Times New Roman" w:cs="Times New Roman"/>
        </w:rPr>
        <w:t xml:space="preserve"> (</w:t>
      </w:r>
      <w:r w:rsidRPr="003B4CBF">
        <w:rPr>
          <w:rFonts w:ascii="Times New Roman" w:hAnsi="Times New Roman" w:cs="Times New Roman"/>
          <w:color w:val="1A3E6E"/>
          <w:sz w:val="19"/>
        </w:rPr>
        <w:t>resolve_gmt_paths</w:t>
      </w:r>
      <w:r w:rsidRPr="003B4CBF">
        <w:rPr>
          <w:rFonts w:ascii="Times New Roman" w:hAnsi="Times New Roman" w:cs="Times New Roman"/>
        </w:rPr>
        <w:t xml:space="preserve">, </w:t>
      </w:r>
      <w:r w:rsidRPr="003B4CBF">
        <w:rPr>
          <w:rFonts w:ascii="Times New Roman" w:hAnsi="Times New Roman" w:cs="Times New Roman"/>
          <w:color w:val="1A3E6E"/>
          <w:sz w:val="19"/>
        </w:rPr>
        <w:t>run_enrichment_for_groups</w:t>
      </w:r>
      <w:r w:rsidRPr="003B4CBF">
        <w:rPr>
          <w:rFonts w:ascii="Times New Roman" w:hAnsi="Times New Roman" w:cs="Times New Roman"/>
        </w:rPr>
        <w:t xml:space="preserve">, </w:t>
      </w:r>
      <w:r w:rsidRPr="003B4CBF">
        <w:rPr>
          <w:rFonts w:ascii="Times New Roman" w:hAnsi="Times New Roman" w:cs="Times New Roman"/>
          <w:color w:val="1A3E6E"/>
          <w:sz w:val="19"/>
        </w:rPr>
        <w:t>run_prerank_gsea</w:t>
      </w:r>
      <w:r w:rsidRPr="003B4CBF">
        <w:rPr>
          <w:rFonts w:ascii="Times New Roman" w:hAnsi="Times New Roman" w:cs="Times New Roman"/>
        </w:rPr>
        <w:t>).</w:t>
      </w:r>
    </w:p>
    <w:p w14:paraId="5C36F2AA"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What.</w:t>
      </w:r>
      <w:r w:rsidRPr="003B4CBF">
        <w:rPr>
          <w:rFonts w:ascii="Times New Roman" w:hAnsi="Times New Roman" w:cs="Times New Roman"/>
        </w:rPr>
        <w:t xml:space="preserve"> Over-representation enrichment per </w:t>
      </w:r>
      <w:r w:rsidRPr="003B4CBF">
        <w:rPr>
          <w:rFonts w:ascii="Times New Roman" w:hAnsi="Times New Roman" w:cs="Times New Roman"/>
          <w:color w:val="1A3E6E"/>
          <w:sz w:val="19"/>
        </w:rPr>
        <w:t>cell_class</w:t>
      </w:r>
      <w:r w:rsidRPr="003B4CBF">
        <w:rPr>
          <w:rFonts w:ascii="Times New Roman" w:hAnsi="Times New Roman" w:cs="Times New Roman"/>
        </w:rPr>
        <w:t xml:space="preserve"> against local GMT files (Hallmark 2020, Reactome 2022, GO Biological Process 2023; ****), with background equal to genes measured in the DE object (</w:t>
      </w:r>
      <w:proofErr w:type="gramStart"/>
      <w:r w:rsidRPr="003B4CBF">
        <w:rPr>
          <w:rFonts w:ascii="Times New Roman" w:hAnsi="Times New Roman" w:cs="Times New Roman"/>
          <w:color w:val="1A3E6E"/>
          <w:sz w:val="19"/>
        </w:rPr>
        <w:t>enrichment.mode</w:t>
      </w:r>
      <w:proofErr w:type="gramEnd"/>
      <w:r w:rsidRPr="003B4CBF">
        <w:rPr>
          <w:rFonts w:ascii="Times New Roman" w:hAnsi="Times New Roman" w:cs="Times New Roman"/>
          <w:color w:val="1A3E6E"/>
          <w:sz w:val="19"/>
        </w:rPr>
        <w:t>: local_gmt</w:t>
      </w:r>
      <w:r w:rsidRPr="003B4CBF">
        <w:rPr>
          <w:rFonts w:ascii="Times New Roman" w:hAnsi="Times New Roman" w:cs="Times New Roman"/>
        </w:rPr>
        <w:t xml:space="preserve">). Take top </w:t>
      </w:r>
      <w:r w:rsidRPr="003B4CBF">
        <w:rPr>
          <w:rFonts w:ascii="Times New Roman" w:hAnsi="Times New Roman" w:cs="Times New Roman"/>
          <w:color w:val="1A3E6E"/>
          <w:sz w:val="19"/>
        </w:rPr>
        <w:t>top_genes_per_group</w:t>
      </w:r>
      <w:r w:rsidRPr="003B4CBF">
        <w:rPr>
          <w:rFonts w:ascii="Times New Roman" w:hAnsi="Times New Roman" w:cs="Times New Roman"/>
        </w:rPr>
        <w:t xml:space="preserve"> markers passing padj cutoff. Separately run preranked GSEA on Wilcoxon scores with </w:t>
      </w:r>
      <w:r w:rsidRPr="003B4CBF">
        <w:rPr>
          <w:rFonts w:ascii="Times New Roman" w:hAnsi="Times New Roman" w:cs="Times New Roman"/>
          <w:color w:val="1A3E6E"/>
          <w:sz w:val="19"/>
        </w:rPr>
        <w:t>min_size=15</w:t>
      </w:r>
      <w:r w:rsidRPr="003B4CBF">
        <w:rPr>
          <w:rFonts w:ascii="Times New Roman" w:hAnsi="Times New Roman" w:cs="Times New Roman"/>
        </w:rPr>
        <w:t xml:space="preserve">, </w:t>
      </w:r>
      <w:r w:rsidRPr="003B4CBF">
        <w:rPr>
          <w:rFonts w:ascii="Times New Roman" w:hAnsi="Times New Roman" w:cs="Times New Roman"/>
          <w:color w:val="1A3E6E"/>
          <w:sz w:val="19"/>
        </w:rPr>
        <w:t>max_size=500</w:t>
      </w:r>
      <w:r w:rsidRPr="003B4CBF">
        <w:rPr>
          <w:rFonts w:ascii="Times New Roman" w:hAnsi="Times New Roman" w:cs="Times New Roman"/>
        </w:rPr>
        <w:t xml:space="preserve">, </w:t>
      </w:r>
      <w:r w:rsidRPr="003B4CBF">
        <w:rPr>
          <w:rFonts w:ascii="Times New Roman" w:hAnsi="Times New Roman" w:cs="Times New Roman"/>
          <w:color w:val="1A3E6E"/>
          <w:sz w:val="19"/>
        </w:rPr>
        <w:t>permutation_num=100</w:t>
      </w:r>
      <w:r w:rsidRPr="003B4CBF">
        <w:rPr>
          <w:rFonts w:ascii="Times New Roman" w:hAnsi="Times New Roman" w:cs="Times New Roman"/>
        </w:rPr>
        <w:t>. Enrichr online remains opt-in only.</w:t>
      </w:r>
    </w:p>
    <w:p w14:paraId="43085C9E"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Parameters: see Appendix, section 7.</w:t>
      </w:r>
    </w:p>
    <w:p w14:paraId="32D5F2B7"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Why.</w:t>
      </w:r>
      <w:r w:rsidRPr="003B4CBF">
        <w:rPr>
          <w:rFonts w:ascii="Times New Roman" w:hAnsi="Times New Roman" w:cs="Times New Roman"/>
        </w:rPr>
        <w:t xml:space="preserve"> Local GMTs keep teaching offline and </w:t>
      </w:r>
      <w:proofErr w:type="gramStart"/>
      <w:r w:rsidRPr="003B4CBF">
        <w:rPr>
          <w:rFonts w:ascii="Times New Roman" w:hAnsi="Times New Roman" w:cs="Times New Roman"/>
        </w:rPr>
        <w:t>license-clear</w:t>
      </w:r>
      <w:proofErr w:type="gramEnd"/>
      <w:r w:rsidRPr="003B4CBF">
        <w:rPr>
          <w:rFonts w:ascii="Times New Roman" w:hAnsi="Times New Roman" w:cs="Times New Roman"/>
        </w:rPr>
        <w:t xml:space="preserve">. Enrichment is hypothesis-generating: inspect gene membership and </w:t>
      </w:r>
      <w:r w:rsidRPr="003B4CBF">
        <w:rPr>
          <w:rFonts w:ascii="Times New Roman" w:hAnsi="Times New Roman" w:cs="Times New Roman"/>
          <w:color w:val="1A3E6E"/>
          <w:sz w:val="19"/>
        </w:rPr>
        <w:t>n_input_genes</w:t>
      </w:r>
      <w:r w:rsidRPr="003B4CBF">
        <w:rPr>
          <w:rFonts w:ascii="Times New Roman" w:hAnsi="Times New Roman" w:cs="Times New Roman"/>
        </w:rPr>
        <w:t xml:space="preserve"> before claiming a pathway story. Prefer terms that recur across libraries and that match known lung markers in the dotplots.</w:t>
      </w:r>
    </w:p>
    <w:p w14:paraId="54CD1DBD"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Production coarse group sizes on the integrated object are epithelial 6,928, endothelial 6,205, stromal 3,190 and immune 2,556 nuclei. A fifth group, </w:t>
      </w:r>
      <w:r w:rsidRPr="003B4CBF">
        <w:rPr>
          <w:rFonts w:ascii="Times New Roman" w:hAnsi="Times New Roman" w:cs="Times New Roman"/>
          <w:color w:val="1A3E6E"/>
          <w:sz w:val="19"/>
        </w:rPr>
        <w:t>unlabeled</w:t>
      </w:r>
      <w:r w:rsidRPr="003B4CBF">
        <w:rPr>
          <w:rFonts w:ascii="Times New Roman" w:hAnsi="Times New Roman" w:cs="Times New Roman"/>
        </w:rPr>
        <w:t xml:space="preserve">, holds 5 nuclei, falls below the </w:t>
      </w:r>
      <w:r w:rsidRPr="003B4CBF">
        <w:rPr>
          <w:rFonts w:ascii="Times New Roman" w:hAnsi="Times New Roman" w:cs="Times New Roman"/>
          <w:color w:val="1A3E6E"/>
          <w:sz w:val="19"/>
        </w:rPr>
        <w:t>min_cells_per_group</w:t>
      </w:r>
      <w:r w:rsidRPr="003B4CBF">
        <w:rPr>
          <w:rFonts w:ascii="Times New Roman" w:hAnsi="Times New Roman" w:cs="Times New Roman"/>
        </w:rPr>
        <w:t xml:space="preserve"> floor of 50, and is dropped and reported rather than merged into a neighbor.</w:t>
      </w:r>
    </w:p>
    <w:p w14:paraId="5BFAAB88" w14:textId="77777777" w:rsidR="003B4CBF" w:rsidRPr="003B4CBF" w:rsidRDefault="003B4CBF" w:rsidP="003B4CBF">
      <w:pPr>
        <w:pStyle w:val="Heading1"/>
        <w:rPr>
          <w:rFonts w:ascii="Times New Roman" w:hAnsi="Times New Roman" w:cs="Times New Roman"/>
        </w:rPr>
      </w:pPr>
      <w:r w:rsidRPr="003B4CBF">
        <w:rPr>
          <w:rFonts w:ascii="Times New Roman" w:hAnsi="Times New Roman" w:cs="Times New Roman"/>
          <w:color w:val="1F4E79"/>
        </w:rPr>
        <w:t>4. Results</w:t>
      </w:r>
    </w:p>
    <w:p w14:paraId="3A93725F"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Donor composition after concatenation</w:t>
      </w:r>
    </w:p>
    <w:tbl>
      <w:tblPr>
        <w:tblStyle w:val="TableGrid"/>
        <w:tblW w:w="0" w:type="auto"/>
        <w:jc w:val="center"/>
        <w:tblLook w:val="04A0" w:firstRow="1" w:lastRow="0" w:firstColumn="1" w:lastColumn="0" w:noHBand="0" w:noVBand="1"/>
      </w:tblPr>
      <w:tblGrid>
        <w:gridCol w:w="889"/>
        <w:gridCol w:w="1341"/>
        <w:gridCol w:w="1370"/>
        <w:gridCol w:w="692"/>
        <w:gridCol w:w="662"/>
        <w:gridCol w:w="4396"/>
      </w:tblGrid>
      <w:tr w:rsidR="003B4CBF" w:rsidRPr="003B4CBF" w14:paraId="411786D0" w14:textId="77777777" w:rsidTr="00151104">
        <w:trPr>
          <w:jc w:val="center"/>
        </w:trPr>
        <w:tc>
          <w:tcPr>
            <w:tcW w:w="1560" w:type="dxa"/>
            <w:shd w:val="clear" w:color="auto" w:fill="DCE6F1"/>
          </w:tcPr>
          <w:p w14:paraId="45978AEA"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donor_label</w:t>
            </w:r>
          </w:p>
        </w:tc>
        <w:tc>
          <w:tcPr>
            <w:tcW w:w="1560" w:type="dxa"/>
            <w:shd w:val="clear" w:color="auto" w:fill="DCE6F1"/>
          </w:tcPr>
          <w:p w14:paraId="61B91C21"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donor_id</w:t>
            </w:r>
          </w:p>
        </w:tc>
        <w:tc>
          <w:tcPr>
            <w:tcW w:w="1560" w:type="dxa"/>
            <w:shd w:val="clear" w:color="auto" w:fill="DCE6F1"/>
          </w:tcPr>
          <w:p w14:paraId="15791820"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block_id</w:t>
            </w:r>
          </w:p>
        </w:tc>
        <w:tc>
          <w:tcPr>
            <w:tcW w:w="1560" w:type="dxa"/>
            <w:shd w:val="clear" w:color="auto" w:fill="DCE6F1"/>
          </w:tcPr>
          <w:p w14:paraId="619F39F2"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n_nuclei</w:t>
            </w:r>
          </w:p>
        </w:tc>
        <w:tc>
          <w:tcPr>
            <w:tcW w:w="1560" w:type="dxa"/>
            <w:shd w:val="clear" w:color="auto" w:fill="DCE6F1"/>
          </w:tcPr>
          <w:p w14:paraId="347EED34"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n_genes</w:t>
            </w:r>
          </w:p>
        </w:tc>
        <w:tc>
          <w:tcPr>
            <w:tcW w:w="1560" w:type="dxa"/>
            <w:shd w:val="clear" w:color="auto" w:fill="DCE6F1"/>
          </w:tcPr>
          <w:p w14:paraId="045EBA23"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source_h5ad</w:t>
            </w:r>
          </w:p>
        </w:tc>
      </w:tr>
      <w:tr w:rsidR="003B4CBF" w:rsidRPr="003B4CBF" w14:paraId="2A9A18F0" w14:textId="77777777" w:rsidTr="00151104">
        <w:trPr>
          <w:jc w:val="center"/>
        </w:trPr>
        <w:tc>
          <w:tcPr>
            <w:tcW w:w="1560" w:type="dxa"/>
          </w:tcPr>
          <w:p w14:paraId="3E9BB8F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Donor_1</w:t>
            </w:r>
          </w:p>
        </w:tc>
        <w:tc>
          <w:tcPr>
            <w:tcW w:w="1560" w:type="dxa"/>
          </w:tcPr>
          <w:p w14:paraId="7712FE8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HBM943.SCQQ.877</w:t>
            </w:r>
          </w:p>
        </w:tc>
        <w:tc>
          <w:tcPr>
            <w:tcW w:w="1560" w:type="dxa"/>
          </w:tcPr>
          <w:p w14:paraId="2EBB0FA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HBM347.VDHS.379</w:t>
            </w:r>
          </w:p>
        </w:tc>
        <w:tc>
          <w:tcPr>
            <w:tcW w:w="1560" w:type="dxa"/>
          </w:tcPr>
          <w:p w14:paraId="595463B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3884</w:t>
            </w:r>
          </w:p>
        </w:tc>
        <w:tc>
          <w:tcPr>
            <w:tcW w:w="1560" w:type="dxa"/>
          </w:tcPr>
          <w:p w14:paraId="158157F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45859</w:t>
            </w:r>
          </w:p>
        </w:tc>
        <w:tc>
          <w:tcPr>
            <w:tcW w:w="1560" w:type="dxa"/>
          </w:tcPr>
          <w:p w14:paraId="1E18705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data/processed/hubmap/module1_HBM347.VDHS.379_qc_preprocessed.h5ad</w:t>
            </w:r>
          </w:p>
        </w:tc>
      </w:tr>
      <w:tr w:rsidR="003B4CBF" w:rsidRPr="003B4CBF" w14:paraId="22010A7C" w14:textId="77777777" w:rsidTr="00151104">
        <w:trPr>
          <w:jc w:val="center"/>
        </w:trPr>
        <w:tc>
          <w:tcPr>
            <w:tcW w:w="1560" w:type="dxa"/>
          </w:tcPr>
          <w:p w14:paraId="74BB818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Donor_2</w:t>
            </w:r>
          </w:p>
        </w:tc>
        <w:tc>
          <w:tcPr>
            <w:tcW w:w="1560" w:type="dxa"/>
          </w:tcPr>
          <w:p w14:paraId="5865302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HBM994.NXZC.854</w:t>
            </w:r>
          </w:p>
        </w:tc>
        <w:tc>
          <w:tcPr>
            <w:tcW w:w="1560" w:type="dxa"/>
          </w:tcPr>
          <w:p w14:paraId="3CF4F14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HBM473.NKMR.872</w:t>
            </w:r>
          </w:p>
        </w:tc>
        <w:tc>
          <w:tcPr>
            <w:tcW w:w="1560" w:type="dxa"/>
          </w:tcPr>
          <w:p w14:paraId="1BDA0C7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5000</w:t>
            </w:r>
          </w:p>
        </w:tc>
        <w:tc>
          <w:tcPr>
            <w:tcW w:w="1560" w:type="dxa"/>
          </w:tcPr>
          <w:p w14:paraId="171CDD8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49754</w:t>
            </w:r>
          </w:p>
        </w:tc>
        <w:tc>
          <w:tcPr>
            <w:tcW w:w="1560" w:type="dxa"/>
          </w:tcPr>
          <w:p w14:paraId="496AD1D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data/processed/hubmap/module1_HBM473.NKMR.872_qc_preprocessed.h5ad</w:t>
            </w:r>
          </w:p>
        </w:tc>
      </w:tr>
      <w:tr w:rsidR="003B4CBF" w:rsidRPr="003B4CBF" w14:paraId="551FCB6A" w14:textId="77777777" w:rsidTr="00151104">
        <w:trPr>
          <w:jc w:val="center"/>
        </w:trPr>
        <w:tc>
          <w:tcPr>
            <w:tcW w:w="1560" w:type="dxa"/>
          </w:tcPr>
          <w:p w14:paraId="1CFC07AC"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lastRenderedPageBreak/>
              <w:t>Donor_3</w:t>
            </w:r>
          </w:p>
        </w:tc>
        <w:tc>
          <w:tcPr>
            <w:tcW w:w="1560" w:type="dxa"/>
          </w:tcPr>
          <w:p w14:paraId="0BBF160C"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HBM643.KCCK.866</w:t>
            </w:r>
          </w:p>
        </w:tc>
        <w:tc>
          <w:tcPr>
            <w:tcW w:w="1560" w:type="dxa"/>
          </w:tcPr>
          <w:p w14:paraId="3CBD858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HBM484.RGWP.797</w:t>
            </w:r>
          </w:p>
        </w:tc>
        <w:tc>
          <w:tcPr>
            <w:tcW w:w="1560" w:type="dxa"/>
          </w:tcPr>
          <w:p w14:paraId="4DB95F1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5000</w:t>
            </w:r>
          </w:p>
        </w:tc>
        <w:tc>
          <w:tcPr>
            <w:tcW w:w="1560" w:type="dxa"/>
          </w:tcPr>
          <w:p w14:paraId="5B81F2A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53014</w:t>
            </w:r>
          </w:p>
        </w:tc>
        <w:tc>
          <w:tcPr>
            <w:tcW w:w="1560" w:type="dxa"/>
          </w:tcPr>
          <w:p w14:paraId="234625A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data/processed/hubmap/module1_HBM484.RGWP.797_qc_preprocessed.h5ad</w:t>
            </w:r>
          </w:p>
        </w:tc>
      </w:tr>
      <w:tr w:rsidR="003B4CBF" w:rsidRPr="003B4CBF" w14:paraId="22954D2A" w14:textId="77777777" w:rsidTr="00151104">
        <w:trPr>
          <w:jc w:val="center"/>
        </w:trPr>
        <w:tc>
          <w:tcPr>
            <w:tcW w:w="1560" w:type="dxa"/>
          </w:tcPr>
          <w:p w14:paraId="3FCB877C"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Donor_4</w:t>
            </w:r>
          </w:p>
        </w:tc>
        <w:tc>
          <w:tcPr>
            <w:tcW w:w="1560" w:type="dxa"/>
          </w:tcPr>
          <w:p w14:paraId="7E19820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HBM428.GRPJ.489</w:t>
            </w:r>
          </w:p>
        </w:tc>
        <w:tc>
          <w:tcPr>
            <w:tcW w:w="1560" w:type="dxa"/>
          </w:tcPr>
          <w:p w14:paraId="339F1D0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HBM379.QCJT.435</w:t>
            </w:r>
          </w:p>
        </w:tc>
        <w:tc>
          <w:tcPr>
            <w:tcW w:w="1560" w:type="dxa"/>
          </w:tcPr>
          <w:p w14:paraId="7A29ED4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5000</w:t>
            </w:r>
          </w:p>
        </w:tc>
        <w:tc>
          <w:tcPr>
            <w:tcW w:w="1560" w:type="dxa"/>
          </w:tcPr>
          <w:p w14:paraId="357FFB0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47770</w:t>
            </w:r>
          </w:p>
        </w:tc>
        <w:tc>
          <w:tcPr>
            <w:tcW w:w="1560" w:type="dxa"/>
          </w:tcPr>
          <w:p w14:paraId="09CD432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data/processed/hubmap/module1_HBM379.QCJT.435_qc_preprocessed.h5ad</w:t>
            </w:r>
          </w:p>
        </w:tc>
      </w:tr>
    </w:tbl>
    <w:p w14:paraId="54BE079E" w14:textId="77777777" w:rsidR="003B4CBF" w:rsidRPr="003B4CBF" w:rsidRDefault="003B4CBF" w:rsidP="003B4CBF">
      <w:pPr>
        <w:rPr>
          <w:rFonts w:ascii="Times New Roman" w:hAnsi="Times New Roman" w:cs="Times New Roman"/>
        </w:rPr>
      </w:pPr>
      <w:r w:rsidRPr="003B4CBF">
        <w:rPr>
          <w:rFonts w:ascii="Times New Roman" w:hAnsi="Times New Roman" w:cs="Times New Roman"/>
          <w:i/>
          <w:color w:val="444444"/>
          <w:sz w:val="17"/>
        </w:rPr>
        <w:t>Source: module2_donor_composition_summary.tsv</w:t>
      </w:r>
    </w:p>
    <w:p w14:paraId="19371D8E"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Concatenation keeps 18,884 nuclei: 3,884 from Donor_1 and 5,000 each from Donor_2, Donor_3, and Donor_4, at the </w:t>
      </w:r>
      <w:r w:rsidRPr="003B4CBF">
        <w:rPr>
          <w:rFonts w:ascii="Times New Roman" w:hAnsi="Times New Roman" w:cs="Times New Roman"/>
          <w:color w:val="1A3E6E"/>
          <w:sz w:val="19"/>
        </w:rPr>
        <w:t>module1.max_nuclei</w:t>
      </w:r>
      <w:r w:rsidRPr="003B4CBF">
        <w:rPr>
          <w:rFonts w:ascii="Times New Roman" w:hAnsi="Times New Roman" w:cs="Times New Roman"/>
        </w:rPr>
        <w:t xml:space="preserve"> teaching cap. Coarse mapping sorts them into four uneven </w:t>
      </w:r>
      <w:r w:rsidRPr="003B4CBF">
        <w:rPr>
          <w:rFonts w:ascii="Times New Roman" w:hAnsi="Times New Roman" w:cs="Times New Roman"/>
          <w:color w:val="1A3E6E"/>
          <w:sz w:val="19"/>
        </w:rPr>
        <w:t>cell_class</w:t>
      </w:r>
      <w:r w:rsidRPr="003B4CBF">
        <w:rPr>
          <w:rFonts w:ascii="Times New Roman" w:hAnsi="Times New Roman" w:cs="Times New Roman"/>
        </w:rPr>
        <w:t xml:space="preserve"> buckets: 6,928 epithelial, 6,205 endothelial, 3,190 stromal, and 2,556 immune. A fifth group of 5 unlabeled nuclei falls under the </w:t>
      </w:r>
      <w:r w:rsidRPr="003B4CBF">
        <w:rPr>
          <w:rFonts w:ascii="Times New Roman" w:hAnsi="Times New Roman" w:cs="Times New Roman"/>
          <w:color w:val="1A3E6E"/>
          <w:sz w:val="19"/>
        </w:rPr>
        <w:t>min_cells_per_group</w:t>
      </w:r>
      <w:r w:rsidRPr="003B4CBF">
        <w:rPr>
          <w:rFonts w:ascii="Times New Roman" w:hAnsi="Times New Roman" w:cs="Times New Roman"/>
        </w:rPr>
        <w:t xml:space="preserve"> floor of 50 and is dropped, leaving 18,879 nuclei for DE.</w:t>
      </w:r>
    </w:p>
    <w:p w14:paraId="72758C4D"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Harmony mixing</w:t>
      </w:r>
    </w:p>
    <w:tbl>
      <w:tblPr>
        <w:tblStyle w:val="TableGrid"/>
        <w:tblW w:w="0" w:type="auto"/>
        <w:jc w:val="center"/>
        <w:tblLook w:val="04A0" w:firstRow="1" w:lastRow="0" w:firstColumn="1" w:lastColumn="0" w:noHBand="0" w:noVBand="1"/>
      </w:tblPr>
      <w:tblGrid>
        <w:gridCol w:w="1484"/>
        <w:gridCol w:w="770"/>
        <w:gridCol w:w="1422"/>
        <w:gridCol w:w="2766"/>
        <w:gridCol w:w="2908"/>
      </w:tblGrid>
      <w:tr w:rsidR="003B4CBF" w:rsidRPr="003B4CBF" w14:paraId="13D47ECD" w14:textId="77777777" w:rsidTr="00151104">
        <w:trPr>
          <w:jc w:val="center"/>
        </w:trPr>
        <w:tc>
          <w:tcPr>
            <w:tcW w:w="1872" w:type="dxa"/>
            <w:shd w:val="clear" w:color="auto" w:fill="DCE6F1"/>
          </w:tcPr>
          <w:p w14:paraId="22945D43"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embedding</w:t>
            </w:r>
          </w:p>
        </w:tc>
        <w:tc>
          <w:tcPr>
            <w:tcW w:w="1872" w:type="dxa"/>
            <w:shd w:val="clear" w:color="auto" w:fill="DCE6F1"/>
          </w:tcPr>
          <w:p w14:paraId="30CA8D69"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k</w:t>
            </w:r>
          </w:p>
        </w:tc>
        <w:tc>
          <w:tcPr>
            <w:tcW w:w="1872" w:type="dxa"/>
            <w:shd w:val="clear" w:color="auto" w:fill="DCE6F1"/>
          </w:tcPr>
          <w:p w14:paraId="659FC637"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n_cells_scored</w:t>
            </w:r>
          </w:p>
        </w:tc>
        <w:tc>
          <w:tcPr>
            <w:tcW w:w="1872" w:type="dxa"/>
            <w:shd w:val="clear" w:color="auto" w:fill="DCE6F1"/>
          </w:tcPr>
          <w:p w14:paraId="3D841A5A"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mean_foreign_donor_knn_fraction</w:t>
            </w:r>
          </w:p>
        </w:tc>
        <w:tc>
          <w:tcPr>
            <w:tcW w:w="1872" w:type="dxa"/>
            <w:shd w:val="clear" w:color="auto" w:fill="DCE6F1"/>
          </w:tcPr>
          <w:p w14:paraId="0FF3B787"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median_foreign_donor_knn_fraction</w:t>
            </w:r>
          </w:p>
        </w:tc>
      </w:tr>
      <w:tr w:rsidR="003B4CBF" w:rsidRPr="003B4CBF" w14:paraId="0A6B921A" w14:textId="77777777" w:rsidTr="00151104">
        <w:trPr>
          <w:jc w:val="center"/>
        </w:trPr>
        <w:tc>
          <w:tcPr>
            <w:tcW w:w="1872" w:type="dxa"/>
          </w:tcPr>
          <w:p w14:paraId="5A11404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X_pca</w:t>
            </w:r>
          </w:p>
        </w:tc>
        <w:tc>
          <w:tcPr>
            <w:tcW w:w="1872" w:type="dxa"/>
          </w:tcPr>
          <w:p w14:paraId="62DB103F"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30</w:t>
            </w:r>
          </w:p>
        </w:tc>
        <w:tc>
          <w:tcPr>
            <w:tcW w:w="1872" w:type="dxa"/>
          </w:tcPr>
          <w:p w14:paraId="090B2CC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8000</w:t>
            </w:r>
          </w:p>
        </w:tc>
        <w:tc>
          <w:tcPr>
            <w:tcW w:w="1872" w:type="dxa"/>
          </w:tcPr>
          <w:p w14:paraId="0CC1E41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0.394337</w:t>
            </w:r>
          </w:p>
        </w:tc>
        <w:tc>
          <w:tcPr>
            <w:tcW w:w="1872" w:type="dxa"/>
          </w:tcPr>
          <w:p w14:paraId="05578A9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0.4</w:t>
            </w:r>
          </w:p>
        </w:tc>
      </w:tr>
      <w:tr w:rsidR="003B4CBF" w:rsidRPr="003B4CBF" w14:paraId="0DD25013" w14:textId="77777777" w:rsidTr="00151104">
        <w:trPr>
          <w:jc w:val="center"/>
        </w:trPr>
        <w:tc>
          <w:tcPr>
            <w:tcW w:w="1872" w:type="dxa"/>
          </w:tcPr>
          <w:p w14:paraId="5BD0B67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X_pca_harmony</w:t>
            </w:r>
          </w:p>
        </w:tc>
        <w:tc>
          <w:tcPr>
            <w:tcW w:w="1872" w:type="dxa"/>
          </w:tcPr>
          <w:p w14:paraId="70F547A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30</w:t>
            </w:r>
          </w:p>
        </w:tc>
        <w:tc>
          <w:tcPr>
            <w:tcW w:w="1872" w:type="dxa"/>
          </w:tcPr>
          <w:p w14:paraId="0CCAA9A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8000</w:t>
            </w:r>
          </w:p>
        </w:tc>
        <w:tc>
          <w:tcPr>
            <w:tcW w:w="1872" w:type="dxa"/>
          </w:tcPr>
          <w:p w14:paraId="55DA8F2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0.685058</w:t>
            </w:r>
          </w:p>
        </w:tc>
        <w:tc>
          <w:tcPr>
            <w:tcW w:w="1872" w:type="dxa"/>
          </w:tcPr>
          <w:p w14:paraId="3CB1D8A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0.7</w:t>
            </w:r>
          </w:p>
        </w:tc>
      </w:tr>
    </w:tbl>
    <w:p w14:paraId="5856999B" w14:textId="77777777" w:rsidR="003B4CBF" w:rsidRPr="003B4CBF" w:rsidRDefault="003B4CBF" w:rsidP="003B4CBF">
      <w:pPr>
        <w:rPr>
          <w:rFonts w:ascii="Times New Roman" w:hAnsi="Times New Roman" w:cs="Times New Roman"/>
        </w:rPr>
      </w:pPr>
      <w:r w:rsidRPr="003B4CBF">
        <w:rPr>
          <w:rFonts w:ascii="Times New Roman" w:hAnsi="Times New Roman" w:cs="Times New Roman"/>
          <w:i/>
          <w:color w:val="444444"/>
          <w:sz w:val="17"/>
        </w:rPr>
        <w:t>Source: module2_harmony_mixing_metrics.tsv</w:t>
      </w:r>
    </w:p>
    <w:p w14:paraId="0D4FABB3"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Mean </w:t>
      </w:r>
      <w:proofErr w:type="gramStart"/>
      <w:r w:rsidRPr="003B4CBF">
        <w:rPr>
          <w:rFonts w:ascii="Times New Roman" w:hAnsi="Times New Roman" w:cs="Times New Roman"/>
        </w:rPr>
        <w:t>foreign-donor</w:t>
      </w:r>
      <w:proofErr w:type="gramEnd"/>
      <w:r w:rsidRPr="003B4CBF">
        <w:rPr>
          <w:rFonts w:ascii="Times New Roman" w:hAnsi="Times New Roman" w:cs="Times New Roman"/>
        </w:rPr>
        <w:t xml:space="preserve"> kNN fraction rises from 0.394 on </w:t>
      </w:r>
      <w:r w:rsidRPr="003B4CBF">
        <w:rPr>
          <w:rFonts w:ascii="Times New Roman" w:hAnsi="Times New Roman" w:cs="Times New Roman"/>
          <w:color w:val="1A3E6E"/>
          <w:sz w:val="19"/>
        </w:rPr>
        <w:t>X_pca</w:t>
      </w:r>
      <w:r w:rsidRPr="003B4CBF">
        <w:rPr>
          <w:rFonts w:ascii="Times New Roman" w:hAnsi="Times New Roman" w:cs="Times New Roman"/>
        </w:rPr>
        <w:t xml:space="preserve"> to 0.685 on </w:t>
      </w:r>
      <w:r w:rsidRPr="003B4CBF">
        <w:rPr>
          <w:rFonts w:ascii="Times New Roman" w:hAnsi="Times New Roman" w:cs="Times New Roman"/>
          <w:color w:val="1A3E6E"/>
          <w:sz w:val="19"/>
        </w:rPr>
        <w:t>X_pca_harmony</w:t>
      </w:r>
      <w:r w:rsidRPr="003B4CBF">
        <w:rPr>
          <w:rFonts w:ascii="Times New Roman" w:hAnsi="Times New Roman" w:cs="Times New Roman"/>
        </w:rPr>
        <w:t xml:space="preserve"> at k=30 across 8,000 scored cells, and the median moves from 0.40 to 0.70. That is the mixing claim, and it is a global average.</w:t>
      </w:r>
    </w:p>
    <w:tbl>
      <w:tblPr>
        <w:tblStyle w:val="TableGrid"/>
        <w:tblW w:w="0" w:type="auto"/>
        <w:jc w:val="center"/>
        <w:tblLook w:val="04A0" w:firstRow="1" w:lastRow="0" w:firstColumn="1" w:lastColumn="0" w:noHBand="0" w:noVBand="1"/>
      </w:tblPr>
      <w:tblGrid>
        <w:gridCol w:w="1869"/>
        <w:gridCol w:w="1871"/>
        <w:gridCol w:w="1869"/>
        <w:gridCol w:w="1870"/>
        <w:gridCol w:w="1871"/>
      </w:tblGrid>
      <w:tr w:rsidR="003B4CBF" w:rsidRPr="003B4CBF" w14:paraId="338BD214" w14:textId="77777777" w:rsidTr="00151104">
        <w:trPr>
          <w:jc w:val="center"/>
        </w:trPr>
        <w:tc>
          <w:tcPr>
            <w:tcW w:w="1872" w:type="dxa"/>
            <w:shd w:val="clear" w:color="auto" w:fill="DCE6F1"/>
          </w:tcPr>
          <w:p w14:paraId="447AA414"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label</w:t>
            </w:r>
          </w:p>
        </w:tc>
        <w:tc>
          <w:tcPr>
            <w:tcW w:w="1872" w:type="dxa"/>
            <w:shd w:val="clear" w:color="auto" w:fill="DCE6F1"/>
          </w:tcPr>
          <w:p w14:paraId="2FF579FE"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embedding</w:t>
            </w:r>
          </w:p>
        </w:tc>
        <w:tc>
          <w:tcPr>
            <w:tcW w:w="1872" w:type="dxa"/>
            <w:shd w:val="clear" w:color="auto" w:fill="DCE6F1"/>
          </w:tcPr>
          <w:p w14:paraId="7755E03C"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n_cells</w:t>
            </w:r>
          </w:p>
        </w:tc>
        <w:tc>
          <w:tcPr>
            <w:tcW w:w="1872" w:type="dxa"/>
            <w:shd w:val="clear" w:color="auto" w:fill="DCE6F1"/>
          </w:tcPr>
          <w:p w14:paraId="34884B45"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n_donors</w:t>
            </w:r>
          </w:p>
        </w:tc>
        <w:tc>
          <w:tcPr>
            <w:tcW w:w="1872" w:type="dxa"/>
            <w:shd w:val="clear" w:color="auto" w:fill="DCE6F1"/>
          </w:tcPr>
          <w:p w14:paraId="6BBC5813"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silhouette_donor</w:t>
            </w:r>
          </w:p>
        </w:tc>
      </w:tr>
      <w:tr w:rsidR="003B4CBF" w:rsidRPr="003B4CBF" w14:paraId="357525E4" w14:textId="77777777" w:rsidTr="00151104">
        <w:trPr>
          <w:jc w:val="center"/>
        </w:trPr>
        <w:tc>
          <w:tcPr>
            <w:tcW w:w="1872" w:type="dxa"/>
          </w:tcPr>
          <w:p w14:paraId="160728C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endothelial</w:t>
            </w:r>
          </w:p>
        </w:tc>
        <w:tc>
          <w:tcPr>
            <w:tcW w:w="1872" w:type="dxa"/>
          </w:tcPr>
          <w:p w14:paraId="2BB50AA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X_pca</w:t>
            </w:r>
          </w:p>
        </w:tc>
        <w:tc>
          <w:tcPr>
            <w:tcW w:w="1872" w:type="dxa"/>
          </w:tcPr>
          <w:p w14:paraId="5B667BC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6205</w:t>
            </w:r>
          </w:p>
        </w:tc>
        <w:tc>
          <w:tcPr>
            <w:tcW w:w="1872" w:type="dxa"/>
          </w:tcPr>
          <w:p w14:paraId="05A6D28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w:t>
            </w:r>
          </w:p>
        </w:tc>
        <w:tc>
          <w:tcPr>
            <w:tcW w:w="1872" w:type="dxa"/>
          </w:tcPr>
          <w:p w14:paraId="6BE7C4C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0.004068</w:t>
            </w:r>
          </w:p>
        </w:tc>
      </w:tr>
      <w:tr w:rsidR="003B4CBF" w:rsidRPr="003B4CBF" w14:paraId="0079725F" w14:textId="77777777" w:rsidTr="00151104">
        <w:trPr>
          <w:jc w:val="center"/>
        </w:trPr>
        <w:tc>
          <w:tcPr>
            <w:tcW w:w="1872" w:type="dxa"/>
          </w:tcPr>
          <w:p w14:paraId="6A3B719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endothelial</w:t>
            </w:r>
          </w:p>
        </w:tc>
        <w:tc>
          <w:tcPr>
            <w:tcW w:w="1872" w:type="dxa"/>
          </w:tcPr>
          <w:p w14:paraId="0582B9C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X_pca_harmony</w:t>
            </w:r>
          </w:p>
        </w:tc>
        <w:tc>
          <w:tcPr>
            <w:tcW w:w="1872" w:type="dxa"/>
          </w:tcPr>
          <w:p w14:paraId="031DD90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6205</w:t>
            </w:r>
          </w:p>
        </w:tc>
        <w:tc>
          <w:tcPr>
            <w:tcW w:w="1872" w:type="dxa"/>
          </w:tcPr>
          <w:p w14:paraId="2B1C34F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w:t>
            </w:r>
          </w:p>
        </w:tc>
        <w:tc>
          <w:tcPr>
            <w:tcW w:w="1872" w:type="dxa"/>
          </w:tcPr>
          <w:p w14:paraId="7429BE6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-0.014194</w:t>
            </w:r>
          </w:p>
        </w:tc>
      </w:tr>
      <w:tr w:rsidR="003B4CBF" w:rsidRPr="003B4CBF" w14:paraId="4381D048" w14:textId="77777777" w:rsidTr="00151104">
        <w:trPr>
          <w:jc w:val="center"/>
        </w:trPr>
        <w:tc>
          <w:tcPr>
            <w:tcW w:w="1872" w:type="dxa"/>
          </w:tcPr>
          <w:p w14:paraId="4E2565F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epithelial</w:t>
            </w:r>
          </w:p>
        </w:tc>
        <w:tc>
          <w:tcPr>
            <w:tcW w:w="1872" w:type="dxa"/>
          </w:tcPr>
          <w:p w14:paraId="0BC5FBE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X_pca</w:t>
            </w:r>
          </w:p>
        </w:tc>
        <w:tc>
          <w:tcPr>
            <w:tcW w:w="1872" w:type="dxa"/>
          </w:tcPr>
          <w:p w14:paraId="455D377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6928</w:t>
            </w:r>
          </w:p>
        </w:tc>
        <w:tc>
          <w:tcPr>
            <w:tcW w:w="1872" w:type="dxa"/>
          </w:tcPr>
          <w:p w14:paraId="2426923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w:t>
            </w:r>
          </w:p>
        </w:tc>
        <w:tc>
          <w:tcPr>
            <w:tcW w:w="1872" w:type="dxa"/>
          </w:tcPr>
          <w:p w14:paraId="76C3758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-0.007476</w:t>
            </w:r>
          </w:p>
        </w:tc>
      </w:tr>
      <w:tr w:rsidR="003B4CBF" w:rsidRPr="003B4CBF" w14:paraId="4A5D8037" w14:textId="77777777" w:rsidTr="00151104">
        <w:trPr>
          <w:jc w:val="center"/>
        </w:trPr>
        <w:tc>
          <w:tcPr>
            <w:tcW w:w="1872" w:type="dxa"/>
          </w:tcPr>
          <w:p w14:paraId="6620323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epithelial</w:t>
            </w:r>
          </w:p>
        </w:tc>
        <w:tc>
          <w:tcPr>
            <w:tcW w:w="1872" w:type="dxa"/>
          </w:tcPr>
          <w:p w14:paraId="7C32926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X_pca_harmony</w:t>
            </w:r>
          </w:p>
        </w:tc>
        <w:tc>
          <w:tcPr>
            <w:tcW w:w="1872" w:type="dxa"/>
          </w:tcPr>
          <w:p w14:paraId="3B27B5B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6928</w:t>
            </w:r>
          </w:p>
        </w:tc>
        <w:tc>
          <w:tcPr>
            <w:tcW w:w="1872" w:type="dxa"/>
          </w:tcPr>
          <w:p w14:paraId="7D72F2C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w:t>
            </w:r>
          </w:p>
        </w:tc>
        <w:tc>
          <w:tcPr>
            <w:tcW w:w="1872" w:type="dxa"/>
          </w:tcPr>
          <w:p w14:paraId="3DD909E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-0.039982</w:t>
            </w:r>
          </w:p>
        </w:tc>
      </w:tr>
      <w:tr w:rsidR="003B4CBF" w:rsidRPr="003B4CBF" w14:paraId="2DB2E27E" w14:textId="77777777" w:rsidTr="00151104">
        <w:trPr>
          <w:jc w:val="center"/>
        </w:trPr>
        <w:tc>
          <w:tcPr>
            <w:tcW w:w="1872" w:type="dxa"/>
          </w:tcPr>
          <w:p w14:paraId="000C98A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immune</w:t>
            </w:r>
          </w:p>
        </w:tc>
        <w:tc>
          <w:tcPr>
            <w:tcW w:w="1872" w:type="dxa"/>
          </w:tcPr>
          <w:p w14:paraId="7E48C38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X_pca</w:t>
            </w:r>
          </w:p>
        </w:tc>
        <w:tc>
          <w:tcPr>
            <w:tcW w:w="1872" w:type="dxa"/>
          </w:tcPr>
          <w:p w14:paraId="4882578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2556</w:t>
            </w:r>
          </w:p>
        </w:tc>
        <w:tc>
          <w:tcPr>
            <w:tcW w:w="1872" w:type="dxa"/>
          </w:tcPr>
          <w:p w14:paraId="4B65C29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w:t>
            </w:r>
          </w:p>
        </w:tc>
        <w:tc>
          <w:tcPr>
            <w:tcW w:w="1872" w:type="dxa"/>
          </w:tcPr>
          <w:p w14:paraId="19E628A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-0.029976</w:t>
            </w:r>
          </w:p>
        </w:tc>
      </w:tr>
      <w:tr w:rsidR="003B4CBF" w:rsidRPr="003B4CBF" w14:paraId="32A8D866" w14:textId="77777777" w:rsidTr="00151104">
        <w:trPr>
          <w:jc w:val="center"/>
        </w:trPr>
        <w:tc>
          <w:tcPr>
            <w:tcW w:w="1872" w:type="dxa"/>
          </w:tcPr>
          <w:p w14:paraId="42A7C25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immune</w:t>
            </w:r>
          </w:p>
        </w:tc>
        <w:tc>
          <w:tcPr>
            <w:tcW w:w="1872" w:type="dxa"/>
          </w:tcPr>
          <w:p w14:paraId="38D7FAF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X_pca_harmony</w:t>
            </w:r>
          </w:p>
        </w:tc>
        <w:tc>
          <w:tcPr>
            <w:tcW w:w="1872" w:type="dxa"/>
          </w:tcPr>
          <w:p w14:paraId="50C2E03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2556</w:t>
            </w:r>
          </w:p>
        </w:tc>
        <w:tc>
          <w:tcPr>
            <w:tcW w:w="1872" w:type="dxa"/>
          </w:tcPr>
          <w:p w14:paraId="5F218B8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w:t>
            </w:r>
          </w:p>
        </w:tc>
        <w:tc>
          <w:tcPr>
            <w:tcW w:w="1872" w:type="dxa"/>
          </w:tcPr>
          <w:p w14:paraId="24F3A90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-0.023069</w:t>
            </w:r>
          </w:p>
        </w:tc>
      </w:tr>
      <w:tr w:rsidR="003B4CBF" w:rsidRPr="003B4CBF" w14:paraId="73F8A780" w14:textId="77777777" w:rsidTr="00151104">
        <w:trPr>
          <w:jc w:val="center"/>
        </w:trPr>
        <w:tc>
          <w:tcPr>
            <w:tcW w:w="1872" w:type="dxa"/>
          </w:tcPr>
          <w:p w14:paraId="12828CE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stromal</w:t>
            </w:r>
          </w:p>
        </w:tc>
        <w:tc>
          <w:tcPr>
            <w:tcW w:w="1872" w:type="dxa"/>
          </w:tcPr>
          <w:p w14:paraId="35638D0C"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X_pca</w:t>
            </w:r>
          </w:p>
        </w:tc>
        <w:tc>
          <w:tcPr>
            <w:tcW w:w="1872" w:type="dxa"/>
          </w:tcPr>
          <w:p w14:paraId="4726E21F"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3190</w:t>
            </w:r>
          </w:p>
        </w:tc>
        <w:tc>
          <w:tcPr>
            <w:tcW w:w="1872" w:type="dxa"/>
          </w:tcPr>
          <w:p w14:paraId="39BD942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w:t>
            </w:r>
          </w:p>
        </w:tc>
        <w:tc>
          <w:tcPr>
            <w:tcW w:w="1872" w:type="dxa"/>
          </w:tcPr>
          <w:p w14:paraId="38E994A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0.011961</w:t>
            </w:r>
          </w:p>
        </w:tc>
      </w:tr>
      <w:tr w:rsidR="003B4CBF" w:rsidRPr="003B4CBF" w14:paraId="4F8CBF1E" w14:textId="77777777" w:rsidTr="00151104">
        <w:trPr>
          <w:jc w:val="center"/>
        </w:trPr>
        <w:tc>
          <w:tcPr>
            <w:tcW w:w="1872" w:type="dxa"/>
          </w:tcPr>
          <w:p w14:paraId="253EDBB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stromal</w:t>
            </w:r>
          </w:p>
        </w:tc>
        <w:tc>
          <w:tcPr>
            <w:tcW w:w="1872" w:type="dxa"/>
          </w:tcPr>
          <w:p w14:paraId="77803C9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X_pca_harmony</w:t>
            </w:r>
          </w:p>
        </w:tc>
        <w:tc>
          <w:tcPr>
            <w:tcW w:w="1872" w:type="dxa"/>
          </w:tcPr>
          <w:p w14:paraId="0DA08A4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3190</w:t>
            </w:r>
          </w:p>
        </w:tc>
        <w:tc>
          <w:tcPr>
            <w:tcW w:w="1872" w:type="dxa"/>
          </w:tcPr>
          <w:p w14:paraId="62E4919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4</w:t>
            </w:r>
          </w:p>
        </w:tc>
        <w:tc>
          <w:tcPr>
            <w:tcW w:w="1872" w:type="dxa"/>
          </w:tcPr>
          <w:p w14:paraId="75B22D9C"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-0.027011</w:t>
            </w:r>
          </w:p>
        </w:tc>
      </w:tr>
    </w:tbl>
    <w:p w14:paraId="658CCF11" w14:textId="77777777" w:rsidR="003B4CBF" w:rsidRPr="003B4CBF" w:rsidRDefault="003B4CBF" w:rsidP="003B4CBF">
      <w:pPr>
        <w:rPr>
          <w:rFonts w:ascii="Times New Roman" w:hAnsi="Times New Roman" w:cs="Times New Roman"/>
        </w:rPr>
      </w:pPr>
      <w:r w:rsidRPr="003B4CBF">
        <w:rPr>
          <w:rFonts w:ascii="Times New Roman" w:hAnsi="Times New Roman" w:cs="Times New Roman"/>
          <w:i/>
          <w:color w:val="444444"/>
          <w:sz w:val="17"/>
        </w:rPr>
        <w:t>Source: module2_harmony_silhouette_by_celltype.tsv</w:t>
      </w:r>
    </w:p>
    <w:p w14:paraId="65F0B1F7"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Per compartment, agreement is not unanimous. Donor silhouette falls after Harmony in three: endothelial 0.004 to -0.014, stromal 0.012 to -0.027, epithelial -0.007 to -0.040. Immune moves the opposite way, from -0.030 up to -0.023, toward zero. Immune is the smallest compartment and was already the best mixed before correction. Quote the exception rather than averaging it into the global number.</w:t>
      </w:r>
    </w:p>
    <w:p w14:paraId="5DE8350F"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noProof/>
        </w:rPr>
        <w:drawing>
          <wp:inline distT="0" distB="0" distL="0" distR="0" wp14:anchorId="3EF51369" wp14:editId="69DD7DED">
            <wp:extent cx="5943600" cy="1771544"/>
            <wp:effectExtent l="0" t="0" r="0" b="0"/>
            <wp:docPr id="1" name="Picture 1"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arison of a diagram&#10;&#10;AI-generated content may be incorrect."/>
                    <pic:cNvPicPr/>
                  </pic:nvPicPr>
                  <pic:blipFill>
                    <a:blip r:embed="rId5"/>
                    <a:stretch>
                      <a:fillRect/>
                    </a:stretch>
                  </pic:blipFill>
                  <pic:spPr>
                    <a:xfrm>
                      <a:off x="0" y="0"/>
                      <a:ext cx="5943600" cy="1771544"/>
                    </a:xfrm>
                    <a:prstGeom prst="rect">
                      <a:avLst/>
                    </a:prstGeom>
                  </pic:spPr>
                </pic:pic>
              </a:graphicData>
            </a:graphic>
          </wp:inline>
        </w:drawing>
      </w:r>
    </w:p>
    <w:p w14:paraId="3048629B"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i/>
          <w:color w:val="444444"/>
          <w:sz w:val="18"/>
        </w:rPr>
        <w:t>UMAP before Harmony colored by donor</w:t>
      </w:r>
    </w:p>
    <w:p w14:paraId="63FBAC33"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noProof/>
        </w:rPr>
        <w:lastRenderedPageBreak/>
        <w:drawing>
          <wp:inline distT="0" distB="0" distL="0" distR="0" wp14:anchorId="3A628109" wp14:editId="7134D4CC">
            <wp:extent cx="5943600" cy="1771544"/>
            <wp:effectExtent l="0" t="0" r="0" b="0"/>
            <wp:docPr id="2" name="Picture 2"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map&#10;&#10;AI-generated content may be incorrect."/>
                    <pic:cNvPicPr/>
                  </pic:nvPicPr>
                  <pic:blipFill>
                    <a:blip r:embed="rId6"/>
                    <a:stretch>
                      <a:fillRect/>
                    </a:stretch>
                  </pic:blipFill>
                  <pic:spPr>
                    <a:xfrm>
                      <a:off x="0" y="0"/>
                      <a:ext cx="5943600" cy="1771544"/>
                    </a:xfrm>
                    <a:prstGeom prst="rect">
                      <a:avLst/>
                    </a:prstGeom>
                  </pic:spPr>
                </pic:pic>
              </a:graphicData>
            </a:graphic>
          </wp:inline>
        </w:drawing>
      </w:r>
    </w:p>
    <w:p w14:paraId="4909FCD7"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i/>
          <w:color w:val="444444"/>
          <w:sz w:val="18"/>
        </w:rPr>
        <w:t>UMAP after Harmony colored by donor, the same view as the figure above</w:t>
      </w:r>
    </w:p>
    <w:p w14:paraId="1F35958E"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noProof/>
        </w:rPr>
        <w:drawing>
          <wp:inline distT="0" distB="0" distL="0" distR="0" wp14:anchorId="57017AA4" wp14:editId="56F755CA">
            <wp:extent cx="5943600" cy="2657163"/>
            <wp:effectExtent l="0" t="0" r="0" b="0"/>
            <wp:docPr id="3" name="Picture 3" descr="A group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oup of different colored shapes&#10;&#10;AI-generated content may be incorrect."/>
                    <pic:cNvPicPr/>
                  </pic:nvPicPr>
                  <pic:blipFill>
                    <a:blip r:embed="rId7"/>
                    <a:stretch>
                      <a:fillRect/>
                    </a:stretch>
                  </pic:blipFill>
                  <pic:spPr>
                    <a:xfrm>
                      <a:off x="0" y="0"/>
                      <a:ext cx="5943600" cy="2657163"/>
                    </a:xfrm>
                    <a:prstGeom prst="rect">
                      <a:avLst/>
                    </a:prstGeom>
                  </pic:spPr>
                </pic:pic>
              </a:graphicData>
            </a:graphic>
          </wp:inline>
        </w:drawing>
      </w:r>
    </w:p>
    <w:p w14:paraId="65B72D12"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i/>
          <w:color w:val="444444"/>
          <w:sz w:val="18"/>
        </w:rPr>
        <w:t>Side-by-side UMAP comparison of label views after Harmony</w:t>
      </w:r>
    </w:p>
    <w:p w14:paraId="3F48E621"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lastRenderedPageBreak/>
        <w:t>Composition versus markers</w:t>
      </w:r>
    </w:p>
    <w:p w14:paraId="6AB14A9D"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noProof/>
        </w:rPr>
        <w:drawing>
          <wp:inline distT="0" distB="0" distL="0" distR="0" wp14:anchorId="745A6F50" wp14:editId="12D47EF0">
            <wp:extent cx="5943600" cy="3563115"/>
            <wp:effectExtent l="0" t="0" r="0" b="0"/>
            <wp:docPr id="4"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graph&#10;&#10;AI-generated content may be incorrect."/>
                    <pic:cNvPicPr/>
                  </pic:nvPicPr>
                  <pic:blipFill>
                    <a:blip r:embed="rId8"/>
                    <a:stretch>
                      <a:fillRect/>
                    </a:stretch>
                  </pic:blipFill>
                  <pic:spPr>
                    <a:xfrm>
                      <a:off x="0" y="0"/>
                      <a:ext cx="5943600" cy="3563115"/>
                    </a:xfrm>
                    <a:prstGeom prst="rect">
                      <a:avLst/>
                    </a:prstGeom>
                  </pic:spPr>
                </pic:pic>
              </a:graphicData>
            </a:graphic>
          </wp:inline>
        </w:drawing>
      </w:r>
    </w:p>
    <w:p w14:paraId="2E8865F1"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i/>
          <w:color w:val="444444"/>
          <w:sz w:val="18"/>
        </w:rPr>
        <w:t>Mean expression heatmap of known lung markers across coarse cell classes</w:t>
      </w:r>
    </w:p>
    <w:p w14:paraId="41BBA086"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noProof/>
        </w:rPr>
        <w:drawing>
          <wp:inline distT="0" distB="0" distL="0" distR="0" wp14:anchorId="19AA0712" wp14:editId="7D167528">
            <wp:extent cx="5943600" cy="2148878"/>
            <wp:effectExtent l="0" t="0" r="0" b="0"/>
            <wp:docPr id="5" name="Picture 5"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number of dots&#10;&#10;AI-generated content may be incorrect."/>
                    <pic:cNvPicPr/>
                  </pic:nvPicPr>
                  <pic:blipFill>
                    <a:blip r:embed="rId9"/>
                    <a:stretch>
                      <a:fillRect/>
                    </a:stretch>
                  </pic:blipFill>
                  <pic:spPr>
                    <a:xfrm>
                      <a:off x="0" y="0"/>
                      <a:ext cx="5943600" cy="2148878"/>
                    </a:xfrm>
                    <a:prstGeom prst="rect">
                      <a:avLst/>
                    </a:prstGeom>
                  </pic:spPr>
                </pic:pic>
              </a:graphicData>
            </a:graphic>
          </wp:inline>
        </w:drawing>
      </w:r>
    </w:p>
    <w:p w14:paraId="560A0394"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i/>
          <w:color w:val="444444"/>
          <w:sz w:val="18"/>
        </w:rPr>
        <w:t>Dotplot of known lung marker genes by cell_class</w:t>
      </w:r>
    </w:p>
    <w:p w14:paraId="593828DE"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noProof/>
        </w:rPr>
        <w:lastRenderedPageBreak/>
        <w:drawing>
          <wp:inline distT="0" distB="0" distL="0" distR="0" wp14:anchorId="2392E8AA" wp14:editId="619973AB">
            <wp:extent cx="5943600" cy="2212396"/>
            <wp:effectExtent l="0" t="0" r="0" b="0"/>
            <wp:docPr id="6" name="Picture 6" descr="A diagram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different types of food&#10;&#10;AI-generated content may be incorrect."/>
                    <pic:cNvPicPr/>
                  </pic:nvPicPr>
                  <pic:blipFill>
                    <a:blip r:embed="rId10"/>
                    <a:stretch>
                      <a:fillRect/>
                    </a:stretch>
                  </pic:blipFill>
                  <pic:spPr>
                    <a:xfrm>
                      <a:off x="0" y="0"/>
                      <a:ext cx="5943600" cy="2212396"/>
                    </a:xfrm>
                    <a:prstGeom prst="rect">
                      <a:avLst/>
                    </a:prstGeom>
                  </pic:spPr>
                </pic:pic>
              </a:graphicData>
            </a:graphic>
          </wp:inline>
        </w:drawing>
      </w:r>
    </w:p>
    <w:p w14:paraId="5A84C043"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i/>
          <w:color w:val="444444"/>
          <w:sz w:val="18"/>
        </w:rPr>
        <w:t>Dotplot of top Wilcoxon markers by cell_class</w:t>
      </w:r>
    </w:p>
    <w:p w14:paraId="31D0AE98"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Wilcoxon ranking returns 9,921 rows. Under the module gates, adjusted p below 0.05 and log fold change above 0.25, 907 epithelial, 456 endothelial, 185 stromal, and 139 immune markers survive. Top ranks are lineage-appropriate but uneven: CLDN5 leads endothelial at log fold change 4.06, detected in 55.4 percent of endothelial nuclei versus 9.1 percent elsewhere, while SFTPC leads epithelial at 2.10 yet appears in 76.2 percent of the non-epithelial reference, which is ambient surfactant. Of 22 panel genes, 13 </w:t>
      </w:r>
      <w:proofErr w:type="gramStart"/>
      <w:r w:rsidRPr="003B4CBF">
        <w:rPr>
          <w:rFonts w:ascii="Times New Roman" w:hAnsi="Times New Roman" w:cs="Times New Roman"/>
        </w:rPr>
        <w:t>resolve</w:t>
      </w:r>
      <w:proofErr w:type="gramEnd"/>
      <w:r w:rsidRPr="003B4CBF">
        <w:rPr>
          <w:rFonts w:ascii="Times New Roman" w:hAnsi="Times New Roman" w:cs="Times New Roman"/>
        </w:rPr>
        <w:t xml:space="preserve"> by symbol and 21 by Ensembl ID; only KRT5 is missing from both.</w:t>
      </w:r>
    </w:p>
    <w:p w14:paraId="2DC6D868"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Local ORA on 100 input genes per class returns 724 terms at adjusted p below 0.05 (endothelial 259, stromal 238, immune 190, epithelial 37); prerank GSEA returns 225 at FDR below 0.05. Some read as biology: Epithelial Mesenchymal Transition tops stromal at 19 of 143 genes. Two do not. Hallmark Estrogen Response Early is a top epithelial term at 9 of 143, adjusted p 6.5e-06, and Hallmark Allograft Rejection tops immune at 14 of 127, adjusted p 8.7e-13, in lung with no transplant anywhere. Both are real output of this </w:t>
      </w:r>
      <w:proofErr w:type="gramStart"/>
      <w:r w:rsidRPr="003B4CBF">
        <w:rPr>
          <w:rFonts w:ascii="Times New Roman" w:hAnsi="Times New Roman" w:cs="Times New Roman"/>
        </w:rPr>
        <w:t>run</w:t>
      </w:r>
      <w:proofErr w:type="gramEnd"/>
      <w:r w:rsidRPr="003B4CBF">
        <w:rPr>
          <w:rFonts w:ascii="Times New Roman" w:hAnsi="Times New Roman" w:cs="Times New Roman"/>
        </w:rPr>
        <w:t xml:space="preserve"> and both are gene-overlap artifacts.</w:t>
      </w:r>
    </w:p>
    <w:p w14:paraId="4068E9CB"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Full tables: </w:t>
      </w:r>
      <w:r w:rsidRPr="003B4CBF">
        <w:rPr>
          <w:rFonts w:ascii="Times New Roman" w:hAnsi="Times New Roman" w:cs="Times New Roman"/>
          <w:color w:val="1A3E6E"/>
          <w:sz w:val="19"/>
        </w:rPr>
        <w:t>outputs/tables/module2_marker_genes.tsv</w:t>
      </w:r>
      <w:r w:rsidRPr="003B4CBF">
        <w:rPr>
          <w:rFonts w:ascii="Times New Roman" w:hAnsi="Times New Roman" w:cs="Times New Roman"/>
        </w:rPr>
        <w:t xml:space="preserve">, </w:t>
      </w:r>
      <w:r w:rsidRPr="003B4CBF">
        <w:rPr>
          <w:rFonts w:ascii="Times New Roman" w:hAnsi="Times New Roman" w:cs="Times New Roman"/>
          <w:color w:val="1A3E6E"/>
          <w:sz w:val="19"/>
        </w:rPr>
        <w:t>module2_pathway_enrichment.tsv</w:t>
      </w:r>
      <w:r w:rsidRPr="003B4CBF">
        <w:rPr>
          <w:rFonts w:ascii="Times New Roman" w:hAnsi="Times New Roman" w:cs="Times New Roman"/>
        </w:rPr>
        <w:t xml:space="preserve">, </w:t>
      </w:r>
      <w:r w:rsidRPr="003B4CBF">
        <w:rPr>
          <w:rFonts w:ascii="Times New Roman" w:hAnsi="Times New Roman" w:cs="Times New Roman"/>
          <w:color w:val="1A3E6E"/>
          <w:sz w:val="19"/>
        </w:rPr>
        <w:t>module2_prerank_gsea.tsv</w:t>
      </w:r>
      <w:r w:rsidRPr="003B4CBF">
        <w:rPr>
          <w:rFonts w:ascii="Times New Roman" w:hAnsi="Times New Roman" w:cs="Times New Roman"/>
        </w:rPr>
        <w:t xml:space="preserve">, </w:t>
      </w:r>
      <w:r w:rsidRPr="003B4CBF">
        <w:rPr>
          <w:rFonts w:ascii="Times New Roman" w:hAnsi="Times New Roman" w:cs="Times New Roman"/>
          <w:color w:val="1A3E6E"/>
          <w:sz w:val="19"/>
        </w:rPr>
        <w:t>module2_celltype_fractions.tsv</w:t>
      </w:r>
      <w:r w:rsidRPr="003B4CBF">
        <w:rPr>
          <w:rFonts w:ascii="Times New Roman" w:hAnsi="Times New Roman" w:cs="Times New Roman"/>
        </w:rPr>
        <w:t xml:space="preserve">, </w:t>
      </w:r>
      <w:r w:rsidRPr="003B4CBF">
        <w:rPr>
          <w:rFonts w:ascii="Times New Roman" w:hAnsi="Times New Roman" w:cs="Times New Roman"/>
          <w:color w:val="1A3E6E"/>
          <w:sz w:val="19"/>
        </w:rPr>
        <w:t>module2_donor_by_label_crosstab.tsv</w:t>
      </w:r>
      <w:r w:rsidRPr="003B4CBF">
        <w:rPr>
          <w:rFonts w:ascii="Times New Roman" w:hAnsi="Times New Roman" w:cs="Times New Roman"/>
        </w:rPr>
        <w:t>.</w:t>
      </w:r>
    </w:p>
    <w:p w14:paraId="13DDECB0"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noProof/>
        </w:rPr>
        <w:lastRenderedPageBreak/>
        <w:drawing>
          <wp:inline distT="0" distB="0" distL="0" distR="0" wp14:anchorId="21810B19" wp14:editId="69A30B16">
            <wp:extent cx="5943600" cy="4636596"/>
            <wp:effectExtent l="0" t="0" r="0" b="0"/>
            <wp:docPr id="7" name="Picture 7" descr="A graph of a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number of cells&#10;&#10;AI-generated content may be incorrect."/>
                    <pic:cNvPicPr/>
                  </pic:nvPicPr>
                  <pic:blipFill>
                    <a:blip r:embed="rId11"/>
                    <a:stretch>
                      <a:fillRect/>
                    </a:stretch>
                  </pic:blipFill>
                  <pic:spPr>
                    <a:xfrm>
                      <a:off x="0" y="0"/>
                      <a:ext cx="5943600" cy="4636596"/>
                    </a:xfrm>
                    <a:prstGeom prst="rect">
                      <a:avLst/>
                    </a:prstGeom>
                  </pic:spPr>
                </pic:pic>
              </a:graphicData>
            </a:graphic>
          </wp:inline>
        </w:drawing>
      </w:r>
    </w:p>
    <w:p w14:paraId="43CDCA8B" w14:textId="77777777" w:rsidR="003B4CBF" w:rsidRPr="003B4CBF" w:rsidRDefault="003B4CBF" w:rsidP="003B4CBF">
      <w:pPr>
        <w:jc w:val="center"/>
        <w:rPr>
          <w:rFonts w:ascii="Times New Roman" w:hAnsi="Times New Roman" w:cs="Times New Roman"/>
        </w:rPr>
      </w:pPr>
      <w:r w:rsidRPr="003B4CBF">
        <w:rPr>
          <w:rFonts w:ascii="Times New Roman" w:hAnsi="Times New Roman" w:cs="Times New Roman"/>
          <w:i/>
          <w:color w:val="444444"/>
          <w:sz w:val="18"/>
        </w:rPr>
        <w:t>Summary of local GMT enrichment results by cell_class</w:t>
      </w:r>
    </w:p>
    <w:p w14:paraId="48E00F96" w14:textId="77777777" w:rsidR="003B4CBF" w:rsidRPr="003B4CBF" w:rsidRDefault="003B4CBF" w:rsidP="003B4CBF">
      <w:pPr>
        <w:pStyle w:val="Heading1"/>
        <w:rPr>
          <w:rFonts w:ascii="Times New Roman" w:hAnsi="Times New Roman" w:cs="Times New Roman"/>
        </w:rPr>
      </w:pPr>
      <w:r w:rsidRPr="003B4CBF">
        <w:rPr>
          <w:rFonts w:ascii="Times New Roman" w:hAnsi="Times New Roman" w:cs="Times New Roman"/>
          <w:color w:val="1F4E79"/>
        </w:rPr>
        <w:t>5. Interpretation</w:t>
      </w:r>
    </w:p>
    <w:p w14:paraId="56C2C635"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Module 2 shows that the four QC'd HuBMAP donors can be embedded jointly, that Harmony increases donor mixing by a measurable neighborhood metric, and that coarse lineages yield markers and enrichment tables suitable for classroom interpretation.</w:t>
      </w:r>
    </w:p>
    <w:p w14:paraId="093ABB7F"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What the results support.</w:t>
      </w:r>
    </w:p>
    <w:p w14:paraId="2D379B41"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r w:rsidRPr="003B4CBF">
        <w:rPr>
          <w:rFonts w:ascii="Times New Roman" w:hAnsi="Times New Roman" w:cs="Times New Roman"/>
        </w:rPr>
        <w:t>Integration is usable for teaching composition and marker analyses within one DCC.</w:t>
      </w:r>
    </w:p>
    <w:p w14:paraId="494BD538"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r w:rsidRPr="003B4CBF">
        <w:rPr>
          <w:rFonts w:ascii="Times New Roman" w:hAnsi="Times New Roman" w:cs="Times New Roman"/>
        </w:rPr>
        <w:t>Composition tables and marker tables answer different questions; both are required to avoid attributing abundance shifts to cell-state programs.</w:t>
      </w:r>
    </w:p>
    <w:p w14:paraId="7D3F9F8E"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proofErr w:type="gramStart"/>
      <w:r w:rsidRPr="003B4CBF">
        <w:rPr>
          <w:rFonts w:ascii="Times New Roman" w:hAnsi="Times New Roman" w:cs="Times New Roman"/>
        </w:rPr>
        <w:t>Foreign-donor</w:t>
      </w:r>
      <w:proofErr w:type="gramEnd"/>
      <w:r w:rsidRPr="003B4CBF">
        <w:rPr>
          <w:rFonts w:ascii="Times New Roman" w:hAnsi="Times New Roman" w:cs="Times New Roman"/>
        </w:rPr>
        <w:t xml:space="preserve"> kNN fraction is a concrete mixing statistic learners can recompute after changing Harmony or PCA settings.</w:t>
      </w:r>
    </w:p>
    <w:p w14:paraId="0CD8FF1A"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How to read markers and enrichment together.</w:t>
      </w:r>
      <w:r w:rsidRPr="003B4CBF">
        <w:rPr>
          <w:rFonts w:ascii="Times New Roman" w:hAnsi="Times New Roman" w:cs="Times New Roman"/>
        </w:rPr>
        <w:t xml:space="preserve"> A large epithelial compartment will dominate many global summaries. Class-stratified Wilcoxon markers ask what distinguishes each coarse class inside the joint object. Enrichment then summarizes those ranked lists against gene sets. When </w:t>
      </w:r>
      <w:r w:rsidRPr="003B4CBF">
        <w:rPr>
          <w:rFonts w:ascii="Times New Roman" w:hAnsi="Times New Roman" w:cs="Times New Roman"/>
          <w:color w:val="1A3E6E"/>
          <w:sz w:val="19"/>
        </w:rPr>
        <w:t>n_input_genes</w:t>
      </w:r>
      <w:r w:rsidRPr="003B4CBF">
        <w:rPr>
          <w:rFonts w:ascii="Times New Roman" w:hAnsi="Times New Roman" w:cs="Times New Roman"/>
        </w:rPr>
        <w:t xml:space="preserve"> is small, ORA terms become brittle: the same course packages Hallmark (broad) and Reactome/GO BP (finer). Prefer terms that recur across libraries and that match known lung marker biology in the dotplots before elevating a pathway to a claim.</w:t>
      </w:r>
    </w:p>
    <w:p w14:paraId="7BBF4D4D" w14:textId="77777777" w:rsidR="003B4CBF" w:rsidRPr="003B4CBF" w:rsidRDefault="003B4CBF" w:rsidP="003B4CBF">
      <w:pPr>
        <w:pStyle w:val="Heading1"/>
        <w:rPr>
          <w:rFonts w:ascii="Times New Roman" w:hAnsi="Times New Roman" w:cs="Times New Roman"/>
        </w:rPr>
      </w:pPr>
      <w:r w:rsidRPr="003B4CBF">
        <w:rPr>
          <w:rFonts w:ascii="Times New Roman" w:hAnsi="Times New Roman" w:cs="Times New Roman"/>
          <w:color w:val="1F4E79"/>
        </w:rPr>
        <w:lastRenderedPageBreak/>
        <w:t>6. Extending this analysis</w:t>
      </w:r>
    </w:p>
    <w:p w14:paraId="75058066"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Each item below states what a stronger version of this analysis would require. The requirement is the boundary of what the Module 2 tables currently license.</w:t>
      </w:r>
    </w:p>
    <w:p w14:paraId="6F1BCBCD"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r w:rsidRPr="003B4CBF">
        <w:rPr>
          <w:rFonts w:ascii="Times New Roman" w:hAnsi="Times New Roman" w:cs="Times New Roman"/>
          <w:b/>
        </w:rPr>
        <w:t>Cross-ecosystem agreement needs a second ecosystem.</w:t>
      </w:r>
      <w:r w:rsidRPr="003B4CBF">
        <w:rPr>
          <w:rFonts w:ascii="Times New Roman" w:hAnsi="Times New Roman" w:cs="Times New Roman"/>
        </w:rPr>
        <w:t xml:space="preserve"> Establishing that these lineage programs recur in GTEx, GEO, or spaceflight tissue requires a second source measured independently and a bridge between the two feature spaces. Module 4 builds exactly that from the composition-weighted pseudobulk exported here; until then every number in this module comes from four HuBMAP donors and describes only them.</w:t>
      </w:r>
    </w:p>
    <w:p w14:paraId="18667654"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r w:rsidRPr="003B4CBF">
        <w:rPr>
          <w:rFonts w:ascii="Times New Roman" w:hAnsi="Times New Roman" w:cs="Times New Roman"/>
          <w:b/>
        </w:rPr>
        <w:t>Confirming an enriched pathway requires evidence outside the ranked list.</w:t>
      </w:r>
      <w:r w:rsidRPr="003B4CBF">
        <w:rPr>
          <w:rFonts w:ascii="Times New Roman" w:hAnsi="Times New Roman" w:cs="Times New Roman"/>
        </w:rPr>
        <w:t xml:space="preserve"> The standard is term-by-term inspection of gene membership, recurrence across Hallmark and Reactome and GO Biological Process, and an orthogonal assay of the implicated program. Estrogen Response Early and Allograft Rejection both clear the adjusted p gate in this </w:t>
      </w:r>
      <w:proofErr w:type="gramStart"/>
      <w:r w:rsidRPr="003B4CBF">
        <w:rPr>
          <w:rFonts w:ascii="Times New Roman" w:hAnsi="Times New Roman" w:cs="Times New Roman"/>
        </w:rPr>
        <w:t>run</w:t>
      </w:r>
      <w:proofErr w:type="gramEnd"/>
      <w:r w:rsidRPr="003B4CBF">
        <w:rPr>
          <w:rFonts w:ascii="Times New Roman" w:hAnsi="Times New Roman" w:cs="Times New Roman"/>
        </w:rPr>
        <w:t xml:space="preserve"> and neither would survive that standard, which is why the check is run rather than assumed.</w:t>
      </w:r>
    </w:p>
    <w:p w14:paraId="2DD63BEC"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r w:rsidRPr="003B4CBF">
        <w:rPr>
          <w:rFonts w:ascii="Times New Roman" w:hAnsi="Times New Roman" w:cs="Times New Roman"/>
          <w:b/>
        </w:rPr>
        <w:t>A donor-age contrast that carries weight requires donors, not a split.</w:t>
      </w:r>
      <w:r w:rsidRPr="003B4CBF">
        <w:rPr>
          <w:rFonts w:ascii="Times New Roman" w:hAnsi="Times New Roman" w:cs="Times New Roman"/>
        </w:rPr>
        <w:t xml:space="preserve"> The n=2 vs n=2 comparison demonstrates the mechanics of setting up a covariate contrast. Powering it would require a cohort sized against between-donor variance, which is a cohort design problem rather than a parameter change.</w:t>
      </w:r>
    </w:p>
    <w:p w14:paraId="0EC5AA8C"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r w:rsidRPr="003B4CBF">
        <w:rPr>
          <w:rFonts w:ascii="Times New Roman" w:hAnsi="Times New Roman" w:cs="Times New Roman"/>
          <w:b/>
        </w:rPr>
        <w:t>Showing that Harmony removed batch, rather than rearranged the embedding, would require a matched re-prep.</w:t>
      </w:r>
      <w:r w:rsidRPr="003B4CBF">
        <w:rPr>
          <w:rFonts w:ascii="Times New Roman" w:hAnsi="Times New Roman" w:cs="Times New Roman"/>
        </w:rPr>
        <w:t xml:space="preserve"> The same donor processed across protocols is what separates donor identity from technical batch. Foreign-donor kNN fraction and within-class donor silhouette are the two metrics this module chose to monitor; they are diagnostic of the embedding, not causal about its source.</w:t>
      </w:r>
    </w:p>
    <w:p w14:paraId="502C8038" w14:textId="77777777" w:rsidR="003B4CBF" w:rsidRPr="003B4CBF" w:rsidRDefault="003B4CBF" w:rsidP="003B4CBF">
      <w:pPr>
        <w:pStyle w:val="ListBullet"/>
        <w:tabs>
          <w:tab w:val="num" w:pos="360"/>
        </w:tabs>
        <w:spacing w:after="40"/>
        <w:ind w:left="360" w:hanging="360"/>
        <w:rPr>
          <w:rFonts w:ascii="Times New Roman" w:hAnsi="Times New Roman" w:cs="Times New Roman"/>
        </w:rPr>
      </w:pPr>
      <w:r w:rsidRPr="003B4CBF">
        <w:rPr>
          <w:rFonts w:ascii="Times New Roman" w:hAnsi="Times New Roman" w:cs="Times New Roman"/>
          <w:b/>
        </w:rPr>
        <w:t>Trusting a mixing verdict per compartment requires per-compartment reporting.</w:t>
      </w:r>
      <w:r w:rsidRPr="003B4CBF">
        <w:rPr>
          <w:rFonts w:ascii="Times New Roman" w:hAnsi="Times New Roman" w:cs="Times New Roman"/>
        </w:rPr>
        <w:t xml:space="preserve"> The immune silhouette moving toward zero while three compartments move negative is visible only because the silhouette table is stratified by </w:t>
      </w:r>
      <w:r w:rsidRPr="003B4CBF">
        <w:rPr>
          <w:rFonts w:ascii="Times New Roman" w:hAnsi="Times New Roman" w:cs="Times New Roman"/>
          <w:color w:val="1A3E6E"/>
          <w:sz w:val="19"/>
        </w:rPr>
        <w:t>cell_class</w:t>
      </w:r>
      <w:r w:rsidRPr="003B4CBF">
        <w:rPr>
          <w:rFonts w:ascii="Times New Roman" w:hAnsi="Times New Roman" w:cs="Times New Roman"/>
        </w:rPr>
        <w:t>. A single global mixing number would require a stratified companion metric before anyone reads it as uniform improvement.</w:t>
      </w:r>
    </w:p>
    <w:p w14:paraId="563FC97F"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b/>
        </w:rPr>
        <w:t>Forward link.</w:t>
      </w:r>
      <w:r w:rsidRPr="003B4CBF">
        <w:rPr>
          <w:rFonts w:ascii="Times New Roman" w:hAnsi="Times New Roman" w:cs="Times New Roman"/>
        </w:rPr>
        <w:t xml:space="preserve"> Module 3 interprets paired RNA+ATAC for Donor_2 (</w:t>
      </w:r>
      <w:r w:rsidRPr="003B4CBF">
        <w:rPr>
          <w:rFonts w:ascii="Times New Roman" w:hAnsi="Times New Roman" w:cs="Times New Roman"/>
          <w:color w:val="1A3E6E"/>
          <w:sz w:val="19"/>
        </w:rPr>
        <w:t>HBM828.GPVG.252</w:t>
      </w:r>
      <w:r w:rsidRPr="003B4CBF">
        <w:rPr>
          <w:rFonts w:ascii="Times New Roman" w:hAnsi="Times New Roman" w:cs="Times New Roman"/>
        </w:rPr>
        <w:t>), matched to the Donor_2 10x snRNA teaching block. Module 4 reuses composition-weighted pseudobulk in the HuBMAP-GTEx bridge and compares cross-ecosystem contrasts.</w:t>
      </w:r>
    </w:p>
    <w:p w14:paraId="6821EF37" w14:textId="77777777" w:rsidR="003B4CBF" w:rsidRPr="003B4CBF" w:rsidRDefault="003B4CBF" w:rsidP="003B4CBF">
      <w:pPr>
        <w:pStyle w:val="Heading1"/>
        <w:rPr>
          <w:rFonts w:ascii="Times New Roman" w:hAnsi="Times New Roman" w:cs="Times New Roman"/>
        </w:rPr>
      </w:pPr>
      <w:r w:rsidRPr="003B4CBF">
        <w:rPr>
          <w:rFonts w:ascii="Times New Roman" w:hAnsi="Times New Roman" w:cs="Times New Roman"/>
          <w:color w:val="1F4E79"/>
        </w:rPr>
        <w:t>7. Open questions</w:t>
      </w:r>
    </w:p>
    <w:p w14:paraId="78E30843"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Which cell population or cluster was analyzed?</w:t>
      </w:r>
    </w:p>
    <w:p w14:paraId="38C0F923"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What are the top marker genes, and do they match known lung identities?</w:t>
      </w:r>
    </w:p>
    <w:p w14:paraId="5E2284DC"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What pathways are enriched, and are they biologically coherent for that population?</w:t>
      </w:r>
    </w:p>
    <w:p w14:paraId="6D4FE142"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What biological interpretation is supported by markers + pathways together?</w:t>
      </w:r>
    </w:p>
    <w:p w14:paraId="2C818C0D"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What limitations remain (label transfer uncertainty, enrichment bias, small input lists)?</w:t>
      </w:r>
    </w:p>
    <w:p w14:paraId="00E697EF"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Did Harmony change donor mixing in a way that matches the silhouette story, or do the two metrics disagree?</w:t>
      </w:r>
    </w:p>
    <w:p w14:paraId="295F4AB2"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Where does composition change stop and cell-state change begin in these tables?</w:t>
      </w:r>
    </w:p>
    <w:p w14:paraId="47C16236" w14:textId="77777777" w:rsidR="003B4CBF" w:rsidRPr="003B4CBF" w:rsidRDefault="003B4CBF" w:rsidP="003B4CBF">
      <w:pPr>
        <w:rPr>
          <w:rFonts w:ascii="Times New Roman" w:hAnsi="Times New Roman" w:cs="Times New Roman"/>
        </w:rPr>
      </w:pPr>
      <w:r w:rsidRPr="003B4CBF">
        <w:rPr>
          <w:rFonts w:ascii="Times New Roman" w:hAnsi="Times New Roman" w:cs="Times New Roman"/>
        </w:rPr>
        <w:br w:type="page"/>
      </w:r>
    </w:p>
    <w:p w14:paraId="60E184E6" w14:textId="77777777" w:rsidR="003B4CBF" w:rsidRPr="003B4CBF" w:rsidRDefault="003B4CBF" w:rsidP="003B4CBF">
      <w:pPr>
        <w:pStyle w:val="Heading1"/>
        <w:rPr>
          <w:rFonts w:ascii="Times New Roman" w:hAnsi="Times New Roman" w:cs="Times New Roman"/>
        </w:rPr>
      </w:pPr>
      <w:r w:rsidRPr="003B4CBF">
        <w:rPr>
          <w:rFonts w:ascii="Times New Roman" w:hAnsi="Times New Roman" w:cs="Times New Roman"/>
          <w:color w:val="1F4E79"/>
        </w:rPr>
        <w:lastRenderedPageBreak/>
        <w:t>Appendix A: Analysis parameters</w:t>
      </w:r>
    </w:p>
    <w:p w14:paraId="46B45487" w14:textId="77777777" w:rsidR="003B4CBF" w:rsidRPr="003B4CBF" w:rsidRDefault="003B4CBF" w:rsidP="003B4CBF">
      <w:pPr>
        <w:spacing w:after="140"/>
        <w:rPr>
          <w:rFonts w:ascii="Times New Roman" w:hAnsi="Times New Roman" w:cs="Times New Roman"/>
        </w:rPr>
      </w:pPr>
      <w:r w:rsidRPr="003B4CBF">
        <w:rPr>
          <w:rFonts w:ascii="Times New Roman" w:hAnsi="Times New Roman" w:cs="Times New Roman"/>
        </w:rPr>
        <w:t xml:space="preserve">Live values under </w:t>
      </w:r>
      <w:r w:rsidRPr="003B4CBF">
        <w:rPr>
          <w:rFonts w:ascii="Times New Roman" w:hAnsi="Times New Roman" w:cs="Times New Roman"/>
          <w:color w:val="1A3E6E"/>
          <w:sz w:val="19"/>
        </w:rPr>
        <w:t>module2</w:t>
      </w:r>
      <w:r w:rsidRPr="003B4CBF">
        <w:rPr>
          <w:rFonts w:ascii="Times New Roman" w:hAnsi="Times New Roman" w:cs="Times New Roman"/>
        </w:rPr>
        <w:t xml:space="preserve"> in </w:t>
      </w:r>
      <w:r w:rsidRPr="003B4CBF">
        <w:rPr>
          <w:rFonts w:ascii="Times New Roman" w:hAnsi="Times New Roman" w:cs="Times New Roman"/>
          <w:color w:val="1A3E6E"/>
          <w:sz w:val="19"/>
        </w:rPr>
        <w:t>config/paths.yaml</w:t>
      </w:r>
      <w:r w:rsidRPr="003B4CBF">
        <w:rPr>
          <w:rFonts w:ascii="Times New Roman" w:hAnsi="Times New Roman" w:cs="Times New Roman"/>
        </w:rPr>
        <w:t>. Section numbers match the Methods subsections.</w:t>
      </w:r>
    </w:p>
    <w:p w14:paraId="0F1BAB3E"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1. Load and concatenate Module 1 QC objects</w:t>
      </w:r>
    </w:p>
    <w:tbl>
      <w:tblPr>
        <w:tblStyle w:val="TableGrid"/>
        <w:tblW w:w="0" w:type="auto"/>
        <w:jc w:val="center"/>
        <w:tblLook w:val="04A0" w:firstRow="1" w:lastRow="0" w:firstColumn="1" w:lastColumn="0" w:noHBand="0" w:noVBand="1"/>
      </w:tblPr>
      <w:tblGrid>
        <w:gridCol w:w="1492"/>
        <w:gridCol w:w="3956"/>
        <w:gridCol w:w="932"/>
        <w:gridCol w:w="976"/>
        <w:gridCol w:w="1994"/>
      </w:tblGrid>
      <w:tr w:rsidR="003B4CBF" w:rsidRPr="003B4CBF" w14:paraId="62027C28" w14:textId="77777777" w:rsidTr="00151104">
        <w:trPr>
          <w:jc w:val="center"/>
        </w:trPr>
        <w:tc>
          <w:tcPr>
            <w:tcW w:w="1872" w:type="dxa"/>
            <w:shd w:val="clear" w:color="auto" w:fill="DCE6F1"/>
          </w:tcPr>
          <w:p w14:paraId="33852817"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Config key</w:t>
            </w:r>
          </w:p>
        </w:tc>
        <w:tc>
          <w:tcPr>
            <w:tcW w:w="1872" w:type="dxa"/>
            <w:shd w:val="clear" w:color="auto" w:fill="DCE6F1"/>
          </w:tcPr>
          <w:p w14:paraId="165FC789"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Default</w:t>
            </w:r>
          </w:p>
        </w:tc>
        <w:tc>
          <w:tcPr>
            <w:tcW w:w="1872" w:type="dxa"/>
            <w:shd w:val="clear" w:color="auto" w:fill="DCE6F1"/>
          </w:tcPr>
          <w:p w14:paraId="737689B0"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Definition</w:t>
            </w:r>
          </w:p>
        </w:tc>
        <w:tc>
          <w:tcPr>
            <w:tcW w:w="1872" w:type="dxa"/>
            <w:shd w:val="clear" w:color="auto" w:fill="DCE6F1"/>
          </w:tcPr>
          <w:p w14:paraId="258D2A9D"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If modified</w:t>
            </w:r>
          </w:p>
        </w:tc>
        <w:tc>
          <w:tcPr>
            <w:tcW w:w="1872" w:type="dxa"/>
            <w:shd w:val="clear" w:color="auto" w:fill="DCE6F1"/>
          </w:tcPr>
          <w:p w14:paraId="33A87E4F"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Impact on results</w:t>
            </w:r>
          </w:p>
        </w:tc>
      </w:tr>
      <w:tr w:rsidR="003B4CBF" w:rsidRPr="003B4CBF" w14:paraId="5B27074E" w14:textId="77777777" w:rsidTr="00151104">
        <w:trPr>
          <w:jc w:val="center"/>
        </w:trPr>
        <w:tc>
          <w:tcPr>
            <w:tcW w:w="1872" w:type="dxa"/>
          </w:tcPr>
          <w:p w14:paraId="1461F41C"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module2.inputs</w:t>
            </w:r>
          </w:p>
        </w:tc>
        <w:tc>
          <w:tcPr>
            <w:tcW w:w="1872" w:type="dxa"/>
          </w:tcPr>
          <w:p w14:paraId="0CDE870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four donor blocks</w:t>
            </w:r>
          </w:p>
        </w:tc>
        <w:tc>
          <w:tcPr>
            <w:tcW w:w="1872" w:type="dxa"/>
          </w:tcPr>
          <w:p w14:paraId="4FEEDB8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Cohort of Module 1 h5ads to concat</w:t>
            </w:r>
          </w:p>
        </w:tc>
        <w:tc>
          <w:tcPr>
            <w:tcW w:w="1872" w:type="dxa"/>
          </w:tcPr>
          <w:p w14:paraId="1967B40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Drop/add donor</w:t>
            </w:r>
          </w:p>
        </w:tc>
        <w:tc>
          <w:tcPr>
            <w:tcW w:w="1872" w:type="dxa"/>
          </w:tcPr>
          <w:p w14:paraId="3A72A4BF"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Every composition fraction and DE n changes</w:t>
            </w:r>
          </w:p>
        </w:tc>
      </w:tr>
      <w:tr w:rsidR="003B4CBF" w:rsidRPr="003B4CBF" w14:paraId="278E2325" w14:textId="77777777" w:rsidTr="00151104">
        <w:trPr>
          <w:jc w:val="center"/>
        </w:trPr>
        <w:tc>
          <w:tcPr>
            <w:tcW w:w="1872" w:type="dxa"/>
          </w:tcPr>
          <w:p w14:paraId="035025F7"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module2.input_h5ad</w:t>
            </w:r>
          </w:p>
        </w:tc>
        <w:tc>
          <w:tcPr>
            <w:tcW w:w="1872" w:type="dxa"/>
          </w:tcPr>
          <w:p w14:paraId="34CD140D"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data/processed/integrated/module2_hubmap_lung_integrated.h5ad</w:t>
            </w:r>
          </w:p>
        </w:tc>
        <w:tc>
          <w:tcPr>
            <w:tcW w:w="1872" w:type="dxa"/>
          </w:tcPr>
          <w:p w14:paraId="3A870DB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Written integrated path (DE input)</w:t>
            </w:r>
          </w:p>
        </w:tc>
        <w:tc>
          <w:tcPr>
            <w:tcW w:w="1872" w:type="dxa"/>
          </w:tcPr>
          <w:p w14:paraId="6A2611E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Relocate</w:t>
            </w:r>
          </w:p>
        </w:tc>
        <w:tc>
          <w:tcPr>
            <w:tcW w:w="1872" w:type="dxa"/>
          </w:tcPr>
          <w:p w14:paraId="51899E6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Downstream DE must point at new path</w:t>
            </w:r>
          </w:p>
        </w:tc>
      </w:tr>
      <w:tr w:rsidR="003B4CBF" w:rsidRPr="003B4CBF" w14:paraId="0ADE24DC" w14:textId="77777777" w:rsidTr="00151104">
        <w:trPr>
          <w:jc w:val="center"/>
        </w:trPr>
        <w:tc>
          <w:tcPr>
            <w:tcW w:w="1872" w:type="dxa"/>
          </w:tcPr>
          <w:p w14:paraId="12E6FA7E"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module1.max_nuclei</w:t>
            </w:r>
          </w:p>
        </w:tc>
        <w:tc>
          <w:tcPr>
            <w:tcW w:w="1872" w:type="dxa"/>
          </w:tcPr>
          <w:p w14:paraId="42246227"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5000</w:t>
            </w:r>
          </w:p>
        </w:tc>
        <w:tc>
          <w:tcPr>
            <w:tcW w:w="1872" w:type="dxa"/>
          </w:tcPr>
          <w:p w14:paraId="08D65CB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Upstream teaching cap (per donor)</w:t>
            </w:r>
          </w:p>
        </w:tc>
        <w:tc>
          <w:tcPr>
            <w:tcW w:w="1872" w:type="dxa"/>
          </w:tcPr>
          <w:p w14:paraId="22AFBD9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Raise/lower</w:t>
            </w:r>
          </w:p>
        </w:tc>
        <w:tc>
          <w:tcPr>
            <w:tcW w:w="1872" w:type="dxa"/>
          </w:tcPr>
          <w:p w14:paraId="4B07F21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Nucleus counts entering concat</w:t>
            </w:r>
          </w:p>
        </w:tc>
      </w:tr>
      <w:tr w:rsidR="003B4CBF" w:rsidRPr="003B4CBF" w14:paraId="2FF29F8A" w14:textId="77777777" w:rsidTr="00151104">
        <w:trPr>
          <w:jc w:val="center"/>
        </w:trPr>
        <w:tc>
          <w:tcPr>
            <w:tcW w:w="1872" w:type="dxa"/>
          </w:tcPr>
          <w:p w14:paraId="0738C59F"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module2.random_seed</w:t>
            </w:r>
          </w:p>
        </w:tc>
        <w:tc>
          <w:tcPr>
            <w:tcW w:w="1872" w:type="dxa"/>
          </w:tcPr>
          <w:p w14:paraId="280212FF"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0</w:t>
            </w:r>
          </w:p>
        </w:tc>
        <w:tc>
          <w:tcPr>
            <w:tcW w:w="1872" w:type="dxa"/>
          </w:tcPr>
          <w:p w14:paraId="729F76E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Seed for later embedding / diagnostics</w:t>
            </w:r>
          </w:p>
        </w:tc>
        <w:tc>
          <w:tcPr>
            <w:tcW w:w="1872" w:type="dxa"/>
          </w:tcPr>
          <w:p w14:paraId="6AA0A96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Change</w:t>
            </w:r>
          </w:p>
        </w:tc>
        <w:tc>
          <w:tcPr>
            <w:tcW w:w="1872" w:type="dxa"/>
          </w:tcPr>
          <w:p w14:paraId="30906EA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Stochastic neighbors/UMAP/Harmony draws</w:t>
            </w:r>
          </w:p>
        </w:tc>
      </w:tr>
    </w:tbl>
    <w:p w14:paraId="09DF4FEC"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2. Joint embedding (recomputed HVG / PCA)</w:t>
      </w:r>
    </w:p>
    <w:tbl>
      <w:tblPr>
        <w:tblStyle w:val="TableGrid"/>
        <w:tblW w:w="0" w:type="auto"/>
        <w:jc w:val="center"/>
        <w:tblLook w:val="04A0" w:firstRow="1" w:lastRow="0" w:firstColumn="1" w:lastColumn="0" w:noHBand="0" w:noVBand="1"/>
      </w:tblPr>
      <w:tblGrid>
        <w:gridCol w:w="2583"/>
        <w:gridCol w:w="1634"/>
        <w:gridCol w:w="1695"/>
        <w:gridCol w:w="1693"/>
        <w:gridCol w:w="1745"/>
      </w:tblGrid>
      <w:tr w:rsidR="003B4CBF" w:rsidRPr="003B4CBF" w14:paraId="2A4234C2" w14:textId="77777777" w:rsidTr="00151104">
        <w:trPr>
          <w:jc w:val="center"/>
        </w:trPr>
        <w:tc>
          <w:tcPr>
            <w:tcW w:w="1872" w:type="dxa"/>
            <w:shd w:val="clear" w:color="auto" w:fill="DCE6F1"/>
          </w:tcPr>
          <w:p w14:paraId="5709BB98"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Config key</w:t>
            </w:r>
          </w:p>
        </w:tc>
        <w:tc>
          <w:tcPr>
            <w:tcW w:w="1872" w:type="dxa"/>
            <w:shd w:val="clear" w:color="auto" w:fill="DCE6F1"/>
          </w:tcPr>
          <w:p w14:paraId="2B6E8C2A"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Default</w:t>
            </w:r>
          </w:p>
        </w:tc>
        <w:tc>
          <w:tcPr>
            <w:tcW w:w="1872" w:type="dxa"/>
            <w:shd w:val="clear" w:color="auto" w:fill="DCE6F1"/>
          </w:tcPr>
          <w:p w14:paraId="4B03E7D8"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Definition</w:t>
            </w:r>
          </w:p>
        </w:tc>
        <w:tc>
          <w:tcPr>
            <w:tcW w:w="1872" w:type="dxa"/>
            <w:shd w:val="clear" w:color="auto" w:fill="DCE6F1"/>
          </w:tcPr>
          <w:p w14:paraId="6FE23956"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If modified</w:t>
            </w:r>
          </w:p>
        </w:tc>
        <w:tc>
          <w:tcPr>
            <w:tcW w:w="1872" w:type="dxa"/>
            <w:shd w:val="clear" w:color="auto" w:fill="DCE6F1"/>
          </w:tcPr>
          <w:p w14:paraId="54BE7959"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Impact on results</w:t>
            </w:r>
          </w:p>
        </w:tc>
      </w:tr>
      <w:tr w:rsidR="003B4CBF" w:rsidRPr="003B4CBF" w14:paraId="6B3489AB" w14:textId="77777777" w:rsidTr="00151104">
        <w:trPr>
          <w:jc w:val="center"/>
        </w:trPr>
        <w:tc>
          <w:tcPr>
            <w:tcW w:w="1872" w:type="dxa"/>
          </w:tcPr>
          <w:p w14:paraId="48EEBFC2"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module2.embedding.n</w:t>
            </w:r>
            <w:proofErr w:type="gramEnd"/>
            <w:r w:rsidRPr="003B4CBF">
              <w:rPr>
                <w:rFonts w:ascii="Times New Roman" w:hAnsi="Times New Roman" w:cs="Times New Roman"/>
                <w:color w:val="1A3E6E"/>
                <w:sz w:val="15"/>
              </w:rPr>
              <w:t>_top_genes</w:t>
            </w:r>
          </w:p>
        </w:tc>
        <w:tc>
          <w:tcPr>
            <w:tcW w:w="1872" w:type="dxa"/>
          </w:tcPr>
          <w:p w14:paraId="0A3F41AF"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2000</w:t>
            </w:r>
          </w:p>
        </w:tc>
        <w:tc>
          <w:tcPr>
            <w:tcW w:w="1872" w:type="dxa"/>
          </w:tcPr>
          <w:p w14:paraId="37C77FA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Joint HVG count (Seurat flavor)</w:t>
            </w:r>
          </w:p>
        </w:tc>
        <w:tc>
          <w:tcPr>
            <w:tcW w:w="1872" w:type="dxa"/>
          </w:tcPr>
          <w:p w14:paraId="7B78585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Raise/lower</w:t>
            </w:r>
          </w:p>
        </w:tc>
        <w:tc>
          <w:tcPr>
            <w:tcW w:w="1872" w:type="dxa"/>
          </w:tcPr>
          <w:p w14:paraId="52E30B4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Changes PCA basis and all neighbors</w:t>
            </w:r>
          </w:p>
        </w:tc>
      </w:tr>
      <w:tr w:rsidR="003B4CBF" w:rsidRPr="003B4CBF" w14:paraId="497E4ED0" w14:textId="77777777" w:rsidTr="00151104">
        <w:trPr>
          <w:jc w:val="center"/>
        </w:trPr>
        <w:tc>
          <w:tcPr>
            <w:tcW w:w="1872" w:type="dxa"/>
          </w:tcPr>
          <w:p w14:paraId="59924E05"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module2.embedding.n</w:t>
            </w:r>
            <w:proofErr w:type="gramEnd"/>
            <w:r w:rsidRPr="003B4CBF">
              <w:rPr>
                <w:rFonts w:ascii="Times New Roman" w:hAnsi="Times New Roman" w:cs="Times New Roman"/>
                <w:color w:val="1A3E6E"/>
                <w:sz w:val="15"/>
              </w:rPr>
              <w:t>_pcs</w:t>
            </w:r>
          </w:p>
        </w:tc>
        <w:tc>
          <w:tcPr>
            <w:tcW w:w="1872" w:type="dxa"/>
          </w:tcPr>
          <w:p w14:paraId="5CC7FB0B"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40</w:t>
            </w:r>
          </w:p>
        </w:tc>
        <w:tc>
          <w:tcPr>
            <w:tcW w:w="1872" w:type="dxa"/>
          </w:tcPr>
          <w:p w14:paraId="7EF6BE0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PCA components recomputed jointly</w:t>
            </w:r>
          </w:p>
        </w:tc>
        <w:tc>
          <w:tcPr>
            <w:tcW w:w="1872" w:type="dxa"/>
          </w:tcPr>
          <w:p w14:paraId="5AE59F2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w:t>
            </w:r>
          </w:p>
        </w:tc>
        <w:tc>
          <w:tcPr>
            <w:tcW w:w="1872" w:type="dxa"/>
          </w:tcPr>
          <w:p w14:paraId="3617C8C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Can reintroduce donor-driven variance into neighbors</w:t>
            </w:r>
          </w:p>
        </w:tc>
      </w:tr>
      <w:tr w:rsidR="003B4CBF" w:rsidRPr="003B4CBF" w14:paraId="286D949A" w14:textId="77777777" w:rsidTr="00151104">
        <w:trPr>
          <w:jc w:val="center"/>
        </w:trPr>
        <w:tc>
          <w:tcPr>
            <w:tcW w:w="1872" w:type="dxa"/>
          </w:tcPr>
          <w:p w14:paraId="0DA25735"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module2.embedding.n</w:t>
            </w:r>
            <w:proofErr w:type="gramEnd"/>
            <w:r w:rsidRPr="003B4CBF">
              <w:rPr>
                <w:rFonts w:ascii="Times New Roman" w:hAnsi="Times New Roman" w:cs="Times New Roman"/>
                <w:color w:val="1A3E6E"/>
                <w:sz w:val="15"/>
              </w:rPr>
              <w:t>_pcs_neighbors</w:t>
            </w:r>
          </w:p>
        </w:tc>
        <w:tc>
          <w:tcPr>
            <w:tcW w:w="1872" w:type="dxa"/>
          </w:tcPr>
          <w:p w14:paraId="27F85755"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40</w:t>
            </w:r>
          </w:p>
        </w:tc>
        <w:tc>
          <w:tcPr>
            <w:tcW w:w="1872" w:type="dxa"/>
          </w:tcPr>
          <w:p w14:paraId="7D3B31D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PCs used for kNN</w:t>
            </w:r>
          </w:p>
        </w:tc>
        <w:tc>
          <w:tcPr>
            <w:tcW w:w="1872" w:type="dxa"/>
          </w:tcPr>
          <w:p w14:paraId="62F4F14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Lower</w:t>
            </w:r>
          </w:p>
        </w:tc>
        <w:tc>
          <w:tcPr>
            <w:tcW w:w="1872" w:type="dxa"/>
          </w:tcPr>
          <w:p w14:paraId="69D8421F"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Smoother neighborhoods; may lose fine structure</w:t>
            </w:r>
          </w:p>
        </w:tc>
      </w:tr>
      <w:tr w:rsidR="003B4CBF" w:rsidRPr="003B4CBF" w14:paraId="262A7479" w14:textId="77777777" w:rsidTr="00151104">
        <w:trPr>
          <w:jc w:val="center"/>
        </w:trPr>
        <w:tc>
          <w:tcPr>
            <w:tcW w:w="1872" w:type="dxa"/>
          </w:tcPr>
          <w:p w14:paraId="0EEA9CA8"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module2.embedding.n</w:t>
            </w:r>
            <w:proofErr w:type="gramEnd"/>
            <w:r w:rsidRPr="003B4CBF">
              <w:rPr>
                <w:rFonts w:ascii="Times New Roman" w:hAnsi="Times New Roman" w:cs="Times New Roman"/>
                <w:color w:val="1A3E6E"/>
                <w:sz w:val="15"/>
              </w:rPr>
              <w:t>_neighbors</w:t>
            </w:r>
          </w:p>
        </w:tc>
        <w:tc>
          <w:tcPr>
            <w:tcW w:w="1872" w:type="dxa"/>
          </w:tcPr>
          <w:p w14:paraId="5988A229"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20</w:t>
            </w:r>
          </w:p>
        </w:tc>
        <w:tc>
          <w:tcPr>
            <w:tcW w:w="1872" w:type="dxa"/>
          </w:tcPr>
          <w:p w14:paraId="69C1E38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kNN size</w:t>
            </w:r>
          </w:p>
        </w:tc>
        <w:tc>
          <w:tcPr>
            <w:tcW w:w="1872" w:type="dxa"/>
          </w:tcPr>
          <w:p w14:paraId="4E42635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w:t>
            </w:r>
          </w:p>
        </w:tc>
        <w:tc>
          <w:tcPr>
            <w:tcW w:w="1872" w:type="dxa"/>
          </w:tcPr>
          <w:p w14:paraId="63EA14B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More global mixing in UMAP</w:t>
            </w:r>
          </w:p>
        </w:tc>
      </w:tr>
      <w:tr w:rsidR="003B4CBF" w:rsidRPr="003B4CBF" w14:paraId="4F2BCCEE" w14:textId="77777777" w:rsidTr="00151104">
        <w:trPr>
          <w:jc w:val="center"/>
        </w:trPr>
        <w:tc>
          <w:tcPr>
            <w:tcW w:w="1872" w:type="dxa"/>
          </w:tcPr>
          <w:p w14:paraId="45C30951"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module2.embedding.umap</w:t>
            </w:r>
            <w:proofErr w:type="gramEnd"/>
            <w:r w:rsidRPr="003B4CBF">
              <w:rPr>
                <w:rFonts w:ascii="Times New Roman" w:hAnsi="Times New Roman" w:cs="Times New Roman"/>
                <w:color w:val="1A3E6E"/>
                <w:sz w:val="15"/>
              </w:rPr>
              <w:t>_min_dist</w:t>
            </w:r>
          </w:p>
        </w:tc>
        <w:tc>
          <w:tcPr>
            <w:tcW w:w="1872" w:type="dxa"/>
          </w:tcPr>
          <w:p w14:paraId="66494D94"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0.25</w:t>
            </w:r>
          </w:p>
        </w:tc>
        <w:tc>
          <w:tcPr>
            <w:tcW w:w="1872" w:type="dxa"/>
          </w:tcPr>
          <w:p w14:paraId="253208D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UMAP min_dist</w:t>
            </w:r>
          </w:p>
        </w:tc>
        <w:tc>
          <w:tcPr>
            <w:tcW w:w="1872" w:type="dxa"/>
          </w:tcPr>
          <w:p w14:paraId="0B8A3DC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Lower</w:t>
            </w:r>
          </w:p>
        </w:tc>
        <w:tc>
          <w:tcPr>
            <w:tcW w:w="1872" w:type="dxa"/>
          </w:tcPr>
          <w:p w14:paraId="516FF58C"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Tighter visual clusters</w:t>
            </w:r>
          </w:p>
        </w:tc>
      </w:tr>
      <w:tr w:rsidR="003B4CBF" w:rsidRPr="003B4CBF" w14:paraId="6E3F84A7" w14:textId="77777777" w:rsidTr="00151104">
        <w:trPr>
          <w:jc w:val="center"/>
        </w:trPr>
        <w:tc>
          <w:tcPr>
            <w:tcW w:w="1872" w:type="dxa"/>
          </w:tcPr>
          <w:p w14:paraId="5E61B4D4"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module2.embedding.umap</w:t>
            </w:r>
            <w:proofErr w:type="gramEnd"/>
            <w:r w:rsidRPr="003B4CBF">
              <w:rPr>
                <w:rFonts w:ascii="Times New Roman" w:hAnsi="Times New Roman" w:cs="Times New Roman"/>
                <w:color w:val="1A3E6E"/>
                <w:sz w:val="15"/>
              </w:rPr>
              <w:t>_spread</w:t>
            </w:r>
          </w:p>
        </w:tc>
        <w:tc>
          <w:tcPr>
            <w:tcW w:w="1872" w:type="dxa"/>
          </w:tcPr>
          <w:p w14:paraId="65631835"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1.2</w:t>
            </w:r>
          </w:p>
        </w:tc>
        <w:tc>
          <w:tcPr>
            <w:tcW w:w="1872" w:type="dxa"/>
          </w:tcPr>
          <w:p w14:paraId="25A4986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UMAP spread</w:t>
            </w:r>
          </w:p>
        </w:tc>
        <w:tc>
          <w:tcPr>
            <w:tcW w:w="1872" w:type="dxa"/>
          </w:tcPr>
          <w:p w14:paraId="36765CA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w:t>
            </w:r>
          </w:p>
        </w:tc>
        <w:tc>
          <w:tcPr>
            <w:tcW w:w="1872" w:type="dxa"/>
          </w:tcPr>
          <w:p w14:paraId="75CDABA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More dispersed layout</w:t>
            </w:r>
          </w:p>
        </w:tc>
      </w:tr>
      <w:tr w:rsidR="003B4CBF" w:rsidRPr="003B4CBF" w14:paraId="57C845C7" w14:textId="77777777" w:rsidTr="00151104">
        <w:trPr>
          <w:jc w:val="center"/>
        </w:trPr>
        <w:tc>
          <w:tcPr>
            <w:tcW w:w="1872" w:type="dxa"/>
          </w:tcPr>
          <w:p w14:paraId="15D0EA17"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module2.embedding.scale</w:t>
            </w:r>
            <w:proofErr w:type="gramEnd"/>
            <w:r w:rsidRPr="003B4CBF">
              <w:rPr>
                <w:rFonts w:ascii="Times New Roman" w:hAnsi="Times New Roman" w:cs="Times New Roman"/>
                <w:color w:val="1A3E6E"/>
                <w:sz w:val="15"/>
              </w:rPr>
              <w:t>_max_value</w:t>
            </w:r>
          </w:p>
        </w:tc>
        <w:tc>
          <w:tcPr>
            <w:tcW w:w="1872" w:type="dxa"/>
          </w:tcPr>
          <w:p w14:paraId="0AB12BBB"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10</w:t>
            </w:r>
          </w:p>
        </w:tc>
        <w:tc>
          <w:tcPr>
            <w:tcW w:w="1872" w:type="dxa"/>
          </w:tcPr>
          <w:p w14:paraId="49E7615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Scale clip before PCA</w:t>
            </w:r>
          </w:p>
        </w:tc>
        <w:tc>
          <w:tcPr>
            <w:tcW w:w="1872" w:type="dxa"/>
          </w:tcPr>
          <w:p w14:paraId="4C8D966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Lower</w:t>
            </w:r>
          </w:p>
        </w:tc>
        <w:tc>
          <w:tcPr>
            <w:tcW w:w="1872" w:type="dxa"/>
          </w:tcPr>
          <w:p w14:paraId="6ED0B54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Compresses outlier gene leverage</w:t>
            </w:r>
          </w:p>
        </w:tc>
      </w:tr>
      <w:tr w:rsidR="003B4CBF" w:rsidRPr="003B4CBF" w14:paraId="1068276E" w14:textId="77777777" w:rsidTr="00151104">
        <w:trPr>
          <w:jc w:val="center"/>
        </w:trPr>
        <w:tc>
          <w:tcPr>
            <w:tcW w:w="1872" w:type="dxa"/>
          </w:tcPr>
          <w:p w14:paraId="3929D868"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module2.embedding.leiden</w:t>
            </w:r>
            <w:proofErr w:type="gramEnd"/>
            <w:r w:rsidRPr="003B4CBF">
              <w:rPr>
                <w:rFonts w:ascii="Times New Roman" w:hAnsi="Times New Roman" w:cs="Times New Roman"/>
                <w:color w:val="1A3E6E"/>
                <w:sz w:val="15"/>
              </w:rPr>
              <w:t>_resolution</w:t>
            </w:r>
          </w:p>
        </w:tc>
        <w:tc>
          <w:tcPr>
            <w:tcW w:w="1872" w:type="dxa"/>
          </w:tcPr>
          <w:p w14:paraId="155FE3F4"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0.8</w:t>
            </w:r>
          </w:p>
        </w:tc>
        <w:tc>
          <w:tcPr>
            <w:tcW w:w="1872" w:type="dxa"/>
          </w:tcPr>
          <w:p w14:paraId="1AB8B6C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Default Leiden for teaching</w:t>
            </w:r>
          </w:p>
        </w:tc>
        <w:tc>
          <w:tcPr>
            <w:tcW w:w="1872" w:type="dxa"/>
          </w:tcPr>
          <w:p w14:paraId="3B48871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Change</w:t>
            </w:r>
          </w:p>
        </w:tc>
        <w:tc>
          <w:tcPr>
            <w:tcW w:w="1872" w:type="dxa"/>
          </w:tcPr>
          <w:p w14:paraId="68729FC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Cluster grain; default label still Azimuth-driven</w:t>
            </w:r>
          </w:p>
        </w:tc>
      </w:tr>
      <w:tr w:rsidR="003B4CBF" w:rsidRPr="003B4CBF" w14:paraId="58692EC0" w14:textId="77777777" w:rsidTr="00151104">
        <w:trPr>
          <w:jc w:val="center"/>
        </w:trPr>
        <w:tc>
          <w:tcPr>
            <w:tcW w:w="1872" w:type="dxa"/>
          </w:tcPr>
          <w:p w14:paraId="06BD58CB"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module2.embedding.leiden</w:t>
            </w:r>
            <w:proofErr w:type="gramEnd"/>
            <w:r w:rsidRPr="003B4CBF">
              <w:rPr>
                <w:rFonts w:ascii="Times New Roman" w:hAnsi="Times New Roman" w:cs="Times New Roman"/>
                <w:color w:val="1A3E6E"/>
                <w:sz w:val="15"/>
              </w:rPr>
              <w:t>_resolutions</w:t>
            </w:r>
          </w:p>
        </w:tc>
        <w:tc>
          <w:tcPr>
            <w:tcW w:w="1872" w:type="dxa"/>
          </w:tcPr>
          <w:p w14:paraId="29040F35"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[0.4, 0.8, 1.2]</w:t>
            </w:r>
          </w:p>
        </w:tc>
        <w:tc>
          <w:tcPr>
            <w:tcW w:w="1872" w:type="dxa"/>
          </w:tcPr>
          <w:p w14:paraId="1BC8253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Exploratory sweep stored as </w:t>
            </w:r>
            <w:r w:rsidRPr="003B4CBF">
              <w:rPr>
                <w:rFonts w:ascii="Times New Roman" w:hAnsi="Times New Roman" w:cs="Times New Roman"/>
                <w:color w:val="1A3E6E"/>
                <w:sz w:val="15"/>
              </w:rPr>
              <w:t>leiden_r*</w:t>
            </w:r>
          </w:p>
        </w:tc>
        <w:tc>
          <w:tcPr>
            <w:tcW w:w="1872" w:type="dxa"/>
          </w:tcPr>
          <w:p w14:paraId="68489B5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Edit list</w:t>
            </w:r>
          </w:p>
        </w:tc>
        <w:tc>
          <w:tcPr>
            <w:tcW w:w="1872" w:type="dxa"/>
          </w:tcPr>
          <w:p w14:paraId="447BB20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Extra cluster columns only</w:t>
            </w:r>
          </w:p>
        </w:tc>
      </w:tr>
    </w:tbl>
    <w:p w14:paraId="563359C9"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lastRenderedPageBreak/>
        <w:t>3. Harmony batch correction</w:t>
      </w:r>
    </w:p>
    <w:tbl>
      <w:tblPr>
        <w:tblStyle w:val="TableGrid"/>
        <w:tblW w:w="0" w:type="auto"/>
        <w:jc w:val="center"/>
        <w:tblLook w:val="04A0" w:firstRow="1" w:lastRow="0" w:firstColumn="1" w:lastColumn="0" w:noHBand="0" w:noVBand="1"/>
      </w:tblPr>
      <w:tblGrid>
        <w:gridCol w:w="2492"/>
        <w:gridCol w:w="1677"/>
        <w:gridCol w:w="1709"/>
        <w:gridCol w:w="1707"/>
        <w:gridCol w:w="1765"/>
      </w:tblGrid>
      <w:tr w:rsidR="003B4CBF" w:rsidRPr="003B4CBF" w14:paraId="0460FC84" w14:textId="77777777" w:rsidTr="00151104">
        <w:trPr>
          <w:jc w:val="center"/>
        </w:trPr>
        <w:tc>
          <w:tcPr>
            <w:tcW w:w="1872" w:type="dxa"/>
            <w:shd w:val="clear" w:color="auto" w:fill="DCE6F1"/>
          </w:tcPr>
          <w:p w14:paraId="0B084C4A"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Config key</w:t>
            </w:r>
          </w:p>
        </w:tc>
        <w:tc>
          <w:tcPr>
            <w:tcW w:w="1872" w:type="dxa"/>
            <w:shd w:val="clear" w:color="auto" w:fill="DCE6F1"/>
          </w:tcPr>
          <w:p w14:paraId="5863654F"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Default</w:t>
            </w:r>
          </w:p>
        </w:tc>
        <w:tc>
          <w:tcPr>
            <w:tcW w:w="1872" w:type="dxa"/>
            <w:shd w:val="clear" w:color="auto" w:fill="DCE6F1"/>
          </w:tcPr>
          <w:p w14:paraId="78326AE7"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Definition</w:t>
            </w:r>
          </w:p>
        </w:tc>
        <w:tc>
          <w:tcPr>
            <w:tcW w:w="1872" w:type="dxa"/>
            <w:shd w:val="clear" w:color="auto" w:fill="DCE6F1"/>
          </w:tcPr>
          <w:p w14:paraId="413C0CA4"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If modified</w:t>
            </w:r>
          </w:p>
        </w:tc>
        <w:tc>
          <w:tcPr>
            <w:tcW w:w="1872" w:type="dxa"/>
            <w:shd w:val="clear" w:color="auto" w:fill="DCE6F1"/>
          </w:tcPr>
          <w:p w14:paraId="37BDB8A2"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Impact on results</w:t>
            </w:r>
          </w:p>
        </w:tc>
      </w:tr>
      <w:tr w:rsidR="003B4CBF" w:rsidRPr="003B4CBF" w14:paraId="28726969" w14:textId="77777777" w:rsidTr="00151104">
        <w:trPr>
          <w:jc w:val="center"/>
        </w:trPr>
        <w:tc>
          <w:tcPr>
            <w:tcW w:w="1872" w:type="dxa"/>
          </w:tcPr>
          <w:p w14:paraId="17C40961"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module2.harmony.enabled</w:t>
            </w:r>
            <w:proofErr w:type="gramEnd"/>
          </w:p>
        </w:tc>
        <w:tc>
          <w:tcPr>
            <w:tcW w:w="1872" w:type="dxa"/>
          </w:tcPr>
          <w:p w14:paraId="56A89545"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true</w:t>
            </w:r>
          </w:p>
        </w:tc>
        <w:tc>
          <w:tcPr>
            <w:tcW w:w="1872" w:type="dxa"/>
          </w:tcPr>
          <w:p w14:paraId="1C73596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Whether Harmony runs</w:t>
            </w:r>
          </w:p>
        </w:tc>
        <w:tc>
          <w:tcPr>
            <w:tcW w:w="1872" w:type="dxa"/>
          </w:tcPr>
          <w:p w14:paraId="1039760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Set </w:t>
            </w:r>
            <w:r w:rsidRPr="003B4CBF">
              <w:rPr>
                <w:rFonts w:ascii="Times New Roman" w:hAnsi="Times New Roman" w:cs="Times New Roman"/>
                <w:color w:val="1A3E6E"/>
                <w:sz w:val="15"/>
              </w:rPr>
              <w:t>false</w:t>
            </w:r>
          </w:p>
        </w:tc>
        <w:tc>
          <w:tcPr>
            <w:tcW w:w="1872" w:type="dxa"/>
          </w:tcPr>
          <w:p w14:paraId="0771811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No </w:t>
            </w:r>
            <w:r w:rsidRPr="003B4CBF">
              <w:rPr>
                <w:rFonts w:ascii="Times New Roman" w:hAnsi="Times New Roman" w:cs="Times New Roman"/>
                <w:color w:val="1A3E6E"/>
                <w:sz w:val="15"/>
              </w:rPr>
              <w:t>X_pca_harmony</w:t>
            </w:r>
            <w:r w:rsidRPr="003B4CBF">
              <w:rPr>
                <w:rFonts w:ascii="Times New Roman" w:hAnsi="Times New Roman" w:cs="Times New Roman"/>
                <w:sz w:val="17"/>
              </w:rPr>
              <w:t>; mixing comparison collapses</w:t>
            </w:r>
          </w:p>
        </w:tc>
      </w:tr>
      <w:tr w:rsidR="003B4CBF" w:rsidRPr="003B4CBF" w14:paraId="27E2F280" w14:textId="77777777" w:rsidTr="00151104">
        <w:trPr>
          <w:jc w:val="center"/>
        </w:trPr>
        <w:tc>
          <w:tcPr>
            <w:tcW w:w="1872" w:type="dxa"/>
          </w:tcPr>
          <w:p w14:paraId="4842A601"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module2.harmony.key</w:t>
            </w:r>
          </w:p>
        </w:tc>
        <w:tc>
          <w:tcPr>
            <w:tcW w:w="1872" w:type="dxa"/>
          </w:tcPr>
          <w:p w14:paraId="3FE74B6E"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donor_id</w:t>
            </w:r>
          </w:p>
        </w:tc>
        <w:tc>
          <w:tcPr>
            <w:tcW w:w="1872" w:type="dxa"/>
          </w:tcPr>
          <w:p w14:paraId="2745975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Obs column for batch</w:t>
            </w:r>
          </w:p>
        </w:tc>
        <w:tc>
          <w:tcPr>
            <w:tcW w:w="1872" w:type="dxa"/>
          </w:tcPr>
          <w:p w14:paraId="33CC09C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Use </w:t>
            </w:r>
            <w:r w:rsidRPr="003B4CBF">
              <w:rPr>
                <w:rFonts w:ascii="Times New Roman" w:hAnsi="Times New Roman" w:cs="Times New Roman"/>
                <w:color w:val="1A3E6E"/>
                <w:sz w:val="15"/>
              </w:rPr>
              <w:t>donor_label</w:t>
            </w:r>
          </w:p>
        </w:tc>
        <w:tc>
          <w:tcPr>
            <w:tcW w:w="1872" w:type="dxa"/>
          </w:tcPr>
          <w:p w14:paraId="359ECB1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Same biological batches if IDs align</w:t>
            </w:r>
          </w:p>
        </w:tc>
      </w:tr>
      <w:tr w:rsidR="003B4CBF" w:rsidRPr="003B4CBF" w14:paraId="1231DCF1" w14:textId="77777777" w:rsidTr="00151104">
        <w:trPr>
          <w:jc w:val="center"/>
        </w:trPr>
        <w:tc>
          <w:tcPr>
            <w:tcW w:w="1872" w:type="dxa"/>
          </w:tcPr>
          <w:p w14:paraId="487DDF9B"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module2.harmony.max_iter_harmony</w:t>
            </w:r>
          </w:p>
        </w:tc>
        <w:tc>
          <w:tcPr>
            <w:tcW w:w="1872" w:type="dxa"/>
          </w:tcPr>
          <w:p w14:paraId="1FF8259C"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20</w:t>
            </w:r>
          </w:p>
        </w:tc>
        <w:tc>
          <w:tcPr>
            <w:tcW w:w="1872" w:type="dxa"/>
          </w:tcPr>
          <w:p w14:paraId="0DC7A58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Harmony iterations</w:t>
            </w:r>
          </w:p>
        </w:tc>
        <w:tc>
          <w:tcPr>
            <w:tcW w:w="1872" w:type="dxa"/>
          </w:tcPr>
          <w:p w14:paraId="3F259C9C"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w:t>
            </w:r>
          </w:p>
        </w:tc>
        <w:tc>
          <w:tcPr>
            <w:tcW w:w="1872" w:type="dxa"/>
          </w:tcPr>
          <w:p w14:paraId="20F5D67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Longer runtime; usually small geometry change</w:t>
            </w:r>
          </w:p>
        </w:tc>
      </w:tr>
      <w:tr w:rsidR="003B4CBF" w:rsidRPr="003B4CBF" w14:paraId="5BEA5F7F" w14:textId="77777777" w:rsidTr="00151104">
        <w:trPr>
          <w:jc w:val="center"/>
        </w:trPr>
        <w:tc>
          <w:tcPr>
            <w:tcW w:w="1872" w:type="dxa"/>
          </w:tcPr>
          <w:p w14:paraId="1DF5BC21"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module2.harmony.theta</w:t>
            </w:r>
            <w:proofErr w:type="gramEnd"/>
          </w:p>
        </w:tc>
        <w:tc>
          <w:tcPr>
            <w:tcW w:w="1872" w:type="dxa"/>
          </w:tcPr>
          <w:p w14:paraId="773F08C4"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null</w:t>
            </w:r>
          </w:p>
        </w:tc>
        <w:tc>
          <w:tcPr>
            <w:tcW w:w="1872" w:type="dxa"/>
          </w:tcPr>
          <w:p w14:paraId="48402BAF"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Diversity penalty (null = package default)</w:t>
            </w:r>
          </w:p>
        </w:tc>
        <w:tc>
          <w:tcPr>
            <w:tcW w:w="1872" w:type="dxa"/>
          </w:tcPr>
          <w:p w14:paraId="60D8A26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w:t>
            </w:r>
          </w:p>
        </w:tc>
        <w:tc>
          <w:tcPr>
            <w:tcW w:w="1872" w:type="dxa"/>
          </w:tcPr>
          <w:p w14:paraId="71DA39D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Stronger correction; risk of overmixing rare states</w:t>
            </w:r>
          </w:p>
        </w:tc>
      </w:tr>
      <w:tr w:rsidR="003B4CBF" w:rsidRPr="003B4CBF" w14:paraId="74749355" w14:textId="77777777" w:rsidTr="00151104">
        <w:trPr>
          <w:jc w:val="center"/>
        </w:trPr>
        <w:tc>
          <w:tcPr>
            <w:tcW w:w="1872" w:type="dxa"/>
          </w:tcPr>
          <w:p w14:paraId="495E7C5A"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module2.random_seed</w:t>
            </w:r>
          </w:p>
        </w:tc>
        <w:tc>
          <w:tcPr>
            <w:tcW w:w="1872" w:type="dxa"/>
          </w:tcPr>
          <w:p w14:paraId="48D57424"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0</w:t>
            </w:r>
          </w:p>
        </w:tc>
        <w:tc>
          <w:tcPr>
            <w:tcW w:w="1872" w:type="dxa"/>
          </w:tcPr>
          <w:p w14:paraId="3FD5750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Passed to Harmony / neighbors</w:t>
            </w:r>
          </w:p>
        </w:tc>
        <w:tc>
          <w:tcPr>
            <w:tcW w:w="1872" w:type="dxa"/>
          </w:tcPr>
          <w:p w14:paraId="7AF843B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Change</w:t>
            </w:r>
          </w:p>
        </w:tc>
        <w:tc>
          <w:tcPr>
            <w:tcW w:w="1872" w:type="dxa"/>
          </w:tcPr>
          <w:p w14:paraId="214BCFE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Stochastic differences in corrected space</w:t>
            </w:r>
          </w:p>
        </w:tc>
      </w:tr>
    </w:tbl>
    <w:p w14:paraId="374514B9"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4. Mixing and silhouette diagnostics</w:t>
      </w:r>
    </w:p>
    <w:tbl>
      <w:tblPr>
        <w:tblStyle w:val="TableGrid"/>
        <w:tblW w:w="0" w:type="auto"/>
        <w:jc w:val="center"/>
        <w:tblLook w:val="04A0" w:firstRow="1" w:lastRow="0" w:firstColumn="1" w:lastColumn="0" w:noHBand="0" w:noVBand="1"/>
      </w:tblPr>
      <w:tblGrid>
        <w:gridCol w:w="2724"/>
        <w:gridCol w:w="1586"/>
        <w:gridCol w:w="1797"/>
        <w:gridCol w:w="1612"/>
        <w:gridCol w:w="1631"/>
      </w:tblGrid>
      <w:tr w:rsidR="003B4CBF" w:rsidRPr="003B4CBF" w14:paraId="2A2FBEA2" w14:textId="77777777" w:rsidTr="00151104">
        <w:trPr>
          <w:jc w:val="center"/>
        </w:trPr>
        <w:tc>
          <w:tcPr>
            <w:tcW w:w="1872" w:type="dxa"/>
            <w:shd w:val="clear" w:color="auto" w:fill="DCE6F1"/>
          </w:tcPr>
          <w:p w14:paraId="7038C5CF"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Config key</w:t>
            </w:r>
          </w:p>
        </w:tc>
        <w:tc>
          <w:tcPr>
            <w:tcW w:w="1872" w:type="dxa"/>
            <w:shd w:val="clear" w:color="auto" w:fill="DCE6F1"/>
          </w:tcPr>
          <w:p w14:paraId="4D0996C7"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Default</w:t>
            </w:r>
          </w:p>
        </w:tc>
        <w:tc>
          <w:tcPr>
            <w:tcW w:w="1872" w:type="dxa"/>
            <w:shd w:val="clear" w:color="auto" w:fill="DCE6F1"/>
          </w:tcPr>
          <w:p w14:paraId="03EA1E72"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Definition</w:t>
            </w:r>
          </w:p>
        </w:tc>
        <w:tc>
          <w:tcPr>
            <w:tcW w:w="1872" w:type="dxa"/>
            <w:shd w:val="clear" w:color="auto" w:fill="DCE6F1"/>
          </w:tcPr>
          <w:p w14:paraId="479EC033"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If modified</w:t>
            </w:r>
          </w:p>
        </w:tc>
        <w:tc>
          <w:tcPr>
            <w:tcW w:w="1872" w:type="dxa"/>
            <w:shd w:val="clear" w:color="auto" w:fill="DCE6F1"/>
          </w:tcPr>
          <w:p w14:paraId="304034A1"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Impact on results</w:t>
            </w:r>
          </w:p>
        </w:tc>
      </w:tr>
      <w:tr w:rsidR="003B4CBF" w:rsidRPr="003B4CBF" w14:paraId="417E7D1D" w14:textId="77777777" w:rsidTr="00151104">
        <w:trPr>
          <w:jc w:val="center"/>
        </w:trPr>
        <w:tc>
          <w:tcPr>
            <w:tcW w:w="1872" w:type="dxa"/>
          </w:tcPr>
          <w:p w14:paraId="04B124E5"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module2.diagnostics.enabled</w:t>
            </w:r>
            <w:proofErr w:type="gramEnd"/>
          </w:p>
        </w:tc>
        <w:tc>
          <w:tcPr>
            <w:tcW w:w="1872" w:type="dxa"/>
          </w:tcPr>
          <w:p w14:paraId="1AE12914"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true</w:t>
            </w:r>
          </w:p>
        </w:tc>
        <w:tc>
          <w:tcPr>
            <w:tcW w:w="1872" w:type="dxa"/>
          </w:tcPr>
          <w:p w14:paraId="4AF1AD7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Run mixing / silhouette</w:t>
            </w:r>
          </w:p>
        </w:tc>
        <w:tc>
          <w:tcPr>
            <w:tcW w:w="1872" w:type="dxa"/>
          </w:tcPr>
          <w:p w14:paraId="3498C03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Set </w:t>
            </w:r>
            <w:r w:rsidRPr="003B4CBF">
              <w:rPr>
                <w:rFonts w:ascii="Times New Roman" w:hAnsi="Times New Roman" w:cs="Times New Roman"/>
                <w:color w:val="1A3E6E"/>
                <w:sz w:val="15"/>
              </w:rPr>
              <w:t>false</w:t>
            </w:r>
          </w:p>
        </w:tc>
        <w:tc>
          <w:tcPr>
            <w:tcW w:w="1872" w:type="dxa"/>
          </w:tcPr>
          <w:p w14:paraId="6311EB5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No mixing </w:t>
            </w:r>
            <w:proofErr w:type="gramStart"/>
            <w:r w:rsidRPr="003B4CBF">
              <w:rPr>
                <w:rFonts w:ascii="Times New Roman" w:hAnsi="Times New Roman" w:cs="Times New Roman"/>
                <w:sz w:val="17"/>
              </w:rPr>
              <w:t>tables;</w:t>
            </w:r>
            <w:proofErr w:type="gramEnd"/>
            <w:r w:rsidRPr="003B4CBF">
              <w:rPr>
                <w:rFonts w:ascii="Times New Roman" w:hAnsi="Times New Roman" w:cs="Times New Roman"/>
                <w:sz w:val="17"/>
              </w:rPr>
              <w:t xml:space="preserve"> RAM floor may omit diagnostic peak</w:t>
            </w:r>
          </w:p>
        </w:tc>
      </w:tr>
      <w:tr w:rsidR="003B4CBF" w:rsidRPr="003B4CBF" w14:paraId="78D5DE51" w14:textId="77777777" w:rsidTr="00151104">
        <w:trPr>
          <w:jc w:val="center"/>
        </w:trPr>
        <w:tc>
          <w:tcPr>
            <w:tcW w:w="1872" w:type="dxa"/>
          </w:tcPr>
          <w:p w14:paraId="2C929BD3"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module2.diagnostics.log_matrix_memory</w:t>
            </w:r>
          </w:p>
        </w:tc>
        <w:tc>
          <w:tcPr>
            <w:tcW w:w="1872" w:type="dxa"/>
          </w:tcPr>
          <w:p w14:paraId="0F70C2C6"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true</w:t>
            </w:r>
          </w:p>
        </w:tc>
        <w:tc>
          <w:tcPr>
            <w:tcW w:w="1872" w:type="dxa"/>
          </w:tcPr>
          <w:p w14:paraId="73ECE69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Log matrix RSS notes</w:t>
            </w:r>
          </w:p>
        </w:tc>
        <w:tc>
          <w:tcPr>
            <w:tcW w:w="1872" w:type="dxa"/>
          </w:tcPr>
          <w:p w14:paraId="625725B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Set </w:t>
            </w:r>
            <w:r w:rsidRPr="003B4CBF">
              <w:rPr>
                <w:rFonts w:ascii="Times New Roman" w:hAnsi="Times New Roman" w:cs="Times New Roman"/>
                <w:color w:val="1A3E6E"/>
                <w:sz w:val="15"/>
              </w:rPr>
              <w:t>false</w:t>
            </w:r>
          </w:p>
        </w:tc>
        <w:tc>
          <w:tcPr>
            <w:tcW w:w="1872" w:type="dxa"/>
          </w:tcPr>
          <w:p w14:paraId="444DD44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Reporting only</w:t>
            </w:r>
          </w:p>
        </w:tc>
      </w:tr>
      <w:tr w:rsidR="003B4CBF" w:rsidRPr="003B4CBF" w14:paraId="250FA780" w14:textId="77777777" w:rsidTr="00151104">
        <w:trPr>
          <w:jc w:val="center"/>
        </w:trPr>
        <w:tc>
          <w:tcPr>
            <w:tcW w:w="1872" w:type="dxa"/>
          </w:tcPr>
          <w:p w14:paraId="3FBEB58C"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module2.diagnostics.knn_k</w:t>
            </w:r>
          </w:p>
        </w:tc>
        <w:tc>
          <w:tcPr>
            <w:tcW w:w="1872" w:type="dxa"/>
          </w:tcPr>
          <w:p w14:paraId="124799E6"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30</w:t>
            </w:r>
          </w:p>
        </w:tc>
        <w:tc>
          <w:tcPr>
            <w:tcW w:w="1872" w:type="dxa"/>
          </w:tcPr>
          <w:p w14:paraId="5FE7BE7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Neighbors for foreign-donor fraction</w:t>
            </w:r>
          </w:p>
        </w:tc>
        <w:tc>
          <w:tcPr>
            <w:tcW w:w="1872" w:type="dxa"/>
          </w:tcPr>
          <w:p w14:paraId="5882674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Change k</w:t>
            </w:r>
          </w:p>
        </w:tc>
        <w:tc>
          <w:tcPr>
            <w:tcW w:w="1872" w:type="dxa"/>
          </w:tcPr>
          <w:p w14:paraId="1DC18B7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Numeric mixing score scale changes</w:t>
            </w:r>
          </w:p>
        </w:tc>
      </w:tr>
      <w:tr w:rsidR="003B4CBF" w:rsidRPr="003B4CBF" w14:paraId="399C1299" w14:textId="77777777" w:rsidTr="00151104">
        <w:trPr>
          <w:jc w:val="center"/>
        </w:trPr>
        <w:tc>
          <w:tcPr>
            <w:tcW w:w="1872" w:type="dxa"/>
          </w:tcPr>
          <w:p w14:paraId="6499A27A"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module2.diagnostics.max_cells</w:t>
            </w:r>
          </w:p>
        </w:tc>
        <w:tc>
          <w:tcPr>
            <w:tcW w:w="1872" w:type="dxa"/>
          </w:tcPr>
          <w:p w14:paraId="74FB1F5F"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8000</w:t>
            </w:r>
          </w:p>
        </w:tc>
        <w:tc>
          <w:tcPr>
            <w:tcW w:w="1872" w:type="dxa"/>
          </w:tcPr>
          <w:p w14:paraId="60EF85C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Subsample cap for scoring</w:t>
            </w:r>
          </w:p>
        </w:tc>
        <w:tc>
          <w:tcPr>
            <w:tcW w:w="1872" w:type="dxa"/>
          </w:tcPr>
          <w:p w14:paraId="5FEC36A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w:t>
            </w:r>
          </w:p>
        </w:tc>
        <w:tc>
          <w:tcPr>
            <w:tcW w:w="1872" w:type="dxa"/>
          </w:tcPr>
          <w:p w14:paraId="03FA6FB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Higher RAM; stabler estimate</w:t>
            </w:r>
          </w:p>
        </w:tc>
      </w:tr>
      <w:tr w:rsidR="003B4CBF" w:rsidRPr="003B4CBF" w14:paraId="148D0B8B" w14:textId="77777777" w:rsidTr="00151104">
        <w:trPr>
          <w:jc w:val="center"/>
        </w:trPr>
        <w:tc>
          <w:tcPr>
            <w:tcW w:w="1872" w:type="dxa"/>
          </w:tcPr>
          <w:p w14:paraId="338258FD"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module2.diagnostics.random</w:t>
            </w:r>
            <w:proofErr w:type="gramEnd"/>
            <w:r w:rsidRPr="003B4CBF">
              <w:rPr>
                <w:rFonts w:ascii="Times New Roman" w:hAnsi="Times New Roman" w:cs="Times New Roman"/>
                <w:color w:val="1A3E6E"/>
                <w:sz w:val="15"/>
              </w:rPr>
              <w:t>_seed</w:t>
            </w:r>
          </w:p>
        </w:tc>
        <w:tc>
          <w:tcPr>
            <w:tcW w:w="1872" w:type="dxa"/>
          </w:tcPr>
          <w:p w14:paraId="2A9CC0D9"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null</w:t>
            </w:r>
          </w:p>
        </w:tc>
        <w:tc>
          <w:tcPr>
            <w:tcW w:w="1872" w:type="dxa"/>
          </w:tcPr>
          <w:p w14:paraId="5A9EFDA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Null falls back to </w:t>
            </w:r>
            <w:r w:rsidRPr="003B4CBF">
              <w:rPr>
                <w:rFonts w:ascii="Times New Roman" w:hAnsi="Times New Roman" w:cs="Times New Roman"/>
                <w:color w:val="1A3E6E"/>
                <w:sz w:val="15"/>
              </w:rPr>
              <w:t>module2.random_seed</w:t>
            </w:r>
          </w:p>
        </w:tc>
        <w:tc>
          <w:tcPr>
            <w:tcW w:w="1872" w:type="dxa"/>
          </w:tcPr>
          <w:p w14:paraId="2074D73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Set explicit</w:t>
            </w:r>
          </w:p>
        </w:tc>
        <w:tc>
          <w:tcPr>
            <w:tcW w:w="1872" w:type="dxa"/>
          </w:tcPr>
          <w:p w14:paraId="3D70342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Controls diagnostic subsample only</w:t>
            </w:r>
          </w:p>
        </w:tc>
      </w:tr>
    </w:tbl>
    <w:p w14:paraId="02008B66"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5. Coarse cell_class mapping, composition, and pseudobulk</w:t>
      </w:r>
    </w:p>
    <w:tbl>
      <w:tblPr>
        <w:tblStyle w:val="TableGrid"/>
        <w:tblW w:w="0" w:type="auto"/>
        <w:jc w:val="center"/>
        <w:tblLook w:val="04A0" w:firstRow="1" w:lastRow="0" w:firstColumn="1" w:lastColumn="0" w:noHBand="0" w:noVBand="1"/>
      </w:tblPr>
      <w:tblGrid>
        <w:gridCol w:w="1959"/>
        <w:gridCol w:w="2812"/>
        <w:gridCol w:w="1691"/>
        <w:gridCol w:w="1434"/>
        <w:gridCol w:w="1454"/>
      </w:tblGrid>
      <w:tr w:rsidR="003B4CBF" w:rsidRPr="003B4CBF" w14:paraId="2936DDCC" w14:textId="77777777" w:rsidTr="00151104">
        <w:trPr>
          <w:jc w:val="center"/>
        </w:trPr>
        <w:tc>
          <w:tcPr>
            <w:tcW w:w="1872" w:type="dxa"/>
            <w:shd w:val="clear" w:color="auto" w:fill="DCE6F1"/>
          </w:tcPr>
          <w:p w14:paraId="69F0687F"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Config key</w:t>
            </w:r>
          </w:p>
        </w:tc>
        <w:tc>
          <w:tcPr>
            <w:tcW w:w="1872" w:type="dxa"/>
            <w:shd w:val="clear" w:color="auto" w:fill="DCE6F1"/>
          </w:tcPr>
          <w:p w14:paraId="46E5C2EE"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Default</w:t>
            </w:r>
          </w:p>
        </w:tc>
        <w:tc>
          <w:tcPr>
            <w:tcW w:w="1872" w:type="dxa"/>
            <w:shd w:val="clear" w:color="auto" w:fill="DCE6F1"/>
          </w:tcPr>
          <w:p w14:paraId="7773F96D"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Definition</w:t>
            </w:r>
          </w:p>
        </w:tc>
        <w:tc>
          <w:tcPr>
            <w:tcW w:w="1872" w:type="dxa"/>
            <w:shd w:val="clear" w:color="auto" w:fill="DCE6F1"/>
          </w:tcPr>
          <w:p w14:paraId="3734CA0D"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If modified</w:t>
            </w:r>
          </w:p>
        </w:tc>
        <w:tc>
          <w:tcPr>
            <w:tcW w:w="1872" w:type="dxa"/>
            <w:shd w:val="clear" w:color="auto" w:fill="DCE6F1"/>
          </w:tcPr>
          <w:p w14:paraId="7F382D82"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Impact on results</w:t>
            </w:r>
          </w:p>
        </w:tc>
      </w:tr>
      <w:tr w:rsidR="003B4CBF" w:rsidRPr="003B4CBF" w14:paraId="5D0EFA4B" w14:textId="77777777" w:rsidTr="00151104">
        <w:trPr>
          <w:jc w:val="center"/>
        </w:trPr>
        <w:tc>
          <w:tcPr>
            <w:tcW w:w="1872" w:type="dxa"/>
          </w:tcPr>
          <w:p w14:paraId="38E7A178"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module2.label_column</w:t>
            </w:r>
          </w:p>
        </w:tc>
        <w:tc>
          <w:tcPr>
            <w:tcW w:w="1872" w:type="dxa"/>
          </w:tcPr>
          <w:p w14:paraId="292A4193"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azimuth_label</w:t>
            </w:r>
          </w:p>
        </w:tc>
        <w:tc>
          <w:tcPr>
            <w:tcW w:w="1872" w:type="dxa"/>
          </w:tcPr>
          <w:p w14:paraId="55227B1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Fine label source for mapping</w:t>
            </w:r>
          </w:p>
        </w:tc>
        <w:tc>
          <w:tcPr>
            <w:tcW w:w="1872" w:type="dxa"/>
          </w:tcPr>
          <w:p w14:paraId="26D927A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Switch column</w:t>
            </w:r>
          </w:p>
        </w:tc>
        <w:tc>
          <w:tcPr>
            <w:tcW w:w="1872" w:type="dxa"/>
          </w:tcPr>
          <w:p w14:paraId="73D2122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Remaps every </w:t>
            </w:r>
            <w:r w:rsidRPr="003B4CBF">
              <w:rPr>
                <w:rFonts w:ascii="Times New Roman" w:hAnsi="Times New Roman" w:cs="Times New Roman"/>
                <w:color w:val="1A3E6E"/>
                <w:sz w:val="15"/>
              </w:rPr>
              <w:t>cell_class</w:t>
            </w:r>
          </w:p>
        </w:tc>
      </w:tr>
      <w:tr w:rsidR="003B4CBF" w:rsidRPr="003B4CBF" w14:paraId="42053CFB" w14:textId="77777777" w:rsidTr="00151104">
        <w:trPr>
          <w:jc w:val="center"/>
        </w:trPr>
        <w:tc>
          <w:tcPr>
            <w:tcW w:w="1872" w:type="dxa"/>
          </w:tcPr>
          <w:p w14:paraId="22A4FBD2"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module2.labels.fetch</w:t>
            </w:r>
            <w:proofErr w:type="gramEnd"/>
            <w:r w:rsidRPr="003B4CBF">
              <w:rPr>
                <w:rFonts w:ascii="Times New Roman" w:hAnsi="Times New Roman" w:cs="Times New Roman"/>
                <w:color w:val="1A3E6E"/>
                <w:sz w:val="15"/>
              </w:rPr>
              <w:t>_remote</w:t>
            </w:r>
          </w:p>
        </w:tc>
        <w:tc>
          <w:tcPr>
            <w:tcW w:w="1872" w:type="dxa"/>
          </w:tcPr>
          <w:p w14:paraId="2E5D6255"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false</w:t>
            </w:r>
          </w:p>
        </w:tc>
        <w:tc>
          <w:tcPr>
            <w:tcW w:w="1872" w:type="dxa"/>
          </w:tcPr>
          <w:p w14:paraId="4F9235D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Remote range-read for labels</w:t>
            </w:r>
          </w:p>
        </w:tc>
        <w:tc>
          <w:tcPr>
            <w:tcW w:w="1872" w:type="dxa"/>
          </w:tcPr>
          <w:p w14:paraId="37274BB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Set </w:t>
            </w:r>
            <w:r w:rsidRPr="003B4CBF">
              <w:rPr>
                <w:rFonts w:ascii="Times New Roman" w:hAnsi="Times New Roman" w:cs="Times New Roman"/>
                <w:color w:val="1A3E6E"/>
                <w:sz w:val="15"/>
              </w:rPr>
              <w:t>true</w:t>
            </w:r>
          </w:p>
        </w:tc>
        <w:tc>
          <w:tcPr>
            <w:tcW w:w="1872" w:type="dxa"/>
          </w:tcPr>
          <w:p w14:paraId="7990C5E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Join coverage may change</w:t>
            </w:r>
          </w:p>
        </w:tc>
      </w:tr>
      <w:tr w:rsidR="003B4CBF" w:rsidRPr="003B4CBF" w14:paraId="63FE18BC" w14:textId="77777777" w:rsidTr="00151104">
        <w:trPr>
          <w:jc w:val="center"/>
        </w:trPr>
        <w:tc>
          <w:tcPr>
            <w:tcW w:w="1872" w:type="dxa"/>
          </w:tcPr>
          <w:p w14:paraId="5E015202"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module2.labels.cache</w:t>
            </w:r>
            <w:proofErr w:type="gramEnd"/>
          </w:p>
        </w:tc>
        <w:tc>
          <w:tcPr>
            <w:tcW w:w="1872" w:type="dxa"/>
          </w:tcPr>
          <w:p w14:paraId="73B3F4FC"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outputs/tables/module2_azimuth_labels.tsv</w:t>
            </w:r>
          </w:p>
        </w:tc>
        <w:tc>
          <w:tcPr>
            <w:tcW w:w="1872" w:type="dxa"/>
          </w:tcPr>
          <w:p w14:paraId="59CA54B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Local label cache</w:t>
            </w:r>
          </w:p>
        </w:tc>
        <w:tc>
          <w:tcPr>
            <w:tcW w:w="1872" w:type="dxa"/>
          </w:tcPr>
          <w:p w14:paraId="4220E35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Refresh</w:t>
            </w:r>
          </w:p>
        </w:tc>
        <w:tc>
          <w:tcPr>
            <w:tcW w:w="1872" w:type="dxa"/>
          </w:tcPr>
          <w:p w14:paraId="02BE924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Same as join change</w:t>
            </w:r>
          </w:p>
        </w:tc>
      </w:tr>
      <w:tr w:rsidR="003B4CBF" w:rsidRPr="003B4CBF" w14:paraId="2FF748C1" w14:textId="77777777" w:rsidTr="00151104">
        <w:trPr>
          <w:jc w:val="center"/>
        </w:trPr>
        <w:tc>
          <w:tcPr>
            <w:tcW w:w="1872" w:type="dxa"/>
          </w:tcPr>
          <w:p w14:paraId="2607E2EE"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module2.groupby</w:t>
            </w:r>
          </w:p>
        </w:tc>
        <w:tc>
          <w:tcPr>
            <w:tcW w:w="1872" w:type="dxa"/>
          </w:tcPr>
          <w:p w14:paraId="17998DE5"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cell_class</w:t>
            </w:r>
          </w:p>
        </w:tc>
        <w:tc>
          <w:tcPr>
            <w:tcW w:w="1872" w:type="dxa"/>
          </w:tcPr>
          <w:p w14:paraId="78E53DF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Default DE grouping</w:t>
            </w:r>
          </w:p>
        </w:tc>
        <w:tc>
          <w:tcPr>
            <w:tcW w:w="1872" w:type="dxa"/>
          </w:tcPr>
          <w:p w14:paraId="0D871A4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Use fine labels</w:t>
            </w:r>
          </w:p>
        </w:tc>
        <w:tc>
          <w:tcPr>
            <w:tcW w:w="1872" w:type="dxa"/>
          </w:tcPr>
          <w:p w14:paraId="1307DEB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Marker tables explode in groups</w:t>
            </w:r>
          </w:p>
        </w:tc>
      </w:tr>
      <w:tr w:rsidR="003B4CBF" w:rsidRPr="003B4CBF" w14:paraId="5BB32B12" w14:textId="77777777" w:rsidTr="00151104">
        <w:trPr>
          <w:jc w:val="center"/>
        </w:trPr>
        <w:tc>
          <w:tcPr>
            <w:tcW w:w="1872" w:type="dxa"/>
          </w:tcPr>
          <w:p w14:paraId="3CAED1C8"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module2.export_pseudobulk</w:t>
            </w:r>
          </w:p>
        </w:tc>
        <w:tc>
          <w:tcPr>
            <w:tcW w:w="1872" w:type="dxa"/>
          </w:tcPr>
          <w:p w14:paraId="19B2ABF1"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true</w:t>
            </w:r>
          </w:p>
        </w:tc>
        <w:tc>
          <w:tcPr>
            <w:tcW w:w="1872" w:type="dxa"/>
          </w:tcPr>
          <w:p w14:paraId="767AFE8F"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Write bridge vectors for Module 4</w:t>
            </w:r>
          </w:p>
        </w:tc>
        <w:tc>
          <w:tcPr>
            <w:tcW w:w="1872" w:type="dxa"/>
          </w:tcPr>
          <w:p w14:paraId="6784B52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Set </w:t>
            </w:r>
            <w:r w:rsidRPr="003B4CBF">
              <w:rPr>
                <w:rFonts w:ascii="Times New Roman" w:hAnsi="Times New Roman" w:cs="Times New Roman"/>
                <w:color w:val="1A3E6E"/>
                <w:sz w:val="15"/>
              </w:rPr>
              <w:t>false</w:t>
            </w:r>
          </w:p>
        </w:tc>
        <w:tc>
          <w:tcPr>
            <w:tcW w:w="1872" w:type="dxa"/>
          </w:tcPr>
          <w:p w14:paraId="69256C2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Module 4 level bridge lacks HuBMAP side</w:t>
            </w:r>
          </w:p>
        </w:tc>
      </w:tr>
      <w:tr w:rsidR="003B4CBF" w:rsidRPr="003B4CBF" w14:paraId="17C7A454" w14:textId="77777777" w:rsidTr="00151104">
        <w:trPr>
          <w:jc w:val="center"/>
        </w:trPr>
        <w:tc>
          <w:tcPr>
            <w:tcW w:w="1872" w:type="dxa"/>
          </w:tcPr>
          <w:p w14:paraId="03884B00"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module2.markers</w:t>
            </w:r>
          </w:p>
        </w:tc>
        <w:tc>
          <w:tcPr>
            <w:tcW w:w="1872" w:type="dxa"/>
          </w:tcPr>
          <w:p w14:paraId="1EB2035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lung panel list</w:t>
            </w:r>
          </w:p>
        </w:tc>
        <w:tc>
          <w:tcPr>
            <w:tcW w:w="1872" w:type="dxa"/>
          </w:tcPr>
          <w:p w14:paraId="2E36C6E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Genes for teaching heatmaps/dotplots</w:t>
            </w:r>
          </w:p>
        </w:tc>
        <w:tc>
          <w:tcPr>
            <w:tcW w:w="1872" w:type="dxa"/>
          </w:tcPr>
          <w:p w14:paraId="0679121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Edit list</w:t>
            </w:r>
          </w:p>
        </w:tc>
        <w:tc>
          <w:tcPr>
            <w:tcW w:w="1872" w:type="dxa"/>
          </w:tcPr>
          <w:p w14:paraId="6DB6C59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Figure content only</w:t>
            </w:r>
          </w:p>
        </w:tc>
      </w:tr>
      <w:tr w:rsidR="003B4CBF" w:rsidRPr="003B4CBF" w14:paraId="7F5AC741" w14:textId="77777777" w:rsidTr="00151104">
        <w:trPr>
          <w:jc w:val="center"/>
        </w:trPr>
        <w:tc>
          <w:tcPr>
            <w:tcW w:w="1872" w:type="dxa"/>
          </w:tcPr>
          <w:p w14:paraId="60F7D5E6"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lastRenderedPageBreak/>
              <w:t>module2.known_markers</w:t>
            </w:r>
          </w:p>
        </w:tc>
        <w:tc>
          <w:tcPr>
            <w:tcW w:w="1872" w:type="dxa"/>
          </w:tcPr>
          <w:p w14:paraId="1ED5B8E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lineage panels</w:t>
            </w:r>
          </w:p>
        </w:tc>
        <w:tc>
          <w:tcPr>
            <w:tcW w:w="1872" w:type="dxa"/>
          </w:tcPr>
          <w:p w14:paraId="0823B31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Named marker sets for dotplots</w:t>
            </w:r>
          </w:p>
        </w:tc>
        <w:tc>
          <w:tcPr>
            <w:tcW w:w="1872" w:type="dxa"/>
          </w:tcPr>
          <w:p w14:paraId="5C9B2BA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Edit</w:t>
            </w:r>
          </w:p>
        </w:tc>
        <w:tc>
          <w:tcPr>
            <w:tcW w:w="1872" w:type="dxa"/>
          </w:tcPr>
          <w:p w14:paraId="47E6E13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Figure content only</w:t>
            </w:r>
          </w:p>
        </w:tc>
      </w:tr>
    </w:tbl>
    <w:p w14:paraId="589B055E"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6. Intron exclusion on the DE path, Wilcoxon markers</w:t>
      </w:r>
    </w:p>
    <w:tbl>
      <w:tblPr>
        <w:tblStyle w:val="TableGrid"/>
        <w:tblW w:w="0" w:type="auto"/>
        <w:jc w:val="center"/>
        <w:tblLook w:val="04A0" w:firstRow="1" w:lastRow="0" w:firstColumn="1" w:lastColumn="0" w:noHBand="0" w:noVBand="1"/>
      </w:tblPr>
      <w:tblGrid>
        <w:gridCol w:w="2516"/>
        <w:gridCol w:w="1707"/>
        <w:gridCol w:w="1772"/>
        <w:gridCol w:w="1665"/>
        <w:gridCol w:w="1690"/>
      </w:tblGrid>
      <w:tr w:rsidR="003B4CBF" w:rsidRPr="003B4CBF" w14:paraId="15617076" w14:textId="77777777" w:rsidTr="00151104">
        <w:trPr>
          <w:jc w:val="center"/>
        </w:trPr>
        <w:tc>
          <w:tcPr>
            <w:tcW w:w="1872" w:type="dxa"/>
            <w:shd w:val="clear" w:color="auto" w:fill="DCE6F1"/>
          </w:tcPr>
          <w:p w14:paraId="4E29D19F"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Config key</w:t>
            </w:r>
          </w:p>
        </w:tc>
        <w:tc>
          <w:tcPr>
            <w:tcW w:w="1872" w:type="dxa"/>
            <w:shd w:val="clear" w:color="auto" w:fill="DCE6F1"/>
          </w:tcPr>
          <w:p w14:paraId="355B9EDF"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Default</w:t>
            </w:r>
          </w:p>
        </w:tc>
        <w:tc>
          <w:tcPr>
            <w:tcW w:w="1872" w:type="dxa"/>
            <w:shd w:val="clear" w:color="auto" w:fill="DCE6F1"/>
          </w:tcPr>
          <w:p w14:paraId="16EAB040"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Definition</w:t>
            </w:r>
          </w:p>
        </w:tc>
        <w:tc>
          <w:tcPr>
            <w:tcW w:w="1872" w:type="dxa"/>
            <w:shd w:val="clear" w:color="auto" w:fill="DCE6F1"/>
          </w:tcPr>
          <w:p w14:paraId="4478358E"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If modified</w:t>
            </w:r>
          </w:p>
        </w:tc>
        <w:tc>
          <w:tcPr>
            <w:tcW w:w="1872" w:type="dxa"/>
            <w:shd w:val="clear" w:color="auto" w:fill="DCE6F1"/>
          </w:tcPr>
          <w:p w14:paraId="52AB6C2A"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Impact on results</w:t>
            </w:r>
          </w:p>
        </w:tc>
      </w:tr>
      <w:tr w:rsidR="003B4CBF" w:rsidRPr="003B4CBF" w14:paraId="4ED4B35A" w14:textId="77777777" w:rsidTr="00151104">
        <w:trPr>
          <w:jc w:val="center"/>
        </w:trPr>
        <w:tc>
          <w:tcPr>
            <w:tcW w:w="1872" w:type="dxa"/>
          </w:tcPr>
          <w:p w14:paraId="5624133E"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module2.exclude_intron_features</w:t>
            </w:r>
          </w:p>
        </w:tc>
        <w:tc>
          <w:tcPr>
            <w:tcW w:w="1872" w:type="dxa"/>
          </w:tcPr>
          <w:p w14:paraId="41030A17"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true</w:t>
            </w:r>
          </w:p>
        </w:tc>
        <w:tc>
          <w:tcPr>
            <w:tcW w:w="1872" w:type="dxa"/>
          </w:tcPr>
          <w:p w14:paraId="2CA6E2A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Drop </w:t>
            </w:r>
            <w:r w:rsidRPr="003B4CBF">
              <w:rPr>
                <w:rFonts w:ascii="Times New Roman" w:hAnsi="Times New Roman" w:cs="Times New Roman"/>
                <w:color w:val="1A3E6E"/>
                <w:sz w:val="15"/>
              </w:rPr>
              <w:t>*-I</w:t>
            </w:r>
            <w:r w:rsidRPr="003B4CBF">
              <w:rPr>
                <w:rFonts w:ascii="Times New Roman" w:hAnsi="Times New Roman" w:cs="Times New Roman"/>
                <w:sz w:val="17"/>
              </w:rPr>
              <w:t xml:space="preserve"> features at DE load</w:t>
            </w:r>
          </w:p>
        </w:tc>
        <w:tc>
          <w:tcPr>
            <w:tcW w:w="1872" w:type="dxa"/>
          </w:tcPr>
          <w:p w14:paraId="195219C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Set </w:t>
            </w:r>
            <w:r w:rsidRPr="003B4CBF">
              <w:rPr>
                <w:rFonts w:ascii="Times New Roman" w:hAnsi="Times New Roman" w:cs="Times New Roman"/>
                <w:color w:val="1A3E6E"/>
                <w:sz w:val="15"/>
              </w:rPr>
              <w:t>false</w:t>
            </w:r>
          </w:p>
        </w:tc>
        <w:tc>
          <w:tcPr>
            <w:tcW w:w="1872" w:type="dxa"/>
          </w:tcPr>
          <w:p w14:paraId="7DB2C8F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Intron tags compete in ranks; markers change</w:t>
            </w:r>
          </w:p>
        </w:tc>
      </w:tr>
      <w:tr w:rsidR="003B4CBF" w:rsidRPr="003B4CBF" w14:paraId="0A7B51F5" w14:textId="77777777" w:rsidTr="00151104">
        <w:trPr>
          <w:jc w:val="center"/>
        </w:trPr>
        <w:tc>
          <w:tcPr>
            <w:tcW w:w="1872" w:type="dxa"/>
          </w:tcPr>
          <w:p w14:paraId="50F154B1"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module2.de.method</w:t>
            </w:r>
          </w:p>
        </w:tc>
        <w:tc>
          <w:tcPr>
            <w:tcW w:w="1872" w:type="dxa"/>
          </w:tcPr>
          <w:p w14:paraId="554AF1B3"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wilcoxon</w:t>
            </w:r>
          </w:p>
        </w:tc>
        <w:tc>
          <w:tcPr>
            <w:tcW w:w="1872" w:type="dxa"/>
          </w:tcPr>
          <w:p w14:paraId="37275358"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rank_genes_groups</w:t>
            </w:r>
            <w:r w:rsidRPr="003B4CBF">
              <w:rPr>
                <w:rFonts w:ascii="Times New Roman" w:hAnsi="Times New Roman" w:cs="Times New Roman"/>
                <w:sz w:val="17"/>
              </w:rPr>
              <w:t xml:space="preserve"> method</w:t>
            </w:r>
          </w:p>
        </w:tc>
        <w:tc>
          <w:tcPr>
            <w:tcW w:w="1872" w:type="dxa"/>
          </w:tcPr>
          <w:p w14:paraId="7AB51F5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Change</w:t>
            </w:r>
          </w:p>
        </w:tc>
        <w:tc>
          <w:tcPr>
            <w:tcW w:w="1872" w:type="dxa"/>
          </w:tcPr>
          <w:p w14:paraId="1180850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Rank statistics differ</w:t>
            </w:r>
          </w:p>
        </w:tc>
      </w:tr>
      <w:tr w:rsidR="003B4CBF" w:rsidRPr="003B4CBF" w14:paraId="52ABB7DE" w14:textId="77777777" w:rsidTr="00151104">
        <w:trPr>
          <w:jc w:val="center"/>
        </w:trPr>
        <w:tc>
          <w:tcPr>
            <w:tcW w:w="1872" w:type="dxa"/>
          </w:tcPr>
          <w:p w14:paraId="3803C845"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module2.de.n_genes</w:t>
            </w:r>
          </w:p>
        </w:tc>
        <w:tc>
          <w:tcPr>
            <w:tcW w:w="1872" w:type="dxa"/>
          </w:tcPr>
          <w:p w14:paraId="0426D59D"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3000</w:t>
            </w:r>
          </w:p>
        </w:tc>
        <w:tc>
          <w:tcPr>
            <w:tcW w:w="1872" w:type="dxa"/>
          </w:tcPr>
          <w:p w14:paraId="60DD93A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Genes reported per group (prerank-friendly)</w:t>
            </w:r>
          </w:p>
        </w:tc>
        <w:tc>
          <w:tcPr>
            <w:tcW w:w="1872" w:type="dxa"/>
          </w:tcPr>
          <w:p w14:paraId="2F75EFD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Lower</w:t>
            </w:r>
          </w:p>
        </w:tc>
        <w:tc>
          <w:tcPr>
            <w:tcW w:w="1872" w:type="dxa"/>
          </w:tcPr>
          <w:p w14:paraId="5A7EEF3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Shorter ranked lists for GSEA</w:t>
            </w:r>
          </w:p>
        </w:tc>
      </w:tr>
      <w:tr w:rsidR="003B4CBF" w:rsidRPr="003B4CBF" w14:paraId="55632DB9" w14:textId="77777777" w:rsidTr="00151104">
        <w:trPr>
          <w:jc w:val="center"/>
        </w:trPr>
        <w:tc>
          <w:tcPr>
            <w:tcW w:w="1872" w:type="dxa"/>
          </w:tcPr>
          <w:p w14:paraId="20B9A3E8"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module2.de.min_cells_per_group</w:t>
            </w:r>
          </w:p>
        </w:tc>
        <w:tc>
          <w:tcPr>
            <w:tcW w:w="1872" w:type="dxa"/>
          </w:tcPr>
          <w:p w14:paraId="0CD1B01C"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50</w:t>
            </w:r>
          </w:p>
        </w:tc>
        <w:tc>
          <w:tcPr>
            <w:tcW w:w="1872" w:type="dxa"/>
          </w:tcPr>
          <w:p w14:paraId="635DD7D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Minimum nuclei to keep a group</w:t>
            </w:r>
          </w:p>
        </w:tc>
        <w:tc>
          <w:tcPr>
            <w:tcW w:w="1872" w:type="dxa"/>
          </w:tcPr>
          <w:p w14:paraId="222D6F3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w:t>
            </w:r>
          </w:p>
        </w:tc>
        <w:tc>
          <w:tcPr>
            <w:tcW w:w="1872" w:type="dxa"/>
          </w:tcPr>
          <w:p w14:paraId="4410D90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Rare classes may drop from DE</w:t>
            </w:r>
          </w:p>
        </w:tc>
      </w:tr>
      <w:tr w:rsidR="003B4CBF" w:rsidRPr="003B4CBF" w14:paraId="5A526084" w14:textId="77777777" w:rsidTr="00151104">
        <w:trPr>
          <w:jc w:val="center"/>
        </w:trPr>
        <w:tc>
          <w:tcPr>
            <w:tcW w:w="1872" w:type="dxa"/>
          </w:tcPr>
          <w:p w14:paraId="58DDEAEC"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module2.de.min_logfoldchange</w:t>
            </w:r>
          </w:p>
        </w:tc>
        <w:tc>
          <w:tcPr>
            <w:tcW w:w="1872" w:type="dxa"/>
          </w:tcPr>
          <w:p w14:paraId="548A3BF8"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0.25</w:t>
            </w:r>
          </w:p>
        </w:tc>
        <w:tc>
          <w:tcPr>
            <w:tcW w:w="1872" w:type="dxa"/>
          </w:tcPr>
          <w:p w14:paraId="562B89EF"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Filter for ORA input markers</w:t>
            </w:r>
          </w:p>
        </w:tc>
        <w:tc>
          <w:tcPr>
            <w:tcW w:w="1872" w:type="dxa"/>
          </w:tcPr>
          <w:p w14:paraId="5F5784C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w:t>
            </w:r>
          </w:p>
        </w:tc>
        <w:tc>
          <w:tcPr>
            <w:tcW w:w="1872" w:type="dxa"/>
          </w:tcPr>
          <w:p w14:paraId="3B8E39F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Fewer ORA genes; brittle enrichment</w:t>
            </w:r>
          </w:p>
        </w:tc>
      </w:tr>
      <w:tr w:rsidR="003B4CBF" w:rsidRPr="003B4CBF" w14:paraId="68AE9153" w14:textId="77777777" w:rsidTr="00151104">
        <w:trPr>
          <w:jc w:val="center"/>
        </w:trPr>
        <w:tc>
          <w:tcPr>
            <w:tcW w:w="1872" w:type="dxa"/>
          </w:tcPr>
          <w:p w14:paraId="254D931A"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module2.de.max_padj</w:t>
            </w:r>
          </w:p>
        </w:tc>
        <w:tc>
          <w:tcPr>
            <w:tcW w:w="1872" w:type="dxa"/>
          </w:tcPr>
          <w:p w14:paraId="2C111C8C"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0.05</w:t>
            </w:r>
          </w:p>
        </w:tc>
        <w:tc>
          <w:tcPr>
            <w:tcW w:w="1872" w:type="dxa"/>
          </w:tcPr>
          <w:p w14:paraId="2780E10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Adjusted p filter for markers</w:t>
            </w:r>
          </w:p>
        </w:tc>
        <w:tc>
          <w:tcPr>
            <w:tcW w:w="1872" w:type="dxa"/>
          </w:tcPr>
          <w:p w14:paraId="1644BB6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Stricter</w:t>
            </w:r>
          </w:p>
        </w:tc>
        <w:tc>
          <w:tcPr>
            <w:tcW w:w="1872" w:type="dxa"/>
          </w:tcPr>
          <w:p w14:paraId="65D648A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Same direction as LFC filter</w:t>
            </w:r>
          </w:p>
        </w:tc>
      </w:tr>
      <w:tr w:rsidR="003B4CBF" w:rsidRPr="003B4CBF" w14:paraId="394AF6DA" w14:textId="77777777" w:rsidTr="00151104">
        <w:trPr>
          <w:jc w:val="center"/>
        </w:trPr>
        <w:tc>
          <w:tcPr>
            <w:tcW w:w="1872" w:type="dxa"/>
          </w:tcPr>
          <w:p w14:paraId="0C0A08C1"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module2.de.exclude_ribosomal_genes</w:t>
            </w:r>
          </w:p>
        </w:tc>
        <w:tc>
          <w:tcPr>
            <w:tcW w:w="1872" w:type="dxa"/>
          </w:tcPr>
          <w:p w14:paraId="77FE814B"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true</w:t>
            </w:r>
          </w:p>
        </w:tc>
        <w:tc>
          <w:tcPr>
            <w:tcW w:w="1872" w:type="dxa"/>
          </w:tcPr>
          <w:p w14:paraId="79B3086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Drop ribosomal symbols from marker tables</w:t>
            </w:r>
          </w:p>
        </w:tc>
        <w:tc>
          <w:tcPr>
            <w:tcW w:w="1872" w:type="dxa"/>
          </w:tcPr>
          <w:p w14:paraId="6455BE9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Set </w:t>
            </w:r>
            <w:r w:rsidRPr="003B4CBF">
              <w:rPr>
                <w:rFonts w:ascii="Times New Roman" w:hAnsi="Times New Roman" w:cs="Times New Roman"/>
                <w:color w:val="1A3E6E"/>
                <w:sz w:val="15"/>
              </w:rPr>
              <w:t>false</w:t>
            </w:r>
          </w:p>
        </w:tc>
        <w:tc>
          <w:tcPr>
            <w:tcW w:w="1872" w:type="dxa"/>
          </w:tcPr>
          <w:p w14:paraId="487E889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Ribosomal genes dominate ranks</w:t>
            </w:r>
          </w:p>
        </w:tc>
      </w:tr>
      <w:tr w:rsidR="003B4CBF" w:rsidRPr="003B4CBF" w14:paraId="0F9BB52E" w14:textId="77777777" w:rsidTr="00151104">
        <w:trPr>
          <w:jc w:val="center"/>
        </w:trPr>
        <w:tc>
          <w:tcPr>
            <w:tcW w:w="1872" w:type="dxa"/>
          </w:tcPr>
          <w:p w14:paraId="0BECD58D"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module2.azimuth_focus</w:t>
            </w:r>
          </w:p>
        </w:tc>
        <w:tc>
          <w:tcPr>
            <w:tcW w:w="1872" w:type="dxa"/>
          </w:tcPr>
          <w:p w14:paraId="17C9393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AT2/AT1/...</w:t>
            </w:r>
          </w:p>
        </w:tc>
        <w:tc>
          <w:tcPr>
            <w:tcW w:w="1872" w:type="dxa"/>
          </w:tcPr>
          <w:p w14:paraId="1DA4FFA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Fine labels highlighted in plots</w:t>
            </w:r>
          </w:p>
        </w:tc>
        <w:tc>
          <w:tcPr>
            <w:tcW w:w="1872" w:type="dxa"/>
          </w:tcPr>
          <w:p w14:paraId="5DEF4E4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Edit</w:t>
            </w:r>
          </w:p>
        </w:tc>
        <w:tc>
          <w:tcPr>
            <w:tcW w:w="1872" w:type="dxa"/>
          </w:tcPr>
          <w:p w14:paraId="409AD9A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Figure focus only</w:t>
            </w:r>
          </w:p>
        </w:tc>
      </w:tr>
    </w:tbl>
    <w:p w14:paraId="63826852" w14:textId="77777777" w:rsidR="003B4CBF" w:rsidRPr="003B4CBF" w:rsidRDefault="003B4CBF" w:rsidP="003B4CBF">
      <w:pPr>
        <w:pStyle w:val="Heading4"/>
        <w:rPr>
          <w:rFonts w:ascii="Times New Roman" w:hAnsi="Times New Roman" w:cs="Times New Roman"/>
        </w:rPr>
      </w:pPr>
      <w:r w:rsidRPr="003B4CBF">
        <w:rPr>
          <w:rFonts w:ascii="Times New Roman" w:hAnsi="Times New Roman" w:cs="Times New Roman"/>
          <w:color w:val="1F4E79"/>
        </w:rPr>
        <w:t>7. Local GMT enrichment (ORA and prerank)</w:t>
      </w:r>
    </w:p>
    <w:tbl>
      <w:tblPr>
        <w:tblStyle w:val="TableGrid"/>
        <w:tblW w:w="0" w:type="auto"/>
        <w:jc w:val="center"/>
        <w:tblLook w:val="04A0" w:firstRow="1" w:lastRow="0" w:firstColumn="1" w:lastColumn="0" w:noHBand="0" w:noVBand="1"/>
      </w:tblPr>
      <w:tblGrid>
        <w:gridCol w:w="3053"/>
        <w:gridCol w:w="1558"/>
        <w:gridCol w:w="1590"/>
        <w:gridCol w:w="1586"/>
        <w:gridCol w:w="1563"/>
      </w:tblGrid>
      <w:tr w:rsidR="003B4CBF" w:rsidRPr="003B4CBF" w14:paraId="00573D02" w14:textId="77777777" w:rsidTr="00151104">
        <w:trPr>
          <w:jc w:val="center"/>
        </w:trPr>
        <w:tc>
          <w:tcPr>
            <w:tcW w:w="1872" w:type="dxa"/>
            <w:shd w:val="clear" w:color="auto" w:fill="DCE6F1"/>
          </w:tcPr>
          <w:p w14:paraId="1CE8FDFD"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Config key</w:t>
            </w:r>
          </w:p>
        </w:tc>
        <w:tc>
          <w:tcPr>
            <w:tcW w:w="1872" w:type="dxa"/>
            <w:shd w:val="clear" w:color="auto" w:fill="DCE6F1"/>
          </w:tcPr>
          <w:p w14:paraId="3164917A"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Default</w:t>
            </w:r>
          </w:p>
        </w:tc>
        <w:tc>
          <w:tcPr>
            <w:tcW w:w="1872" w:type="dxa"/>
            <w:shd w:val="clear" w:color="auto" w:fill="DCE6F1"/>
          </w:tcPr>
          <w:p w14:paraId="7A2DC27E"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Definition</w:t>
            </w:r>
          </w:p>
        </w:tc>
        <w:tc>
          <w:tcPr>
            <w:tcW w:w="1872" w:type="dxa"/>
            <w:shd w:val="clear" w:color="auto" w:fill="DCE6F1"/>
          </w:tcPr>
          <w:p w14:paraId="488B5F6C"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If modified</w:t>
            </w:r>
          </w:p>
        </w:tc>
        <w:tc>
          <w:tcPr>
            <w:tcW w:w="1872" w:type="dxa"/>
            <w:shd w:val="clear" w:color="auto" w:fill="DCE6F1"/>
          </w:tcPr>
          <w:p w14:paraId="25D8919F" w14:textId="77777777" w:rsidR="003B4CBF" w:rsidRPr="003B4CBF" w:rsidRDefault="003B4CBF" w:rsidP="00151104">
            <w:pPr>
              <w:rPr>
                <w:rFonts w:ascii="Times New Roman" w:hAnsi="Times New Roman" w:cs="Times New Roman"/>
              </w:rPr>
            </w:pPr>
            <w:r w:rsidRPr="003B4CBF">
              <w:rPr>
                <w:rFonts w:ascii="Times New Roman" w:hAnsi="Times New Roman" w:cs="Times New Roman"/>
                <w:b/>
                <w:sz w:val="17"/>
              </w:rPr>
              <w:t>Impact on results</w:t>
            </w:r>
          </w:p>
        </w:tc>
      </w:tr>
      <w:tr w:rsidR="003B4CBF" w:rsidRPr="003B4CBF" w14:paraId="0831AB35" w14:textId="77777777" w:rsidTr="00151104">
        <w:trPr>
          <w:jc w:val="center"/>
        </w:trPr>
        <w:tc>
          <w:tcPr>
            <w:tcW w:w="1872" w:type="dxa"/>
          </w:tcPr>
          <w:p w14:paraId="2DCC2AB4"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module2.enrichment.enabled</w:t>
            </w:r>
            <w:proofErr w:type="gramEnd"/>
          </w:p>
        </w:tc>
        <w:tc>
          <w:tcPr>
            <w:tcW w:w="1872" w:type="dxa"/>
          </w:tcPr>
          <w:p w14:paraId="0C8EFEFB"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true</w:t>
            </w:r>
          </w:p>
        </w:tc>
        <w:tc>
          <w:tcPr>
            <w:tcW w:w="1872" w:type="dxa"/>
          </w:tcPr>
          <w:p w14:paraId="64D89EE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Run enrichment half</w:t>
            </w:r>
          </w:p>
        </w:tc>
        <w:tc>
          <w:tcPr>
            <w:tcW w:w="1872" w:type="dxa"/>
          </w:tcPr>
          <w:p w14:paraId="6554D4D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Set </w:t>
            </w:r>
            <w:r w:rsidRPr="003B4CBF">
              <w:rPr>
                <w:rFonts w:ascii="Times New Roman" w:hAnsi="Times New Roman" w:cs="Times New Roman"/>
                <w:color w:val="1A3E6E"/>
                <w:sz w:val="15"/>
              </w:rPr>
              <w:t>false</w:t>
            </w:r>
          </w:p>
        </w:tc>
        <w:tc>
          <w:tcPr>
            <w:tcW w:w="1872" w:type="dxa"/>
          </w:tcPr>
          <w:p w14:paraId="02761C8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No pathway tables</w:t>
            </w:r>
          </w:p>
        </w:tc>
      </w:tr>
      <w:tr w:rsidR="003B4CBF" w:rsidRPr="003B4CBF" w14:paraId="2AE6F6FB" w14:textId="77777777" w:rsidTr="00151104">
        <w:trPr>
          <w:jc w:val="center"/>
        </w:trPr>
        <w:tc>
          <w:tcPr>
            <w:tcW w:w="1872" w:type="dxa"/>
          </w:tcPr>
          <w:p w14:paraId="7481D842"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module2.enrichment.mode</w:t>
            </w:r>
            <w:proofErr w:type="gramEnd"/>
          </w:p>
        </w:tc>
        <w:tc>
          <w:tcPr>
            <w:tcW w:w="1872" w:type="dxa"/>
          </w:tcPr>
          <w:p w14:paraId="3452622A"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local_gmt</w:t>
            </w:r>
          </w:p>
        </w:tc>
        <w:tc>
          <w:tcPr>
            <w:tcW w:w="1872" w:type="dxa"/>
          </w:tcPr>
          <w:p w14:paraId="578CBC1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Offline GMT vs Enrichr HTTP</w:t>
            </w:r>
          </w:p>
        </w:tc>
        <w:tc>
          <w:tcPr>
            <w:tcW w:w="1872" w:type="dxa"/>
          </w:tcPr>
          <w:p w14:paraId="4D18F8ED"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enrichr_online</w:t>
            </w:r>
          </w:p>
        </w:tc>
        <w:tc>
          <w:tcPr>
            <w:tcW w:w="1872" w:type="dxa"/>
          </w:tcPr>
          <w:p w14:paraId="521280E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Needs network; different background</w:t>
            </w:r>
          </w:p>
        </w:tc>
      </w:tr>
      <w:tr w:rsidR="003B4CBF" w:rsidRPr="003B4CBF" w14:paraId="7EC988DD" w14:textId="77777777" w:rsidTr="00151104">
        <w:trPr>
          <w:jc w:val="center"/>
        </w:trPr>
        <w:tc>
          <w:tcPr>
            <w:tcW w:w="1872" w:type="dxa"/>
          </w:tcPr>
          <w:p w14:paraId="799DBA58"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module2.enrichment.gene</w:t>
            </w:r>
            <w:proofErr w:type="gramEnd"/>
            <w:r w:rsidRPr="003B4CBF">
              <w:rPr>
                <w:rFonts w:ascii="Times New Roman" w:hAnsi="Times New Roman" w:cs="Times New Roman"/>
                <w:color w:val="1A3E6E"/>
                <w:sz w:val="15"/>
              </w:rPr>
              <w:t>_sets</w:t>
            </w:r>
          </w:p>
        </w:tc>
        <w:tc>
          <w:tcPr>
            <w:tcW w:w="1872" w:type="dxa"/>
          </w:tcPr>
          <w:p w14:paraId="3302C6E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Hallmark, Reactome, GO BP</w:t>
            </w:r>
          </w:p>
        </w:tc>
        <w:tc>
          <w:tcPr>
            <w:tcW w:w="1872" w:type="dxa"/>
          </w:tcPr>
          <w:p w14:paraId="0C94FB8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GMT basenames under </w:t>
            </w:r>
            <w:r w:rsidRPr="003B4CBF">
              <w:rPr>
                <w:rFonts w:ascii="Times New Roman" w:hAnsi="Times New Roman" w:cs="Times New Roman"/>
                <w:color w:val="1A3E6E"/>
                <w:sz w:val="15"/>
              </w:rPr>
              <w:t>data/genesets</w:t>
            </w:r>
          </w:p>
        </w:tc>
        <w:tc>
          <w:tcPr>
            <w:tcW w:w="1872" w:type="dxa"/>
          </w:tcPr>
          <w:p w14:paraId="4A818C88"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Swap release</w:t>
            </w:r>
          </w:p>
        </w:tc>
        <w:tc>
          <w:tcPr>
            <w:tcW w:w="1872" w:type="dxa"/>
          </w:tcPr>
          <w:p w14:paraId="66F9233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Term names/sizes change</w:t>
            </w:r>
          </w:p>
        </w:tc>
      </w:tr>
      <w:tr w:rsidR="003B4CBF" w:rsidRPr="003B4CBF" w14:paraId="517B5182" w14:textId="77777777" w:rsidTr="00151104">
        <w:trPr>
          <w:jc w:val="center"/>
        </w:trPr>
        <w:tc>
          <w:tcPr>
            <w:tcW w:w="1872" w:type="dxa"/>
          </w:tcPr>
          <w:p w14:paraId="14947ED9"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module2.enrichment.geneset</w:t>
            </w:r>
            <w:proofErr w:type="gramEnd"/>
            <w:r w:rsidRPr="003B4CBF">
              <w:rPr>
                <w:rFonts w:ascii="Times New Roman" w:hAnsi="Times New Roman" w:cs="Times New Roman"/>
                <w:color w:val="1A3E6E"/>
                <w:sz w:val="15"/>
              </w:rPr>
              <w:t>_dir</w:t>
            </w:r>
          </w:p>
        </w:tc>
        <w:tc>
          <w:tcPr>
            <w:tcW w:w="1872" w:type="dxa"/>
          </w:tcPr>
          <w:p w14:paraId="1FD3085A"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data/genesets</w:t>
            </w:r>
          </w:p>
        </w:tc>
        <w:tc>
          <w:tcPr>
            <w:tcW w:w="1872" w:type="dxa"/>
          </w:tcPr>
          <w:p w14:paraId="7DF41D0A"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GMT directory</w:t>
            </w:r>
          </w:p>
        </w:tc>
        <w:tc>
          <w:tcPr>
            <w:tcW w:w="1872" w:type="dxa"/>
          </w:tcPr>
          <w:p w14:paraId="190AF94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Relocate</w:t>
            </w:r>
          </w:p>
        </w:tc>
        <w:tc>
          <w:tcPr>
            <w:tcW w:w="1872" w:type="dxa"/>
          </w:tcPr>
          <w:p w14:paraId="5508E663"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Path resolution</w:t>
            </w:r>
          </w:p>
        </w:tc>
      </w:tr>
      <w:tr w:rsidR="003B4CBF" w:rsidRPr="003B4CBF" w14:paraId="37DBD66B" w14:textId="77777777" w:rsidTr="00151104">
        <w:trPr>
          <w:jc w:val="center"/>
        </w:trPr>
        <w:tc>
          <w:tcPr>
            <w:tcW w:w="1872" w:type="dxa"/>
          </w:tcPr>
          <w:p w14:paraId="02F2D780"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module2.enrichment.top_genes_per_group</w:t>
            </w:r>
          </w:p>
        </w:tc>
        <w:tc>
          <w:tcPr>
            <w:tcW w:w="1872" w:type="dxa"/>
          </w:tcPr>
          <w:p w14:paraId="3941F2DC"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100</w:t>
            </w:r>
          </w:p>
        </w:tc>
        <w:tc>
          <w:tcPr>
            <w:tcW w:w="1872" w:type="dxa"/>
          </w:tcPr>
          <w:p w14:paraId="320EC5F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ORA input list size</w:t>
            </w:r>
          </w:p>
        </w:tc>
        <w:tc>
          <w:tcPr>
            <w:tcW w:w="1872" w:type="dxa"/>
          </w:tcPr>
          <w:p w14:paraId="7BCCFEEC"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Lower</w:t>
            </w:r>
          </w:p>
        </w:tc>
        <w:tc>
          <w:tcPr>
            <w:tcW w:w="1872" w:type="dxa"/>
          </w:tcPr>
          <w:p w14:paraId="025CA969"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Unstable ORA</w:t>
            </w:r>
          </w:p>
        </w:tc>
      </w:tr>
      <w:tr w:rsidR="003B4CBF" w:rsidRPr="003B4CBF" w14:paraId="647B45C2" w14:textId="77777777" w:rsidTr="00151104">
        <w:trPr>
          <w:jc w:val="center"/>
        </w:trPr>
        <w:tc>
          <w:tcPr>
            <w:tcW w:w="1872" w:type="dxa"/>
          </w:tcPr>
          <w:p w14:paraId="07BDA656"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module2.enrichment.cutoff</w:t>
            </w:r>
            <w:proofErr w:type="gramEnd"/>
            <w:r w:rsidRPr="003B4CBF">
              <w:rPr>
                <w:rFonts w:ascii="Times New Roman" w:hAnsi="Times New Roman" w:cs="Times New Roman"/>
                <w:color w:val="1A3E6E"/>
                <w:sz w:val="15"/>
              </w:rPr>
              <w:t>_padj</w:t>
            </w:r>
          </w:p>
        </w:tc>
        <w:tc>
          <w:tcPr>
            <w:tcW w:w="1872" w:type="dxa"/>
          </w:tcPr>
          <w:p w14:paraId="11A2E519"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0.05</w:t>
            </w:r>
          </w:p>
        </w:tc>
        <w:tc>
          <w:tcPr>
            <w:tcW w:w="1872" w:type="dxa"/>
          </w:tcPr>
          <w:p w14:paraId="313B97DF"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ORA marker padj gate</w:t>
            </w:r>
          </w:p>
        </w:tc>
        <w:tc>
          <w:tcPr>
            <w:tcW w:w="1872" w:type="dxa"/>
          </w:tcPr>
          <w:p w14:paraId="563E0AC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Stricter</w:t>
            </w:r>
          </w:p>
        </w:tc>
        <w:tc>
          <w:tcPr>
            <w:tcW w:w="1872" w:type="dxa"/>
          </w:tcPr>
          <w:p w14:paraId="2531043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Fewer input genes</w:t>
            </w:r>
          </w:p>
        </w:tc>
      </w:tr>
      <w:tr w:rsidR="003B4CBF" w:rsidRPr="003B4CBF" w14:paraId="50CE7F56" w14:textId="77777777" w:rsidTr="00151104">
        <w:trPr>
          <w:jc w:val="center"/>
        </w:trPr>
        <w:tc>
          <w:tcPr>
            <w:tcW w:w="1872" w:type="dxa"/>
          </w:tcPr>
          <w:p w14:paraId="683021E1"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module2.enrichment.prerank</w:t>
            </w:r>
            <w:proofErr w:type="gramEnd"/>
            <w:r w:rsidRPr="003B4CBF">
              <w:rPr>
                <w:rFonts w:ascii="Times New Roman" w:hAnsi="Times New Roman" w:cs="Times New Roman"/>
                <w:color w:val="1A3E6E"/>
                <w:sz w:val="15"/>
              </w:rPr>
              <w:t>.enabled</w:t>
            </w:r>
          </w:p>
        </w:tc>
        <w:tc>
          <w:tcPr>
            <w:tcW w:w="1872" w:type="dxa"/>
          </w:tcPr>
          <w:p w14:paraId="19909EFD"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true</w:t>
            </w:r>
          </w:p>
        </w:tc>
        <w:tc>
          <w:tcPr>
            <w:tcW w:w="1872" w:type="dxa"/>
          </w:tcPr>
          <w:p w14:paraId="5C30191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Run prerank GSEA</w:t>
            </w:r>
          </w:p>
        </w:tc>
        <w:tc>
          <w:tcPr>
            <w:tcW w:w="1872" w:type="dxa"/>
          </w:tcPr>
          <w:p w14:paraId="3C405922"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 xml:space="preserve">Set </w:t>
            </w:r>
            <w:r w:rsidRPr="003B4CBF">
              <w:rPr>
                <w:rFonts w:ascii="Times New Roman" w:hAnsi="Times New Roman" w:cs="Times New Roman"/>
                <w:color w:val="1A3E6E"/>
                <w:sz w:val="15"/>
              </w:rPr>
              <w:t>false</w:t>
            </w:r>
          </w:p>
        </w:tc>
        <w:tc>
          <w:tcPr>
            <w:tcW w:w="1872" w:type="dxa"/>
          </w:tcPr>
          <w:p w14:paraId="0BA840E6"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No NES table for Module 2</w:t>
            </w:r>
          </w:p>
        </w:tc>
      </w:tr>
      <w:tr w:rsidR="003B4CBF" w:rsidRPr="003B4CBF" w14:paraId="7B57CFC6" w14:textId="77777777" w:rsidTr="00151104">
        <w:trPr>
          <w:jc w:val="center"/>
        </w:trPr>
        <w:tc>
          <w:tcPr>
            <w:tcW w:w="1872" w:type="dxa"/>
          </w:tcPr>
          <w:p w14:paraId="1CF7E089"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module2.enrichment.prerank.min_size</w:t>
            </w:r>
          </w:p>
        </w:tc>
        <w:tc>
          <w:tcPr>
            <w:tcW w:w="1872" w:type="dxa"/>
          </w:tcPr>
          <w:p w14:paraId="6C6D9686"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15</w:t>
            </w:r>
          </w:p>
        </w:tc>
        <w:tc>
          <w:tcPr>
            <w:tcW w:w="1872" w:type="dxa"/>
          </w:tcPr>
          <w:p w14:paraId="433479B5"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Min overlapping genes in set</w:t>
            </w:r>
          </w:p>
        </w:tc>
        <w:tc>
          <w:tcPr>
            <w:tcW w:w="1872" w:type="dxa"/>
          </w:tcPr>
          <w:p w14:paraId="4F2DE54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w:t>
            </w:r>
          </w:p>
        </w:tc>
        <w:tc>
          <w:tcPr>
            <w:tcW w:w="1872" w:type="dxa"/>
          </w:tcPr>
          <w:p w14:paraId="2EC29EEE"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Drops small sets</w:t>
            </w:r>
          </w:p>
        </w:tc>
      </w:tr>
      <w:tr w:rsidR="003B4CBF" w:rsidRPr="003B4CBF" w14:paraId="0C63134B" w14:textId="77777777" w:rsidTr="00151104">
        <w:trPr>
          <w:jc w:val="center"/>
        </w:trPr>
        <w:tc>
          <w:tcPr>
            <w:tcW w:w="1872" w:type="dxa"/>
          </w:tcPr>
          <w:p w14:paraId="72CACB6C"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module2.enrichment.prerank.max_size</w:t>
            </w:r>
          </w:p>
        </w:tc>
        <w:tc>
          <w:tcPr>
            <w:tcW w:w="1872" w:type="dxa"/>
          </w:tcPr>
          <w:p w14:paraId="68EAEF09"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500</w:t>
            </w:r>
          </w:p>
        </w:tc>
        <w:tc>
          <w:tcPr>
            <w:tcW w:w="1872" w:type="dxa"/>
          </w:tcPr>
          <w:p w14:paraId="17E10F6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Max set size</w:t>
            </w:r>
          </w:p>
        </w:tc>
        <w:tc>
          <w:tcPr>
            <w:tcW w:w="1872" w:type="dxa"/>
          </w:tcPr>
          <w:p w14:paraId="3018A1CF"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Lower</w:t>
            </w:r>
          </w:p>
        </w:tc>
        <w:tc>
          <w:tcPr>
            <w:tcW w:w="1872" w:type="dxa"/>
          </w:tcPr>
          <w:p w14:paraId="3C044F4D"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Drops large sets</w:t>
            </w:r>
          </w:p>
        </w:tc>
      </w:tr>
      <w:tr w:rsidR="003B4CBF" w:rsidRPr="003B4CBF" w14:paraId="6549FB4C" w14:textId="77777777" w:rsidTr="00151104">
        <w:trPr>
          <w:jc w:val="center"/>
        </w:trPr>
        <w:tc>
          <w:tcPr>
            <w:tcW w:w="1872" w:type="dxa"/>
          </w:tcPr>
          <w:p w14:paraId="4FE7E150"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t>module2.enrichment.prerank</w:t>
            </w:r>
            <w:proofErr w:type="gramEnd"/>
            <w:r w:rsidRPr="003B4CBF">
              <w:rPr>
                <w:rFonts w:ascii="Times New Roman" w:hAnsi="Times New Roman" w:cs="Times New Roman"/>
                <w:color w:val="1A3E6E"/>
                <w:sz w:val="15"/>
              </w:rPr>
              <w:t>.permutation_num</w:t>
            </w:r>
          </w:p>
        </w:tc>
        <w:tc>
          <w:tcPr>
            <w:tcW w:w="1872" w:type="dxa"/>
          </w:tcPr>
          <w:p w14:paraId="0DBB9554"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100</w:t>
            </w:r>
          </w:p>
        </w:tc>
        <w:tc>
          <w:tcPr>
            <w:tcW w:w="1872" w:type="dxa"/>
          </w:tcPr>
          <w:p w14:paraId="705C7421"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Prerank permutations</w:t>
            </w:r>
          </w:p>
        </w:tc>
        <w:tc>
          <w:tcPr>
            <w:tcW w:w="1872" w:type="dxa"/>
          </w:tcPr>
          <w:p w14:paraId="25E0142B"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Raise</w:t>
            </w:r>
          </w:p>
        </w:tc>
        <w:tc>
          <w:tcPr>
            <w:tcW w:w="1872" w:type="dxa"/>
          </w:tcPr>
          <w:p w14:paraId="20728AF7"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Stabler FDR; slower</w:t>
            </w:r>
          </w:p>
        </w:tc>
      </w:tr>
      <w:tr w:rsidR="003B4CBF" w:rsidRPr="003B4CBF" w14:paraId="55353E97" w14:textId="77777777" w:rsidTr="00151104">
        <w:trPr>
          <w:jc w:val="center"/>
        </w:trPr>
        <w:tc>
          <w:tcPr>
            <w:tcW w:w="1872" w:type="dxa"/>
          </w:tcPr>
          <w:p w14:paraId="623A7D15" w14:textId="77777777" w:rsidR="003B4CBF" w:rsidRPr="003B4CBF" w:rsidRDefault="003B4CBF" w:rsidP="00151104">
            <w:pPr>
              <w:rPr>
                <w:rFonts w:ascii="Times New Roman" w:hAnsi="Times New Roman" w:cs="Times New Roman"/>
              </w:rPr>
            </w:pPr>
            <w:proofErr w:type="gramStart"/>
            <w:r w:rsidRPr="003B4CBF">
              <w:rPr>
                <w:rFonts w:ascii="Times New Roman" w:hAnsi="Times New Roman" w:cs="Times New Roman"/>
                <w:color w:val="1A3E6E"/>
                <w:sz w:val="15"/>
              </w:rPr>
              <w:lastRenderedPageBreak/>
              <w:t>module2.enrichment.exclude</w:t>
            </w:r>
            <w:proofErr w:type="gramEnd"/>
            <w:r w:rsidRPr="003B4CBF">
              <w:rPr>
                <w:rFonts w:ascii="Times New Roman" w:hAnsi="Times New Roman" w:cs="Times New Roman"/>
                <w:color w:val="1A3E6E"/>
                <w:sz w:val="15"/>
              </w:rPr>
              <w:t>_ribosomal_genes</w:t>
            </w:r>
          </w:p>
        </w:tc>
        <w:tc>
          <w:tcPr>
            <w:tcW w:w="1872" w:type="dxa"/>
          </w:tcPr>
          <w:p w14:paraId="78DD6CBC" w14:textId="77777777" w:rsidR="003B4CBF" w:rsidRPr="003B4CBF" w:rsidRDefault="003B4CBF" w:rsidP="00151104">
            <w:pPr>
              <w:rPr>
                <w:rFonts w:ascii="Times New Roman" w:hAnsi="Times New Roman" w:cs="Times New Roman"/>
              </w:rPr>
            </w:pPr>
            <w:r w:rsidRPr="003B4CBF">
              <w:rPr>
                <w:rFonts w:ascii="Times New Roman" w:hAnsi="Times New Roman" w:cs="Times New Roman"/>
                <w:color w:val="1A3E6E"/>
                <w:sz w:val="15"/>
              </w:rPr>
              <w:t>null</w:t>
            </w:r>
          </w:p>
        </w:tc>
        <w:tc>
          <w:tcPr>
            <w:tcW w:w="1872" w:type="dxa"/>
          </w:tcPr>
          <w:p w14:paraId="61A16DE4"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Null inherits DE ribosomal policy</w:t>
            </w:r>
          </w:p>
        </w:tc>
        <w:tc>
          <w:tcPr>
            <w:tcW w:w="1872" w:type="dxa"/>
          </w:tcPr>
          <w:p w14:paraId="0901BEF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Override</w:t>
            </w:r>
          </w:p>
        </w:tc>
        <w:tc>
          <w:tcPr>
            <w:tcW w:w="1872" w:type="dxa"/>
          </w:tcPr>
          <w:p w14:paraId="2306C160" w14:textId="77777777" w:rsidR="003B4CBF" w:rsidRPr="003B4CBF" w:rsidRDefault="003B4CBF" w:rsidP="00151104">
            <w:pPr>
              <w:rPr>
                <w:rFonts w:ascii="Times New Roman" w:hAnsi="Times New Roman" w:cs="Times New Roman"/>
              </w:rPr>
            </w:pPr>
            <w:r w:rsidRPr="003B4CBF">
              <w:rPr>
                <w:rFonts w:ascii="Times New Roman" w:hAnsi="Times New Roman" w:cs="Times New Roman"/>
                <w:sz w:val="17"/>
              </w:rPr>
              <w:t>Changes ranked inputs</w:t>
            </w:r>
          </w:p>
        </w:tc>
      </w:tr>
    </w:tbl>
    <w:p w14:paraId="76AF01F7" w14:textId="77777777" w:rsidR="003B4CBF" w:rsidRPr="003B4CBF" w:rsidRDefault="003B4CBF" w:rsidP="003B4CBF">
      <w:pPr>
        <w:pStyle w:val="Heading1"/>
        <w:rPr>
          <w:rFonts w:ascii="Times New Roman" w:hAnsi="Times New Roman" w:cs="Times New Roman"/>
        </w:rPr>
      </w:pPr>
      <w:r w:rsidRPr="003B4CBF">
        <w:rPr>
          <w:rFonts w:ascii="Times New Roman" w:hAnsi="Times New Roman" w:cs="Times New Roman"/>
          <w:color w:val="1F4E79"/>
        </w:rPr>
        <w:t>References</w:t>
      </w:r>
    </w:p>
    <w:p w14:paraId="32EB5C23"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 xml:space="preserve">Korsunsky I, et al. Fast, sensitive and accurate integration of single-cell data with Harmony. </w:t>
      </w:r>
      <w:r w:rsidRPr="003B4CBF">
        <w:rPr>
          <w:rFonts w:ascii="Times New Roman" w:hAnsi="Times New Roman" w:cs="Times New Roman"/>
          <w:i/>
        </w:rPr>
        <w:t>Nat Methods</w:t>
      </w:r>
      <w:r w:rsidRPr="003B4CBF">
        <w:rPr>
          <w:rFonts w:ascii="Times New Roman" w:hAnsi="Times New Roman" w:cs="Times New Roman"/>
        </w:rPr>
        <w:t xml:space="preserve">. 2019;16(12):1289-1296. PMID: </w:t>
      </w:r>
      <w:hyperlink r:id="rId12">
        <w:r w:rsidRPr="003B4CBF">
          <w:rPr>
            <w:rFonts w:ascii="Times New Roman" w:hAnsi="Times New Roman" w:cs="Times New Roman"/>
            <w:color w:val="0B4F8A"/>
            <w:u w:val="single"/>
          </w:rPr>
          <w:t>31740819</w:t>
        </w:r>
      </w:hyperlink>
      <w:r w:rsidRPr="003B4CBF">
        <w:rPr>
          <w:rFonts w:ascii="Times New Roman" w:hAnsi="Times New Roman" w:cs="Times New Roman"/>
        </w:rPr>
        <w:t>.</w:t>
      </w:r>
    </w:p>
    <w:p w14:paraId="0A3A8ADA"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 xml:space="preserve">Subramanian A, et al. Gene set enrichment analysis: a knowledge-based approach for interpreting genome-wide expression profiles. </w:t>
      </w:r>
      <w:r w:rsidRPr="003B4CBF">
        <w:rPr>
          <w:rFonts w:ascii="Times New Roman" w:hAnsi="Times New Roman" w:cs="Times New Roman"/>
          <w:i/>
        </w:rPr>
        <w:t>Proc Natl Acad Sci U S A</w:t>
      </w:r>
      <w:r w:rsidRPr="003B4CBF">
        <w:rPr>
          <w:rFonts w:ascii="Times New Roman" w:hAnsi="Times New Roman" w:cs="Times New Roman"/>
        </w:rPr>
        <w:t xml:space="preserve">. 2005;102(43):15545-15550. PMID: </w:t>
      </w:r>
      <w:hyperlink r:id="rId13">
        <w:r w:rsidRPr="003B4CBF">
          <w:rPr>
            <w:rFonts w:ascii="Times New Roman" w:hAnsi="Times New Roman" w:cs="Times New Roman"/>
            <w:color w:val="0B4F8A"/>
            <w:u w:val="single"/>
          </w:rPr>
          <w:t>16199517</w:t>
        </w:r>
      </w:hyperlink>
      <w:r w:rsidRPr="003B4CBF">
        <w:rPr>
          <w:rFonts w:ascii="Times New Roman" w:hAnsi="Times New Roman" w:cs="Times New Roman"/>
        </w:rPr>
        <w:t>.</w:t>
      </w:r>
    </w:p>
    <w:p w14:paraId="02ED8266"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 xml:space="preserve">Wolf FA, Angerer P, Theis FJ. SCANPY: large-scale single-cell gene expression data analysis. </w:t>
      </w:r>
      <w:r w:rsidRPr="003B4CBF">
        <w:rPr>
          <w:rFonts w:ascii="Times New Roman" w:hAnsi="Times New Roman" w:cs="Times New Roman"/>
          <w:i/>
        </w:rPr>
        <w:t>Genome Biol</w:t>
      </w:r>
      <w:r w:rsidRPr="003B4CBF">
        <w:rPr>
          <w:rFonts w:ascii="Times New Roman" w:hAnsi="Times New Roman" w:cs="Times New Roman"/>
        </w:rPr>
        <w:t xml:space="preserve">. 2018;19(1):15. PMID: </w:t>
      </w:r>
      <w:hyperlink r:id="rId14">
        <w:r w:rsidRPr="003B4CBF">
          <w:rPr>
            <w:rFonts w:ascii="Times New Roman" w:hAnsi="Times New Roman" w:cs="Times New Roman"/>
            <w:color w:val="0B4F8A"/>
            <w:u w:val="single"/>
          </w:rPr>
          <w:t>29409532</w:t>
        </w:r>
      </w:hyperlink>
      <w:r w:rsidRPr="003B4CBF">
        <w:rPr>
          <w:rFonts w:ascii="Times New Roman" w:hAnsi="Times New Roman" w:cs="Times New Roman"/>
        </w:rPr>
        <w:t>.</w:t>
      </w:r>
    </w:p>
    <w:p w14:paraId="6CB0352E" w14:textId="77777777" w:rsidR="003B4CBF" w:rsidRPr="003B4CBF" w:rsidRDefault="003B4CBF" w:rsidP="003B4CBF">
      <w:pPr>
        <w:pStyle w:val="ListNumber"/>
        <w:tabs>
          <w:tab w:val="num" w:pos="360"/>
        </w:tabs>
        <w:spacing w:after="40"/>
        <w:ind w:left="360" w:hanging="360"/>
        <w:rPr>
          <w:rFonts w:ascii="Times New Roman" w:hAnsi="Times New Roman" w:cs="Times New Roman"/>
        </w:rPr>
      </w:pPr>
      <w:r w:rsidRPr="003B4CBF">
        <w:rPr>
          <w:rFonts w:ascii="Times New Roman" w:hAnsi="Times New Roman" w:cs="Times New Roman"/>
        </w:rPr>
        <w:t xml:space="preserve">Liberzon A, et al. The Molecular Signatures Database (MSigDB) hallmark gene set collection. </w:t>
      </w:r>
      <w:r w:rsidRPr="003B4CBF">
        <w:rPr>
          <w:rFonts w:ascii="Times New Roman" w:hAnsi="Times New Roman" w:cs="Times New Roman"/>
          <w:i/>
        </w:rPr>
        <w:t>Cell Syst</w:t>
      </w:r>
      <w:r w:rsidRPr="003B4CBF">
        <w:rPr>
          <w:rFonts w:ascii="Times New Roman" w:hAnsi="Times New Roman" w:cs="Times New Roman"/>
        </w:rPr>
        <w:t xml:space="preserve">. 2015;1(6):417-425. PMID: </w:t>
      </w:r>
      <w:hyperlink r:id="rId15">
        <w:r w:rsidRPr="003B4CBF">
          <w:rPr>
            <w:rFonts w:ascii="Times New Roman" w:hAnsi="Times New Roman" w:cs="Times New Roman"/>
            <w:color w:val="0B4F8A"/>
            <w:u w:val="single"/>
          </w:rPr>
          <w:t>26771021</w:t>
        </w:r>
      </w:hyperlink>
      <w:r w:rsidRPr="003B4CBF">
        <w:rPr>
          <w:rFonts w:ascii="Times New Roman" w:hAnsi="Times New Roman" w:cs="Times New Roman"/>
        </w:rPr>
        <w:t>.</w:t>
      </w:r>
    </w:p>
    <w:p w14:paraId="74361552" w14:textId="77777777" w:rsidR="00BA234A" w:rsidRPr="003B4CBF" w:rsidRDefault="00BA234A">
      <w:pPr>
        <w:rPr>
          <w:rFonts w:ascii="Times New Roman" w:hAnsi="Times New Roman" w:cs="Times New Roman"/>
        </w:rPr>
      </w:pPr>
    </w:p>
    <w:sectPr w:rsidR="00BA234A" w:rsidRPr="003B4CBF" w:rsidSect="003B4CBF">
      <w:footerReference w:type="default" r:id="rId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4F060" w14:textId="77777777" w:rsidR="003B4CBF" w:rsidRDefault="003B4CBF">
    <w:pPr>
      <w:pStyle w:val="Footer"/>
      <w:jc w:val="center"/>
    </w:pPr>
    <w:r>
      <w:rPr>
        <w:color w:val="444444"/>
        <w:sz w:val="18"/>
      </w:rPr>
      <w:fldChar w:fldCharType="begin"/>
    </w:r>
    <w:r>
      <w:rPr>
        <w:color w:val="444444"/>
        <w:sz w:val="18"/>
      </w:rPr>
      <w:instrText xml:space="preserve"> PAGE </w:instrText>
    </w:r>
    <w:r>
      <w:rPr>
        <w:color w:val="444444"/>
        <w:sz w:val="18"/>
      </w:rPr>
      <w:fldChar w:fldCharType="separate"/>
    </w:r>
    <w:r>
      <w:rPr>
        <w:noProof/>
        <w:color w:val="444444"/>
        <w:sz w:val="18"/>
      </w:rPr>
      <w:t>1</w:t>
    </w:r>
    <w:r>
      <w:rPr>
        <w:color w:val="444444"/>
        <w:sz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1CE240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44C8380"/>
    <w:lvl w:ilvl="0">
      <w:start w:val="1"/>
      <w:numFmt w:val="bullet"/>
      <w:pStyle w:val="ListBullet"/>
      <w:lvlText w:val=""/>
      <w:lvlJc w:val="left"/>
      <w:pPr>
        <w:tabs>
          <w:tab w:val="num" w:pos="360"/>
        </w:tabs>
        <w:ind w:left="360" w:hanging="360"/>
      </w:pPr>
      <w:rPr>
        <w:rFonts w:ascii="Symbol" w:hAnsi="Symbol" w:hint="default"/>
      </w:rPr>
    </w:lvl>
  </w:abstractNum>
  <w:num w:numId="1" w16cid:durableId="160851173">
    <w:abstractNumId w:val="1"/>
  </w:num>
  <w:num w:numId="2" w16cid:durableId="1401756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29"/>
    <w:rsid w:val="00216BCA"/>
    <w:rsid w:val="0031396B"/>
    <w:rsid w:val="003B4CBF"/>
    <w:rsid w:val="005B6A4E"/>
    <w:rsid w:val="00812C29"/>
    <w:rsid w:val="00BA2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8C70AA"/>
  <w15:chartTrackingRefBased/>
  <w15:docId w15:val="{4BF79348-0634-D94A-8EAF-3F04C4182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CBF"/>
    <w:pPr>
      <w:spacing w:after="120" w:line="276" w:lineRule="auto"/>
    </w:pPr>
    <w:rPr>
      <w:rFonts w:ascii="Calibri" w:eastAsiaTheme="minorEastAsia" w:hAnsi="Calibri"/>
      <w:kern w:val="0"/>
      <w:sz w:val="21"/>
      <w:szCs w:val="22"/>
      <w14:ligatures w14:val="none"/>
    </w:rPr>
  </w:style>
  <w:style w:type="paragraph" w:styleId="Heading1">
    <w:name w:val="heading 1"/>
    <w:basedOn w:val="Normal"/>
    <w:next w:val="Normal"/>
    <w:link w:val="Heading1Char"/>
    <w:uiPriority w:val="9"/>
    <w:qFormat/>
    <w:rsid w:val="00812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29"/>
    <w:rPr>
      <w:rFonts w:eastAsiaTheme="majorEastAsia" w:cstheme="majorBidi"/>
      <w:color w:val="272727" w:themeColor="text1" w:themeTint="D8"/>
    </w:rPr>
  </w:style>
  <w:style w:type="paragraph" w:styleId="Title">
    <w:name w:val="Title"/>
    <w:basedOn w:val="Normal"/>
    <w:next w:val="Normal"/>
    <w:link w:val="TitleChar"/>
    <w:uiPriority w:val="10"/>
    <w:qFormat/>
    <w:rsid w:val="00812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29"/>
    <w:pPr>
      <w:spacing w:before="160"/>
      <w:jc w:val="center"/>
    </w:pPr>
    <w:rPr>
      <w:i/>
      <w:iCs/>
      <w:color w:val="404040" w:themeColor="text1" w:themeTint="BF"/>
    </w:rPr>
  </w:style>
  <w:style w:type="character" w:customStyle="1" w:styleId="QuoteChar">
    <w:name w:val="Quote Char"/>
    <w:basedOn w:val="DefaultParagraphFont"/>
    <w:link w:val="Quote"/>
    <w:uiPriority w:val="29"/>
    <w:rsid w:val="00812C29"/>
    <w:rPr>
      <w:i/>
      <w:iCs/>
      <w:color w:val="404040" w:themeColor="text1" w:themeTint="BF"/>
    </w:rPr>
  </w:style>
  <w:style w:type="paragraph" w:styleId="ListParagraph">
    <w:name w:val="List Paragraph"/>
    <w:basedOn w:val="Normal"/>
    <w:uiPriority w:val="34"/>
    <w:qFormat/>
    <w:rsid w:val="00812C29"/>
    <w:pPr>
      <w:ind w:left="720"/>
      <w:contextualSpacing/>
    </w:pPr>
  </w:style>
  <w:style w:type="character" w:styleId="IntenseEmphasis">
    <w:name w:val="Intense Emphasis"/>
    <w:basedOn w:val="DefaultParagraphFont"/>
    <w:uiPriority w:val="21"/>
    <w:qFormat/>
    <w:rsid w:val="00812C29"/>
    <w:rPr>
      <w:i/>
      <w:iCs/>
      <w:color w:val="0F4761" w:themeColor="accent1" w:themeShade="BF"/>
    </w:rPr>
  </w:style>
  <w:style w:type="paragraph" w:styleId="IntenseQuote">
    <w:name w:val="Intense Quote"/>
    <w:basedOn w:val="Normal"/>
    <w:next w:val="Normal"/>
    <w:link w:val="IntenseQuoteChar"/>
    <w:uiPriority w:val="30"/>
    <w:qFormat/>
    <w:rsid w:val="00812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29"/>
    <w:rPr>
      <w:i/>
      <w:iCs/>
      <w:color w:val="0F4761" w:themeColor="accent1" w:themeShade="BF"/>
    </w:rPr>
  </w:style>
  <w:style w:type="character" w:styleId="IntenseReference">
    <w:name w:val="Intense Reference"/>
    <w:basedOn w:val="DefaultParagraphFont"/>
    <w:uiPriority w:val="32"/>
    <w:qFormat/>
    <w:rsid w:val="00812C29"/>
    <w:rPr>
      <w:b/>
      <w:bCs/>
      <w:smallCaps/>
      <w:color w:val="0F4761" w:themeColor="accent1" w:themeShade="BF"/>
      <w:spacing w:val="5"/>
    </w:rPr>
  </w:style>
  <w:style w:type="paragraph" w:styleId="Footer">
    <w:name w:val="footer"/>
    <w:basedOn w:val="Normal"/>
    <w:link w:val="FooterChar"/>
    <w:uiPriority w:val="99"/>
    <w:unhideWhenUsed/>
    <w:rsid w:val="003B4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CBF"/>
    <w:rPr>
      <w:rFonts w:ascii="Calibri" w:eastAsiaTheme="minorEastAsia" w:hAnsi="Calibri"/>
      <w:kern w:val="0"/>
      <w:sz w:val="21"/>
      <w:szCs w:val="22"/>
      <w14:ligatures w14:val="none"/>
    </w:rPr>
  </w:style>
  <w:style w:type="paragraph" w:styleId="ListBullet">
    <w:name w:val="List Bullet"/>
    <w:basedOn w:val="Normal"/>
    <w:uiPriority w:val="99"/>
    <w:unhideWhenUsed/>
    <w:rsid w:val="003B4CBF"/>
    <w:pPr>
      <w:numPr>
        <w:numId w:val="1"/>
      </w:numPr>
      <w:tabs>
        <w:tab w:val="clear" w:pos="360"/>
      </w:tabs>
      <w:ind w:left="0" w:firstLine="0"/>
      <w:contextualSpacing/>
    </w:pPr>
  </w:style>
  <w:style w:type="paragraph" w:styleId="ListNumber">
    <w:name w:val="List Number"/>
    <w:basedOn w:val="Normal"/>
    <w:uiPriority w:val="99"/>
    <w:unhideWhenUsed/>
    <w:rsid w:val="003B4CBF"/>
    <w:pPr>
      <w:numPr>
        <w:numId w:val="2"/>
      </w:numPr>
      <w:tabs>
        <w:tab w:val="clear" w:pos="360"/>
      </w:tabs>
      <w:ind w:left="0" w:firstLine="0"/>
      <w:contextualSpacing/>
    </w:pPr>
  </w:style>
  <w:style w:type="table" w:styleId="TableGrid">
    <w:name w:val="Table Grid"/>
    <w:basedOn w:val="TableNormal"/>
    <w:uiPriority w:val="59"/>
    <w:rsid w:val="003B4CB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ubmed.ncbi.nlm.nih.gov/1619951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ubmed.ncbi.nlm.nih.gov/3174081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pubmed.ncbi.nlm.nih.gov/26771021/"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ubmed.ncbi.nlm.nih.gov/294095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3857</Words>
  <Characters>21760</Characters>
  <Application>Microsoft Office Word</Application>
  <DocSecurity>0</DocSecurity>
  <Lines>836</Lines>
  <Paragraphs>556</Paragraphs>
  <ScaleCrop>false</ScaleCrop>
  <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Billings</dc:creator>
  <cp:keywords/>
  <dc:description/>
  <cp:lastModifiedBy>Brian Billings</cp:lastModifiedBy>
  <cp:revision>2</cp:revision>
  <dcterms:created xsi:type="dcterms:W3CDTF">2026-08-14T19:32:00Z</dcterms:created>
  <dcterms:modified xsi:type="dcterms:W3CDTF">2026-08-14T19:32:00Z</dcterms:modified>
</cp:coreProperties>
</file>